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6B6258"/>
          <w:sz w:val="22"/>
          <w:szCs w:val="22"/>
        </w:rPr>
        <w:t xml:space="preserve">SER330 Final Project</w:t>
      </w:r>
    </w:p>
    <w:p>
      <w:pPr>
        <w:spacing w:after="100"/>
        <w:jc w:val="center"/>
      </w:pPr>
      <w:r>
        <w:rPr>
          <w:rFonts w:ascii="Arial" w:cs="Arial" w:eastAsia="Arial" w:hAnsi="Arial"/>
          <w:b/>
          <w:bCs/>
          <w:color w:val="722F37"/>
          <w:sz w:val="36"/>
          <w:szCs w:val="36"/>
        </w:rPr>
        <w:t xml:space="preserve">Phase 2 — AI-Assisted Code Generation &amp; Architecture Analysis</w:t>
      </w:r>
    </w:p>
    <w:p>
      <w:pPr>
        <w:spacing w:after="400"/>
        <w:jc w:val="center"/>
      </w:pPr>
      <w:r>
        <w:rPr>
          <w:rFonts w:ascii="Arial" w:cs="Arial" w:eastAsia="Arial" w:hAnsi="Arial"/>
          <w:i/>
          <w:iCs/>
          <w:color w:val="1A1A1A"/>
          <w:sz w:val="26"/>
          <w:szCs w:val="26"/>
        </w:rPr>
        <w:t xml:space="preserve">Wine Rental Service</w:t>
      </w:r>
    </w:p>
    <w:p>
      <w:pPr>
        <w:pStyle w:val="Heading1"/>
        <w:spacing w:after="200" w:before="360"/>
      </w:pPr>
      <w:r>
        <w:rPr>
          <w:rFonts w:ascii="Arial" w:cs="Arial" w:eastAsia="Arial" w:hAnsi="Arial"/>
          <w:b/>
          <w:bCs/>
          <w:color w:val="722F37"/>
          <w:sz w:val="32"/>
          <w:szCs w:val="32"/>
        </w:rPr>
        <w:t xml:space="preserve">1. Introduction</w:t>
      </w:r>
    </w:p>
    <w:p>
      <w:pPr>
        <w:spacing w:after="120" w:line="320"/>
      </w:pPr>
      <w:r>
        <w:rPr>
          <w:rFonts w:ascii="Arial" w:cs="Arial" w:eastAsia="Arial" w:hAnsi="Arial"/>
          <w:sz w:val="22"/>
          <w:szCs w:val="22"/>
        </w:rPr>
        <w:t xml:space="preserve">This document is the Phase 2 deliverable for the SER330 final project. It accompanies the full-stack implementation of the Wine Rental Service committed to the GitHub repository, and it answers questions Q9 through Q12 from the project specification. The system was generated with AI assistance starting from the Phase 1 backlog of twelve user stories, and every architectural decision below traces back to a specific acceptance criterion from that backlog.</w:t>
      </w:r>
    </w:p>
    <w:p>
      <w:pPr>
        <w:spacing w:after="120" w:line="320"/>
      </w:pPr>
      <w:r>
        <w:rPr>
          <w:rFonts w:ascii="Arial" w:cs="Arial" w:eastAsia="Arial" w:hAnsi="Arial"/>
          <w:sz w:val="22"/>
          <w:szCs w:val="22"/>
        </w:rPr>
        <w:t xml:space="preserve">The remaining sections describe the code generation process, point to the repository, walk through the high-level architecture, and evaluate that architecture against the four quality measures called out in Q12: correctness, reliability, availability, and robustness. Where the generated system diverges from what was originally expected, those gaps are called out plainly.</w:t>
      </w:r>
    </w:p>
    <w:p>
      <w:pPr>
        <w:pStyle w:val="Heading1"/>
        <w:spacing w:after="200" w:before="360"/>
      </w:pPr>
      <w:r>
        <w:rPr>
          <w:rFonts w:ascii="Arial" w:cs="Arial" w:eastAsia="Arial" w:hAnsi="Arial"/>
          <w:b/>
          <w:bCs/>
          <w:color w:val="722F37"/>
          <w:sz w:val="32"/>
          <w:szCs w:val="32"/>
        </w:rPr>
        <w:t xml:space="preserve">2. Code Generation Process (Q9)</w:t>
      </w:r>
    </w:p>
    <w:p>
      <w:pPr>
        <w:pStyle w:val="Heading2"/>
        <w:spacing w:after="160" w:before="280"/>
      </w:pPr>
      <w:r>
        <w:rPr>
          <w:rFonts w:ascii="Arial" w:cs="Arial" w:eastAsia="Arial" w:hAnsi="Arial"/>
          <w:b/>
          <w:bCs/>
          <w:color w:val="1A1A1A"/>
          <w:sz w:val="26"/>
          <w:szCs w:val="26"/>
        </w:rPr>
        <w:t xml:space="preserve">2.1 AI tools used (Q9a)</w:t>
      </w:r>
    </w:p>
    <w:p>
      <w:pPr>
        <w:spacing w:after="120" w:line="320"/>
      </w:pPr>
      <w:r>
        <w:rPr>
          <w:rFonts w:ascii="Arial" w:cs="Arial" w:eastAsia="Arial" w:hAnsi="Arial"/>
          <w:sz w:val="22"/>
          <w:szCs w:val="22"/>
        </w:rPr>
        <w:t xml:space="preserve">The implementation was generated with Claude (Anthropic), specifically the Sonnet/Opus model family running inside the Claude.ai interface with code execution and file creation enabled. No other AI tools were used. Claude was instructed in the same conversation that produced the Phase 1 backlog, so the model had the full set of user stories, acceptance criteria, and the inspection-and-revision history in its working context when it generated the code.</w:t>
      </w:r>
    </w:p>
    <w:p>
      <w:pPr>
        <w:pStyle w:val="Heading2"/>
        <w:spacing w:after="160" w:before="280"/>
      </w:pPr>
      <w:r>
        <w:rPr>
          <w:rFonts w:ascii="Arial" w:cs="Arial" w:eastAsia="Arial" w:hAnsi="Arial"/>
          <w:b/>
          <w:bCs/>
          <w:color w:val="1A1A1A"/>
          <w:sz w:val="26"/>
          <w:szCs w:val="26"/>
        </w:rPr>
        <w:t xml:space="preserve">2.2 Generation strategy: stages, not one shot (Q9b)</w:t>
      </w:r>
    </w:p>
    <w:p>
      <w:pPr>
        <w:spacing w:after="120" w:line="320"/>
      </w:pPr>
      <w:r>
        <w:rPr>
          <w:rFonts w:ascii="Arial" w:cs="Arial" w:eastAsia="Arial" w:hAnsi="Arial"/>
          <w:sz w:val="22"/>
          <w:szCs w:val="22"/>
        </w:rPr>
        <w:t xml:space="preserve">The system was built up in stages, not in a single prompt. A single-shot generation against twelve stories with concrete acceptance criteria, two personas, a state machine, and role-based access rules would have produced large amounts of code that compiled but missed business rules in subtle ways. Generating in stages let each layer be validated against the backlog before the next layer depended on it. The five stages were:</w:t>
      </w:r>
    </w:p>
    <w:p>
      <w:pPr>
        <w:pStyle w:val="ListParagraph"/>
        <w:numPr>
          <w:ilvl w:val="0"/>
          <w:numId w:val="2"/>
        </w:numPr>
        <w:spacing w:after="80"/>
      </w:pPr>
      <w:r>
        <w:rPr>
          <w:rFonts w:ascii="Arial" w:cs="Arial" w:eastAsia="Arial" w:hAnsi="Arial"/>
          <w:sz w:val="22"/>
          <w:szCs w:val="22"/>
        </w:rPr>
        <w:t xml:space="preserve">Stage 1 — Schema and types. Mongoose models, the bottle and reservation state enums, the user role type, and custom error classes. This stage encoded the invariants from the Phase 1 backlog at the schema layer (deposit equals retail value, vintage range 1900 to current year, password complexity pattern, end date strictly after start date).</w:t>
      </w:r>
    </w:p>
    <w:p>
      <w:pPr>
        <w:pStyle w:val="ListParagraph"/>
        <w:numPr>
          <w:ilvl w:val="0"/>
          <w:numId w:val="2"/>
        </w:numPr>
        <w:spacing w:after="80"/>
      </w:pPr>
      <w:r>
        <w:rPr>
          <w:rFonts w:ascii="Arial" w:cs="Arial" w:eastAsia="Arial" w:hAnsi="Arial"/>
          <w:sz w:val="22"/>
          <w:szCs w:val="22"/>
        </w:rPr>
        <w:t xml:space="preserve">Stage 2 — Services. The business logic layer (authService, reservationService, returnService, paymentService mock). This stage was the highest-leverage step because every Phase 1 acceptance criterion lives or dies at this layer.</w:t>
      </w:r>
    </w:p>
    <w:p>
      <w:pPr>
        <w:pStyle w:val="ListParagraph"/>
        <w:numPr>
          <w:ilvl w:val="0"/>
          <w:numId w:val="2"/>
        </w:numPr>
        <w:spacing w:after="80"/>
      </w:pPr>
      <w:r>
        <w:rPr>
          <w:rFonts w:ascii="Arial" w:cs="Arial" w:eastAsia="Arial" w:hAnsi="Arial"/>
          <w:sz w:val="22"/>
          <w:szCs w:val="22"/>
        </w:rPr>
        <w:t xml:space="preserve">Stage 3 — HTTP layer. Controllers, routes, middleware (JWT auth, role guard, central error handler, async wrapper). Controllers were kept deliberately thin so every business rule remained in the service layer where the tests target it.</w:t>
      </w:r>
    </w:p>
    <w:p>
      <w:pPr>
        <w:pStyle w:val="ListParagraph"/>
        <w:numPr>
          <w:ilvl w:val="0"/>
          <w:numId w:val="2"/>
        </w:numPr>
        <w:spacing w:after="80"/>
      </w:pPr>
      <w:r>
        <w:rPr>
          <w:rFonts w:ascii="Arial" w:cs="Arial" w:eastAsia="Arial" w:hAnsi="Arial"/>
          <w:sz w:val="22"/>
          <w:szCs w:val="22"/>
        </w:rPr>
        <w:t xml:space="preserve">Stage 4 — Tests and seed data. Jest + Supertest backend tests organized by user story, plus a seed script with two test accounts and six sample bottles spanning multiple regions and price points.</w:t>
      </w:r>
    </w:p>
    <w:p>
      <w:pPr>
        <w:pStyle w:val="ListParagraph"/>
        <w:numPr>
          <w:ilvl w:val="0"/>
          <w:numId w:val="2"/>
        </w:numPr>
        <w:spacing w:after="80"/>
      </w:pPr>
      <w:r>
        <w:rPr>
          <w:rFonts w:ascii="Arial" w:cs="Arial" w:eastAsia="Arial" w:hAnsi="Arial"/>
          <w:sz w:val="22"/>
          <w:szCs w:val="22"/>
        </w:rPr>
        <w:t xml:space="preserve">Stage 5 — Frontend. React + TypeScript + Vite, with React Router for the customer-versus-concierge routing split, an AuthContext for token management, and Vitest tests against the key components.</w:t>
      </w:r>
    </w:p>
    <w:p>
      <w:pPr>
        <w:spacing w:after="120" w:line="320"/>
      </w:pPr>
      <w:r>
        <w:rPr>
          <w:rFonts w:ascii="Arial" w:cs="Arial" w:eastAsia="Arial" w:hAnsi="Arial"/>
          <w:sz w:val="22"/>
          <w:szCs w:val="22"/>
        </w:rPr>
        <w:t xml:space="preserve">Two representative prompts from the conversation:</w:t>
      </w:r>
    </w:p>
    <w:p>
      <w:pPr>
        <w:pStyle w:val="Heading3"/>
        <w:spacing w:after="120" w:before="200"/>
      </w:pPr>
      <w:r>
        <w:rPr>
          <w:rFonts w:ascii="Arial" w:cs="Arial" w:eastAsia="Arial" w:hAnsi="Arial"/>
          <w:b/>
          <w:bCs/>
          <w:color w:val="1A1A1A"/>
          <w:sz w:val="22"/>
          <w:szCs w:val="22"/>
        </w:rPr>
        <w:t xml:space="preserve">Example prompt 1 — schema generation</w:t>
      </w:r>
    </w:p>
    <w:p>
      <w:pPr>
        <w:shd w:fill="F4F4F4" w:val="clear"/>
        <w:spacing w:after="80" w:before="80"/>
      </w:pPr>
      <w:r>
        <w:rPr>
          <w:rFonts w:ascii="Consolas" w:cs="Consolas" w:eastAsia="Consolas" w:hAnsi="Consolas"/>
          <w:sz w:val="18"/>
          <w:szCs w:val="18"/>
        </w:rPr>
        <w:t xml:space="preserve">Build the Mongoose models for User, Bottle, and Reservation. Encode the Phase 1 invariants at the schema layer wherever possible: password complexity (8 chars, upper, digit, symbol from !@#$%^&amp;*) on User; deposit must equal retail value, vintage 1900 through current year, all monetary fields &gt; 0 on Bottle; end date strictly after start date on Reservation. Use TypeScript strict mode. Use a pre-validate hook for the deposit-equals-retail rule because that cannot be expressed as a single field validator.</w:t>
      </w:r>
    </w:p>
    <w:p>
      <w:pPr>
        <w:pStyle w:val="Heading3"/>
        <w:spacing w:after="120" w:before="200"/>
      </w:pPr>
      <w:r>
        <w:rPr>
          <w:rFonts w:ascii="Arial" w:cs="Arial" w:eastAsia="Arial" w:hAnsi="Arial"/>
          <w:b/>
          <w:bCs/>
          <w:color w:val="1A1A1A"/>
          <w:sz w:val="22"/>
          <w:szCs w:val="22"/>
        </w:rPr>
        <w:t xml:space="preserve">Example prompt 2 — transactional rollback</w:t>
      </w:r>
    </w:p>
    <w:p>
      <w:pPr>
        <w:shd w:fill="F4F4F4" w:val="clear"/>
        <w:spacing w:after="80" w:before="80"/>
      </w:pPr>
      <w:r>
        <w:rPr>
          <w:rFonts w:ascii="Consolas" w:cs="Consolas" w:eastAsia="Consolas" w:hAnsi="Consolas"/>
          <w:sz w:val="18"/>
          <w:szCs w:val="18"/>
        </w:rPr>
        <w:t xml:space="preserve">In the reservation service createReservation function, implement the two-step charge sequence with rollback: first authorize the rental fee, then authorize the deposit. If the deposit charge fails, reverse the rental fee authorization and throw a PaymentError. No reservation record may be created and the bottle state must remain unchanged. This satisfies Phase 1 AC-004.2.</w:t>
      </w:r>
    </w:p>
    <w:p>
      <w:pPr>
        <w:pStyle w:val="Heading2"/>
        <w:spacing w:after="160" w:before="280"/>
      </w:pPr>
      <w:r>
        <w:rPr>
          <w:rFonts w:ascii="Arial" w:cs="Arial" w:eastAsia="Arial" w:hAnsi="Arial"/>
          <w:b/>
          <w:bCs/>
          <w:color w:val="1A1A1A"/>
          <w:sz w:val="26"/>
          <w:szCs w:val="26"/>
        </w:rPr>
        <w:t xml:space="preserve">2.3 Instructions for error handling and code quality (Q9c)</w:t>
      </w:r>
    </w:p>
    <w:p>
      <w:pPr>
        <w:spacing w:after="120" w:line="320"/>
      </w:pPr>
      <w:r>
        <w:rPr>
          <w:rFonts w:ascii="Arial" w:cs="Arial" w:eastAsia="Arial" w:hAnsi="Arial"/>
          <w:sz w:val="22"/>
          <w:szCs w:val="22"/>
        </w:rPr>
        <w:t xml:space="preserve">Three explicit quality directives were given to the AI before code generation began. These are listed here because they materially shaped the resulting architecture.</w:t>
      </w:r>
    </w:p>
    <w:p>
      <w:pPr>
        <w:pStyle w:val="ListParagraph"/>
        <w:numPr>
          <w:ilvl w:val="0"/>
          <w:numId w:val="2"/>
        </w:numPr>
        <w:spacing w:after="80"/>
      </w:pPr>
      <w:r>
        <w:rPr>
          <w:rFonts w:ascii="Arial" w:cs="Arial" w:eastAsia="Arial" w:hAnsi="Arial"/>
          <w:sz w:val="22"/>
          <w:szCs w:val="22"/>
        </w:rPr>
        <w:t xml:space="preserve">Throw typed domain errors, never return HTTP-shaped responses from services or controllers. The single responsibility for mapping errors to status codes lives in the central error-handler middleware. This keeps the service layer testable in isolation and prevents the kind of duplicated 401/403/409 logic that creeps in when controllers each format their own error bodies.</w:t>
      </w:r>
    </w:p>
    <w:p>
      <w:pPr>
        <w:pStyle w:val="ListParagraph"/>
        <w:numPr>
          <w:ilvl w:val="0"/>
          <w:numId w:val="2"/>
        </w:numPr>
        <w:spacing w:after="80"/>
      </w:pPr>
      <w:r>
        <w:rPr>
          <w:rFonts w:ascii="Arial" w:cs="Arial" w:eastAsia="Arial" w:hAnsi="Arial"/>
          <w:sz w:val="22"/>
          <w:szCs w:val="22"/>
        </w:rPr>
        <w:t xml:space="preserve">Never expose stack traces to the client. The central error handler logs the stack server-side via Winston and returns a generic INTERNAL_ERROR response with no internal detail when an unexpected exception is encountered. AppError subclasses surface their message and code; everything else is filtered.</w:t>
      </w:r>
    </w:p>
    <w:p>
      <w:pPr>
        <w:pStyle w:val="ListParagraph"/>
        <w:numPr>
          <w:ilvl w:val="0"/>
          <w:numId w:val="2"/>
        </w:numPr>
        <w:spacing w:after="80"/>
      </w:pPr>
      <w:r>
        <w:rPr>
          <w:rFonts w:ascii="Arial" w:cs="Arial" w:eastAsia="Arial" w:hAnsi="Arial"/>
          <w:sz w:val="22"/>
          <w:szCs w:val="22"/>
        </w:rPr>
        <w:t xml:space="preserve">TypeScript strict mode, no implicit any. The intent was to make the type checker enforce nullability and narrowing rather than relying on runtime guards. The one place this required real effort was the Mongoose toJSON transform, which Mongoose types as receiving the full document type but conventionally treats as a Record for delete operations; the resolution was a double-cast through unknown rather than disabling strict mode for those files.</w:t>
      </w:r>
    </w:p>
    <w:p>
      <w:pPr>
        <w:pStyle w:val="Heading1"/>
        <w:spacing w:after="200" w:before="360"/>
      </w:pPr>
      <w:r>
        <w:rPr>
          <w:rFonts w:ascii="Arial" w:cs="Arial" w:eastAsia="Arial" w:hAnsi="Arial"/>
          <w:b/>
          <w:bCs/>
          <w:color w:val="722F37"/>
          <w:sz w:val="32"/>
          <w:szCs w:val="32"/>
        </w:rPr>
        <w:t xml:space="preserve">3. Repository (Q10)</w:t>
      </w:r>
    </w:p>
    <w:p>
      <w:pPr>
        <w:spacing w:after="120" w:line="320"/>
      </w:pPr>
      <w:r>
        <w:rPr>
          <w:rFonts w:ascii="Arial" w:cs="Arial" w:eastAsia="Arial" w:hAnsi="Arial"/>
          <w:sz w:val="22"/>
          <w:szCs w:val="22"/>
        </w:rPr>
        <w:t xml:space="preserve">The repository contains all source for both backend and frontend, environment templates, seed data, the test suites, a docker-compose for local MongoDB, and this write-up document.</w:t>
      </w:r>
    </w:p>
    <w:p>
      <w:pPr>
        <w:pStyle w:val="Heading2"/>
        <w:spacing w:after="160" w:before="280"/>
      </w:pPr>
      <w:r>
        <w:rPr>
          <w:rFonts w:ascii="Arial" w:cs="Arial" w:eastAsia="Arial" w:hAnsi="Arial"/>
          <w:b/>
          <w:bCs/>
          <w:color w:val="1A1A1A"/>
          <w:sz w:val="26"/>
          <w:szCs w:val="26"/>
        </w:rPr>
        <w:t xml:space="preserve">3.1 Repository confirmation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F2EDE6" w:val="clear"/>
            <w:tcMar>
              <w:top w:type="dxa" w:w="100"/>
              <w:left w:type="dxa" w:w="140"/>
              <w:bottom w:type="dxa" w:w="100"/>
              <w:right w:type="dxa" w:w="140"/>
            </w:tcMar>
          </w:tcPr>
          <w:p>
            <w:r>
              <w:rPr>
                <w:rFonts w:ascii="Arial" w:cs="Arial" w:eastAsia="Arial" w:hAnsi="Arial"/>
                <w:b/>
                <w:bCs/>
                <w:sz w:val="22"/>
                <w:szCs w:val="22"/>
              </w:rPr>
              <w:t xml:space="preserve">Required artifact</w:t>
            </w:r>
          </w:p>
        </w:tc>
        <w:tc>
          <w:tcPr>
            <w:tcW w:type="dxa" w:w="6240"/>
            <w:tcBorders>
              <w:top w:val="single" w:color="CCCCCC" w:sz="4"/>
              <w:left w:val="single" w:color="CCCCCC" w:sz="4"/>
              <w:bottom w:val="single" w:color="CCCCCC" w:sz="4"/>
              <w:right w:val="single" w:color="CCCCCC" w:sz="4"/>
            </w:tcBorders>
            <w:shd w:fill="F2EDE6" w:val="clear"/>
            <w:tcMar>
              <w:top w:type="dxa" w:w="100"/>
              <w:left w:type="dxa" w:w="140"/>
              <w:bottom w:type="dxa" w:w="100"/>
              <w:right w:type="dxa" w:w="140"/>
            </w:tcMar>
          </w:tcPr>
          <w:p>
            <w:r>
              <w:rPr>
                <w:rFonts w:ascii="Arial" w:cs="Arial" w:eastAsia="Arial" w:hAnsi="Arial"/>
                <w:b/>
                <w:bCs/>
                <w:sz w:val="22"/>
                <w:szCs w:val="22"/>
              </w:rPr>
              <w:t xml:space="preserve">Location in repo</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README with setup instructions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README.md (root)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Full backend</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backend/src/ — models, services, controllers, routes, middleware, utils, types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Full frontend</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frontend/src/ — components, pages, context, api client, types, styles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Working package.json files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backend/package.json and frontend/package.json — both install cleanly with npm install</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Schema files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backend/src/models/User.ts, Bottle.ts, Reservation.ts, AuditEntry.ts (Mongoose schemas with validation)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Seed file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backend/seed/seed.ts — runs via npm run seed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Docker compose for MongoDB</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docker-compose.yml (root) — optional but recommended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Backend test suites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backend/tests/ — auth.test.ts, catalog.test.ts, reservations.test.ts, returns.test.ts, bottles.test.ts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Frontend test suite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frontend/tests/components.test.tsx — Vitest + React Testing Library, 6 passing tests</w:t>
            </w:r>
          </w:p>
        </w:tc>
      </w:tr>
    </w:tbl>
    <w:p>
      <w:pPr>
        <w:spacing w:after="120" w:line="320"/>
      </w:pPr>
      <w:r>
        <w:rPr>
          <w:rFonts w:ascii="Arial" w:cs="Arial" w:eastAsia="Arial" w:hAnsi="Arial"/>
          <w:sz w:val="22"/>
          <w:szCs w:val="22"/>
        </w:rPr>
        <w:t xml:space="preserve"/>
      </w:r>
    </w:p>
    <w:p>
      <w:pPr>
        <w:spacing w:after="120" w:line="320"/>
      </w:pPr>
      <w:r>
        <w:rPr>
          <w:rFonts w:ascii="Arial" w:cs="Arial" w:eastAsia="Arial" w:hAnsi="Arial"/>
          <w:i/>
          <w:iCs/>
          <w:color w:val="6B6258"/>
          <w:sz w:val="22"/>
          <w:szCs w:val="22"/>
        </w:rPr>
        <w:t xml:space="preserve">GitHub repository URL: [TO BE FILLED IN AFTER PUSH]</w:t>
      </w:r>
    </w:p>
    <w:p>
      <w:pPr>
        <w:spacing w:after="120" w:line="320"/>
      </w:pPr>
      <w:r>
        <w:rPr>
          <w:rFonts w:ascii="Arial" w:cs="Arial" w:eastAsia="Arial" w:hAnsi="Arial"/>
          <w:sz w:val="22"/>
          <w:szCs w:val="22"/>
        </w:rPr>
        <w:t xml:space="preserve">Replace the placeholder above with your repository URL after pushing. The README contains complete setup instructions covering Node and MongoDB prerequisites, three independent ways to connect to MongoDB (Docker, local install, MongoDB Atlas), seed instructions, and how to run both servers and both test suites.</w:t>
      </w:r>
    </w:p>
    <w:p>
      <w:r>
        <w:br w:type="page"/>
      </w:r>
    </w:p>
    <w:p>
      <w:pPr>
        <w:pStyle w:val="Heading1"/>
        <w:spacing w:after="200" w:before="360"/>
      </w:pPr>
      <w:r>
        <w:rPr>
          <w:rFonts w:ascii="Arial" w:cs="Arial" w:eastAsia="Arial" w:hAnsi="Arial"/>
          <w:b/>
          <w:bCs/>
          <w:color w:val="722F37"/>
          <w:sz w:val="32"/>
          <w:szCs w:val="32"/>
        </w:rPr>
        <w:t xml:space="preserve">4. High-Level Architecture (Q11)</w:t>
      </w:r>
    </w:p>
    <w:p>
      <w:pPr>
        <w:pStyle w:val="Heading2"/>
        <w:spacing w:after="160" w:before="280"/>
      </w:pPr>
      <w:r>
        <w:rPr>
          <w:rFonts w:ascii="Arial" w:cs="Arial" w:eastAsia="Arial" w:hAnsi="Arial"/>
          <w:b/>
          <w:bCs/>
          <w:color w:val="1A1A1A"/>
          <w:sz w:val="26"/>
          <w:szCs w:val="26"/>
        </w:rPr>
        <w:t xml:space="preserve">4.1 Major components</w:t>
      </w:r>
    </w:p>
    <w:p>
      <w:pPr>
        <w:spacing w:after="120" w:line="320"/>
      </w:pPr>
      <w:r>
        <w:rPr>
          <w:rFonts w:ascii="Arial" w:cs="Arial" w:eastAsia="Arial" w:hAnsi="Arial"/>
          <w:sz w:val="22"/>
          <w:szCs w:val="22"/>
        </w:rPr>
        <w:t xml:space="preserve">The system is a three-tier web application. The frontend is a single-page React application served by the Vite dev server during development and intended to be served as static assets in production. The backend is a stateless Node.js Express API exposing a JSON REST interface over the /api prefix. The database is MongoDB accessed through Mongoose, treating the data tier as a single trusted store with schema validation in the application layer.</w:t>
      </w:r>
    </w:p>
    <w:p>
      <w:pPr>
        <w:pStyle w:val="Heading2"/>
        <w:spacing w:after="160" w:before="280"/>
      </w:pPr>
      <w:r>
        <w:rPr>
          <w:rFonts w:ascii="Arial" w:cs="Arial" w:eastAsia="Arial" w:hAnsi="Arial"/>
          <w:b/>
          <w:bCs/>
          <w:color w:val="1A1A1A"/>
          <w:sz w:val="26"/>
          <w:szCs w:val="26"/>
        </w:rPr>
        <w:t xml:space="preserve">4.2 Component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F2EDE6" w:val="clear"/>
            <w:tcMar>
              <w:top w:type="dxa" w:w="100"/>
              <w:left w:type="dxa" w:w="140"/>
              <w:bottom w:type="dxa" w:w="100"/>
              <w:right w:type="dxa" w:w="140"/>
            </w:tcMar>
          </w:tcPr>
          <w:p>
            <w:r>
              <w:rPr>
                <w:rFonts w:ascii="Arial" w:cs="Arial" w:eastAsia="Arial" w:hAnsi="Arial"/>
                <w:b/>
                <w:bCs/>
                <w:sz w:val="22"/>
                <w:szCs w:val="22"/>
              </w:rPr>
              <w:t xml:space="preserve">From</w:t>
            </w:r>
          </w:p>
        </w:tc>
        <w:tc>
          <w:tcPr>
            <w:tcW w:type="dxa" w:w="2400"/>
            <w:tcBorders>
              <w:top w:val="single" w:color="CCCCCC" w:sz="4"/>
              <w:left w:val="single" w:color="CCCCCC" w:sz="4"/>
              <w:bottom w:val="single" w:color="CCCCCC" w:sz="4"/>
              <w:right w:val="single" w:color="CCCCCC" w:sz="4"/>
            </w:tcBorders>
            <w:shd w:fill="F2EDE6" w:val="clear"/>
            <w:tcMar>
              <w:top w:type="dxa" w:w="100"/>
              <w:left w:type="dxa" w:w="140"/>
              <w:bottom w:type="dxa" w:w="100"/>
              <w:right w:type="dxa" w:w="140"/>
            </w:tcMar>
          </w:tcPr>
          <w:p>
            <w:r>
              <w:rPr>
                <w:rFonts w:ascii="Arial" w:cs="Arial" w:eastAsia="Arial" w:hAnsi="Arial"/>
                <w:b/>
                <w:bCs/>
                <w:sz w:val="22"/>
                <w:szCs w:val="22"/>
              </w:rPr>
              <w:t xml:space="preserve">To</w:t>
            </w:r>
          </w:p>
        </w:tc>
        <w:tc>
          <w:tcPr>
            <w:tcW w:type="dxa" w:w="4560"/>
            <w:tcBorders>
              <w:top w:val="single" w:color="CCCCCC" w:sz="4"/>
              <w:left w:val="single" w:color="CCCCCC" w:sz="4"/>
              <w:bottom w:val="single" w:color="CCCCCC" w:sz="4"/>
              <w:right w:val="single" w:color="CCCCCC" w:sz="4"/>
            </w:tcBorders>
            <w:shd w:fill="F2EDE6" w:val="clear"/>
            <w:tcMar>
              <w:top w:type="dxa" w:w="100"/>
              <w:left w:type="dxa" w:w="140"/>
              <w:bottom w:type="dxa" w:w="100"/>
              <w:right w:type="dxa" w:w="140"/>
            </w:tcMar>
          </w:tcPr>
          <w:p>
            <w:r>
              <w:rPr>
                <w:rFonts w:ascii="Arial" w:cs="Arial" w:eastAsia="Arial" w:hAnsi="Arial"/>
                <w:b/>
                <w:bCs/>
                <w:sz w:val="22"/>
                <w:szCs w:val="22"/>
              </w:rPr>
              <w:t xml:space="preserve">Mechanism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React app (browser)</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Express backend</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JSON over HTTP. The Vite dev server proxies /api/* to localhost:4000 in development. JWT bearer tokens are sent in the Authorization header on every authenticated request.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Express backend</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MongoDB</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Mongoose ODM over the standard MongoDB wire protocol. Connection URI is read from MONGODB_URI at startup. Schema validation runs on every save, including pre-validate hooks for cross-field invariants.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Express backend</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Payment processor</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Mocked. The paymentService module exposes chargePayment, reverseCharge, and refundPayment functions and a test-only failure-injection hook. Phase 1 Assumption 5 calls for treating external payment as a black box.</w:t>
            </w:r>
          </w:p>
        </w:tc>
      </w:tr>
    </w:tbl>
    <w:p>
      <w:pPr>
        <w:pStyle w:val="Heading2"/>
        <w:spacing w:after="160" w:before="280"/>
      </w:pPr>
      <w:r>
        <w:rPr>
          <w:rFonts w:ascii="Arial" w:cs="Arial" w:eastAsia="Arial" w:hAnsi="Arial"/>
          <w:b/>
          <w:bCs/>
          <w:color w:val="1A1A1A"/>
          <w:sz w:val="26"/>
          <w:szCs w:val="26"/>
        </w:rPr>
        <w:t xml:space="preserve">4.3 Middleware pipeline</w:t>
      </w:r>
    </w:p>
    <w:p>
      <w:pPr>
        <w:spacing w:after="120" w:line="320"/>
      </w:pPr>
      <w:r>
        <w:rPr>
          <w:rFonts w:ascii="Arial" w:cs="Arial" w:eastAsia="Arial" w:hAnsi="Arial"/>
          <w:sz w:val="22"/>
          <w:szCs w:val="22"/>
        </w:rPr>
        <w:t xml:space="preserve">Requests pass through the following middleware in order. The pipeline is constructed once in src/app.ts so it is identical between production and tests:</w:t>
      </w:r>
    </w:p>
    <w:p>
      <w:pPr>
        <w:pStyle w:val="ListParagraph"/>
        <w:numPr>
          <w:ilvl w:val="0"/>
          <w:numId w:val="2"/>
        </w:numPr>
        <w:spacing w:after="80"/>
      </w:pPr>
      <w:r>
        <w:rPr>
          <w:rFonts w:ascii="Arial" w:cs="Arial" w:eastAsia="Arial" w:hAnsi="Arial"/>
          <w:sz w:val="22"/>
          <w:szCs w:val="22"/>
        </w:rPr>
        <w:t xml:space="preserve">helmet — sets security headers (X-Content-Type-Options, X-Frame-Options, etc.)</w:t>
      </w:r>
    </w:p>
    <w:p>
      <w:pPr>
        <w:pStyle w:val="ListParagraph"/>
        <w:numPr>
          <w:ilvl w:val="0"/>
          <w:numId w:val="2"/>
        </w:numPr>
        <w:spacing w:after="80"/>
      </w:pPr>
      <w:r>
        <w:rPr>
          <w:rFonts w:ascii="Arial" w:cs="Arial" w:eastAsia="Arial" w:hAnsi="Arial"/>
          <w:sz w:val="22"/>
          <w:szCs w:val="22"/>
        </w:rPr>
        <w:t xml:space="preserve">cors — restricted to the FRONTEND_URL origin</w:t>
      </w:r>
    </w:p>
    <w:p>
      <w:pPr>
        <w:pStyle w:val="ListParagraph"/>
        <w:numPr>
          <w:ilvl w:val="0"/>
          <w:numId w:val="2"/>
        </w:numPr>
        <w:spacing w:after="80"/>
      </w:pPr>
      <w:r>
        <w:rPr>
          <w:rFonts w:ascii="Arial" w:cs="Arial" w:eastAsia="Arial" w:hAnsi="Arial"/>
          <w:sz w:val="22"/>
          <w:szCs w:val="22"/>
        </w:rPr>
        <w:t xml:space="preserve">express.json — parses JSON request bodies with a 1 MB limit</w:t>
      </w:r>
    </w:p>
    <w:p>
      <w:pPr>
        <w:pStyle w:val="ListParagraph"/>
        <w:numPr>
          <w:ilvl w:val="0"/>
          <w:numId w:val="2"/>
        </w:numPr>
        <w:spacing w:after="80"/>
      </w:pPr>
      <w:r>
        <w:rPr>
          <w:rFonts w:ascii="Arial" w:cs="Arial" w:eastAsia="Arial" w:hAnsi="Arial"/>
          <w:sz w:val="22"/>
          <w:szCs w:val="22"/>
        </w:rPr>
        <w:t xml:space="preserve">rate limiter (auth routes only) — 50 requests per 15 minutes per IP, as a coarse guard backing the per-account lockout in authService</w:t>
      </w:r>
    </w:p>
    <w:p>
      <w:pPr>
        <w:pStyle w:val="ListParagraph"/>
        <w:numPr>
          <w:ilvl w:val="0"/>
          <w:numId w:val="2"/>
        </w:numPr>
        <w:spacing w:after="80"/>
      </w:pPr>
      <w:r>
        <w:rPr>
          <w:rFonts w:ascii="Arial" w:cs="Arial" w:eastAsia="Arial" w:hAnsi="Arial"/>
          <w:sz w:val="22"/>
          <w:szCs w:val="22"/>
        </w:rPr>
        <w:t xml:space="preserve">authenticate — verifies the JWT and attaches a typed user object to req.user</w:t>
      </w:r>
    </w:p>
    <w:p>
      <w:pPr>
        <w:pStyle w:val="ListParagraph"/>
        <w:numPr>
          <w:ilvl w:val="0"/>
          <w:numId w:val="2"/>
        </w:numPr>
        <w:spacing w:after="80"/>
      </w:pPr>
      <w:r>
        <w:rPr>
          <w:rFonts w:ascii="Arial" w:cs="Arial" w:eastAsia="Arial" w:hAnsi="Arial"/>
          <w:sz w:val="22"/>
          <w:szCs w:val="22"/>
        </w:rPr>
        <w:t xml:space="preserve">requireRole — checks that req.user.role matches the route requirement (customer or concierge)</w:t>
      </w:r>
    </w:p>
    <w:p>
      <w:pPr>
        <w:pStyle w:val="ListParagraph"/>
        <w:numPr>
          <w:ilvl w:val="0"/>
          <w:numId w:val="2"/>
        </w:numPr>
        <w:spacing w:after="80"/>
      </w:pPr>
      <w:r>
        <w:rPr>
          <w:rFonts w:ascii="Arial" w:cs="Arial" w:eastAsia="Arial" w:hAnsi="Arial"/>
          <w:sz w:val="22"/>
          <w:szCs w:val="22"/>
        </w:rPr>
        <w:t xml:space="preserve">asyncHandler — wraps async route functions and forwards rejected promises to the error handler</w:t>
      </w:r>
    </w:p>
    <w:p>
      <w:pPr>
        <w:pStyle w:val="ListParagraph"/>
        <w:numPr>
          <w:ilvl w:val="0"/>
          <w:numId w:val="2"/>
        </w:numPr>
        <w:spacing w:after="80"/>
      </w:pPr>
      <w:r>
        <w:rPr>
          <w:rFonts w:ascii="Arial" w:cs="Arial" w:eastAsia="Arial" w:hAnsi="Arial"/>
          <w:sz w:val="22"/>
          <w:szCs w:val="22"/>
        </w:rPr>
        <w:t xml:space="preserve">errorHandler — central mapping from typed AppError, Mongoose ValidationError, and unexpected exceptions to consistent JSON responses</w:t>
      </w:r>
    </w:p>
    <w:p>
      <w:pPr>
        <w:pStyle w:val="Heading2"/>
        <w:spacing w:after="160" w:before="280"/>
      </w:pPr>
      <w:r>
        <w:rPr>
          <w:rFonts w:ascii="Arial" w:cs="Arial" w:eastAsia="Arial" w:hAnsi="Arial"/>
          <w:b/>
          <w:bCs/>
          <w:color w:val="1A1A1A"/>
          <w:sz w:val="26"/>
          <w:szCs w:val="26"/>
        </w:rPr>
        <w:t xml:space="preserve">4.4 Layered structure within the backend</w:t>
      </w:r>
    </w:p>
    <w:p>
      <w:pPr>
        <w:spacing w:after="120" w:line="320"/>
      </w:pPr>
      <w:r>
        <w:rPr>
          <w:rFonts w:ascii="Arial" w:cs="Arial" w:eastAsia="Arial" w:hAnsi="Arial"/>
          <w:sz w:val="22"/>
          <w:szCs w:val="22"/>
        </w:rPr>
        <w:t xml:space="preserve">The backend follows a strict three-layer convention: routes wire HTTP to controllers, controllers do request parsing and call services, services contain all business logic and database access. This layering matters in Q12a: when the project asks whether business rules are enforced at the right layer, the answer is consistently yes only because controllers were kept thin. A controller that does its own validation duplicates rules that already exist in the service layer and creates places for the two implementations to diverge over time.</w:t>
      </w:r>
    </w:p>
    <w:p>
      <w:pPr>
        <w:pStyle w:val="Heading2"/>
        <w:spacing w:after="160" w:before="280"/>
      </w:pPr>
      <w:r>
        <w:rPr>
          <w:rFonts w:ascii="Arial" w:cs="Arial" w:eastAsia="Arial" w:hAnsi="Arial"/>
          <w:b/>
          <w:bCs/>
          <w:color w:val="1A1A1A"/>
          <w:sz w:val="26"/>
          <w:szCs w:val="26"/>
        </w:rPr>
        <w:t xml:space="preserve">4.5 Authentication flow</w:t>
      </w:r>
    </w:p>
    <w:p>
      <w:pPr>
        <w:spacing w:after="120" w:line="320"/>
      </w:pPr>
      <w:r>
        <w:rPr>
          <w:rFonts w:ascii="Arial" w:cs="Arial" w:eastAsia="Arial" w:hAnsi="Arial"/>
          <w:sz w:val="22"/>
          <w:szCs w:val="22"/>
        </w:rPr>
        <w:t xml:space="preserve">On registration or login, the auth service issues a JWT signed with HS256 using the JWT_SECRET environment variable. The token payload contains the user id, email, and role. The frontend stores the token in localStorage and attaches it to subsequent requests. The authenticate middleware verifies the signature and attaches a typed user object to req.user; the requireRole middleware then checks the role against the route requirement. There is no session storage server-side, which keeps the API stateless.</w:t>
      </w:r>
    </w:p>
    <w:p>
      <w:pPr>
        <w:pStyle w:val="Heading2"/>
        <w:spacing w:after="160" w:before="280"/>
      </w:pPr>
      <w:r>
        <w:rPr>
          <w:rFonts w:ascii="Arial" w:cs="Arial" w:eastAsia="Arial" w:hAnsi="Arial"/>
          <w:b/>
          <w:bCs/>
          <w:color w:val="1A1A1A"/>
          <w:sz w:val="26"/>
          <w:szCs w:val="26"/>
        </w:rPr>
        <w:t xml:space="preserve">4.6 Architecture gaps from initial expectations</w:t>
      </w:r>
    </w:p>
    <w:p>
      <w:pPr>
        <w:spacing w:after="120" w:line="320"/>
      </w:pPr>
      <w:r>
        <w:rPr>
          <w:rFonts w:ascii="Arial" w:cs="Arial" w:eastAsia="Arial" w:hAnsi="Arial"/>
          <w:sz w:val="22"/>
          <w:szCs w:val="22"/>
        </w:rPr>
        <w:t xml:space="preserve">Three things ended up different from how I would have built this system before reading the Phase 1 backlog:</w:t>
      </w:r>
    </w:p>
    <w:p>
      <w:pPr>
        <w:pStyle w:val="ListParagraph"/>
        <w:numPr>
          <w:ilvl w:val="0"/>
          <w:numId w:val="2"/>
        </w:numPr>
        <w:spacing w:after="80"/>
      </w:pPr>
      <w:r>
        <w:rPr>
          <w:rFonts w:ascii="Arial" w:cs="Arial" w:eastAsia="Arial" w:hAnsi="Arial"/>
          <w:sz w:val="22"/>
          <w:szCs w:val="22"/>
        </w:rPr>
        <w:t xml:space="preserve">Embedded financial events instead of a separate transactions collection. Each Reservation document carries an events array recording every charge, refund, hold, and late fee in chronological order. The original instinct was a separate Transaction collection with a foreign key. The embedded approach was chosen because every event is unambiguously scoped to a single reservation, the read pattern is always "show me everything that happened with this rental," and MongoDB embedded arrays atomically commit the parent and the new event together. A separate collection would have required a two-document write with no native transaction support unless the cluster runs as a replica set.</w:t>
      </w:r>
    </w:p>
    <w:p>
      <w:pPr>
        <w:pStyle w:val="ListParagraph"/>
        <w:numPr>
          <w:ilvl w:val="0"/>
          <w:numId w:val="2"/>
        </w:numPr>
        <w:spacing w:after="80"/>
      </w:pPr>
      <w:r>
        <w:rPr>
          <w:rFonts w:ascii="Arial" w:cs="Arial" w:eastAsia="Arial" w:hAnsi="Arial"/>
          <w:sz w:val="22"/>
          <w:szCs w:val="22"/>
        </w:rPr>
        <w:t xml:space="preserve">Forfeiture record on the reservation, not the bottle. The Phase 1 quality review for AC-009.1 demanded a structured forfeiture record with specific fields (outcome, inspector, timestamp, notes). The natural place might be on the bottle since the bottle is what gets damaged, but the customer-facing inspection outcome is a property of the rental, not the bottle. The forfeiture lives on the reservation so a customer querying their own rental sees the inspection result without joining a second collection, and so the audit trail is preserved if the bottle is later retired.</w:t>
      </w:r>
    </w:p>
    <w:p>
      <w:pPr>
        <w:pStyle w:val="ListParagraph"/>
        <w:numPr>
          <w:ilvl w:val="0"/>
          <w:numId w:val="2"/>
        </w:numPr>
        <w:spacing w:after="80"/>
      </w:pPr>
      <w:r>
        <w:rPr>
          <w:rFonts w:ascii="Arial" w:cs="Arial" w:eastAsia="Arial" w:hAnsi="Arial"/>
          <w:sz w:val="22"/>
          <w:szCs w:val="22"/>
        </w:rPr>
        <w:t xml:space="preserve">A returnService that handles three terminal states through one entry point, not three. processReturn handles both clean returns and broken-seal returns based on a sealIntact flag, and markBottleMissing handles the missing path. The original instinct was three separate services. They were merged because the validation and state-guard sequence is identical for clean and broken-seal returns; only the financial path and the bottle target state differ. Merging halved the duplication without obscuring the divergent paths.</w:t>
      </w:r>
    </w:p>
    <w:p>
      <w:r>
        <w:br w:type="page"/>
      </w:r>
    </w:p>
    <w:p>
      <w:pPr>
        <w:pStyle w:val="Heading1"/>
        <w:spacing w:after="200" w:before="360"/>
      </w:pPr>
      <w:r>
        <w:rPr>
          <w:rFonts w:ascii="Arial" w:cs="Arial" w:eastAsia="Arial" w:hAnsi="Arial"/>
          <w:b/>
          <w:bCs/>
          <w:color w:val="722F37"/>
          <w:sz w:val="32"/>
          <w:szCs w:val="32"/>
        </w:rPr>
        <w:t xml:space="preserve">5. Architecture Quality Evaluation (Q12)</w:t>
      </w:r>
    </w:p>
    <w:p>
      <w:pPr>
        <w:spacing w:after="120" w:line="320"/>
      </w:pPr>
      <w:r>
        <w:rPr>
          <w:rFonts w:ascii="Arial" w:cs="Arial" w:eastAsia="Arial" w:hAnsi="Arial"/>
          <w:sz w:val="22"/>
          <w:szCs w:val="22"/>
        </w:rPr>
        <w:t xml:space="preserve">Each subsection below names a concrete architectural decision in the generated code as evidence for the quality measure. Where the architecture has a known weakness against the measure, the weakness is called out rather than papered over.</w:t>
      </w:r>
    </w:p>
    <w:p>
      <w:pPr>
        <w:pStyle w:val="Heading2"/>
        <w:spacing w:after="160" w:before="280"/>
      </w:pPr>
      <w:r>
        <w:rPr>
          <w:rFonts w:ascii="Arial" w:cs="Arial" w:eastAsia="Arial" w:hAnsi="Arial"/>
          <w:b/>
          <w:bCs/>
          <w:color w:val="1A1A1A"/>
          <w:sz w:val="26"/>
          <w:szCs w:val="26"/>
        </w:rPr>
        <w:t xml:space="preserve">5.1 Correctness — business rules at the right layer (Q12a)</w:t>
      </w:r>
    </w:p>
    <w:p>
      <w:pPr>
        <w:spacing w:after="120" w:line="320"/>
      </w:pPr>
      <w:r>
        <w:rPr>
          <w:rFonts w:ascii="Arial" w:cs="Arial" w:eastAsia="Arial" w:hAnsi="Arial"/>
          <w:sz w:val="22"/>
          <w:szCs w:val="22"/>
        </w:rPr>
        <w:t xml:space="preserve">Business rules are enforced at the layer closest to the data they constrain, with validations duplicated on the frontend only when there is a meaningful user-experience benefit. The schema layer enforces invariants that are properties of the data itself: User.passwordHash is required, Bottle.depositCents must equal Bottle.retailValueCents (pre-validate hook in models/Bottle.ts), Bottle.vintage must be between 1900 and the current year (schema validators), Reservation.endDate must be strictly greater than Reservation.startDate (pre-validate hook in models/Reservation.ts). These cannot be bypassed by a buggy controller because Mongoose runs them on every save regardless of caller.</w:t>
      </w:r>
    </w:p>
    <w:p>
      <w:pPr>
        <w:spacing w:after="120" w:line="320"/>
      </w:pPr>
      <w:r>
        <w:rPr>
          <w:rFonts w:ascii="Arial" w:cs="Arial" w:eastAsia="Arial" w:hAnsi="Arial"/>
          <w:sz w:val="22"/>
          <w:szCs w:val="22"/>
        </w:rPr>
        <w:t xml:space="preserve">The service layer enforces invariants that involve multiple records or external systems: createReservation in services/reservationService.ts performs the overlap check against existing reservations (lines wrapping the dateRangesOverlap call), the 1-30 night range check, the start-date-not-in-the-past check, and the two-step payment authorization with rollback. cancelReservation enforces the ownership check (req.user.id must equal reservation.customerId) and the state guard (only reserved reservations may be cancelled). processReturn enforces that only reservations in the out state may be returned and that broken-seal returns require damage notes of at least 20 characters.</w:t>
      </w:r>
    </w:p>
    <w:p>
      <w:pPr>
        <w:spacing w:after="120" w:line="320"/>
      </w:pPr>
      <w:r>
        <w:rPr>
          <w:rFonts w:ascii="Arial" w:cs="Arial" w:eastAsia="Arial" w:hAnsi="Arial"/>
          <w:sz w:val="22"/>
          <w:szCs w:val="22"/>
        </w:rPr>
        <w:t xml:space="preserve">The HTTP layer enforces only the rules that are properties of the request itself: requireRole('concierge') on the inventory and inspection routes, JWT verification on every authenticated route, and field presence checks for required body fields. Frontend validation is intentionally limited to format-only constraints (HTML required attribute, type=email, the reservation modal disables submit when nights &lt; 1) so it stays a usability feature rather than a duplicated source of truth. The server is the authority on every business rule and the frontend never assumes otherwise.</w:t>
      </w:r>
    </w:p>
    <w:p>
      <w:pPr>
        <w:spacing w:after="120" w:line="320"/>
      </w:pPr>
      <w:r>
        <w:rPr>
          <w:rFonts w:ascii="Arial" w:cs="Arial" w:eastAsia="Arial" w:hAnsi="Arial"/>
          <w:sz w:val="22"/>
          <w:szCs w:val="22"/>
        </w:rPr>
        <w:t xml:space="preserve">Concrete evidence: the test file backend/tests/reservations.test.ts contains test AC-004.1 ("rejects start date in the past") and AC-004.3 ("rejects exact-boundary overlap"). Both tests pass through the HTTP layer untouched and fail at the service layer with a 400 or 409 respectively, which is precisely the behavior the layered architecture promises.</w:t>
      </w:r>
    </w:p>
    <w:p>
      <w:pPr>
        <w:pStyle w:val="Heading2"/>
        <w:spacing w:after="160" w:before="280"/>
      </w:pPr>
      <w:r>
        <w:rPr>
          <w:rFonts w:ascii="Arial" w:cs="Arial" w:eastAsia="Arial" w:hAnsi="Arial"/>
          <w:b/>
          <w:bCs/>
          <w:color w:val="1A1A1A"/>
          <w:sz w:val="26"/>
          <w:szCs w:val="26"/>
        </w:rPr>
        <w:t xml:space="preserve">5.2 Reliability — failure handling (Q12b)</w:t>
      </w:r>
    </w:p>
    <w:p>
      <w:pPr>
        <w:spacing w:after="120" w:line="320"/>
      </w:pPr>
      <w:r>
        <w:rPr>
          <w:rFonts w:ascii="Arial" w:cs="Arial" w:eastAsia="Arial" w:hAnsi="Arial"/>
          <w:sz w:val="22"/>
          <w:szCs w:val="22"/>
        </w:rPr>
        <w:t xml:space="preserve">Failure handling is concentrated in three places. First, the central error handler in middleware/errorHandler.ts maps every typed AppError subclass to a corresponding HTTP status (400 for ValidationError, 401 for AuthenticationError, 403 for AuthorizationError, 404 for NotFoundError, 409 for ConflictError, 422 for UnprocessableError, 429 for TooManyRequestsError, 402 for PaymentError) and converts Mongoose ValidationError to a 400 with field-level error map. Unknown exceptions log a full stack to Winston and return a generic INTERNAL_ERROR response with no internal detail.</w:t>
      </w:r>
    </w:p>
    <w:p>
      <w:pPr>
        <w:spacing w:after="120" w:line="320"/>
      </w:pPr>
      <w:r>
        <w:rPr>
          <w:rFonts w:ascii="Arial" w:cs="Arial" w:eastAsia="Arial" w:hAnsi="Arial"/>
          <w:sz w:val="22"/>
          <w:szCs w:val="22"/>
        </w:rPr>
        <w:t xml:space="preserve">Second, the asyncHandler wrapper guarantees that any rejected promise from an async route handler is forwarded to the error middleware. Without this wrapper, Express silently swallows unhandled rejections and the client hangs on a request that never resolves. Every route file in the codebase wraps its handlers with asyncHandler.</w:t>
      </w:r>
    </w:p>
    <w:p>
      <w:pPr>
        <w:spacing w:after="120" w:line="320"/>
      </w:pPr>
      <w:r>
        <w:rPr>
          <w:rFonts w:ascii="Arial" w:cs="Arial" w:eastAsia="Arial" w:hAnsi="Arial"/>
          <w:sz w:val="22"/>
          <w:szCs w:val="22"/>
        </w:rPr>
        <w:t xml:space="preserve">Third, the createReservation service implements explicit transactional rollback for the multi-step payment flow. If the rental fee charge succeeds and the deposit charge then fails, reverseCharge is called against the rental fee transaction id before the PaymentError is thrown. The reservation document is never created in this path, and the bottle state is never modified. This is verified by the test "AC-004.2 reverses rental fee charge when deposit charge fails" in backend/tests/reservations.test.ts, which asserts both that no reservation document exists and that the bottle remains in available state.</w:t>
      </w:r>
    </w:p>
    <w:p>
      <w:pPr>
        <w:spacing w:after="120" w:line="320"/>
      </w:pPr>
      <w:r>
        <w:rPr>
          <w:rFonts w:ascii="Arial" w:cs="Arial" w:eastAsia="Arial" w:hAnsi="Arial"/>
          <w:sz w:val="22"/>
          <w:szCs w:val="22"/>
        </w:rPr>
        <w:t xml:space="preserve">Known reliability gap: the system does not use MongoDB multi-document transactions. The two-step payment with rollback compensates for the missing transactional guarantee within a single business operation, but if the application process is killed between createReservation finishing and the bottle save (createReservation, bottom of the function), the bottle could remain in available while the reservation is in reserved, requiring a manual reconciliation. Production hardening would wrap the reservation creation and bottle state transition in a single Mongoose session with a replica-set transaction. This was not done because the development environment uses a standalone MongoDB which does not support transactions.</w:t>
      </w:r>
    </w:p>
    <w:p>
      <w:pPr>
        <w:pStyle w:val="Heading2"/>
        <w:spacing w:after="160" w:before="280"/>
      </w:pPr>
      <w:r>
        <w:rPr>
          <w:rFonts w:ascii="Arial" w:cs="Arial" w:eastAsia="Arial" w:hAnsi="Arial"/>
          <w:b/>
          <w:bCs/>
          <w:color w:val="1A1A1A"/>
          <w:sz w:val="26"/>
          <w:szCs w:val="26"/>
        </w:rPr>
        <w:t xml:space="preserve">5.3 Availability — single points of failure (Q12c)</w:t>
      </w:r>
    </w:p>
    <w:p>
      <w:pPr>
        <w:spacing w:after="120" w:line="320"/>
      </w:pPr>
      <w:r>
        <w:rPr>
          <w:rFonts w:ascii="Arial" w:cs="Arial" w:eastAsia="Arial" w:hAnsi="Arial"/>
          <w:sz w:val="22"/>
          <w:szCs w:val="22"/>
        </w:rPr>
        <w:t xml:space="preserve">The system has one architectural single point of failure that the developer must account for: MongoDB. The Express process is stateless because the JWT signature is the only mechanism that authenticates a request, so multiple Express instances behind a load balancer would work without any session affinity, but every instance reads and writes the same MongoDB. A MongoDB outage takes the system down. The mitigation in production is a replica set, which is the same configuration that would unlock multi-document transactions noted under reliability above.</w:t>
      </w:r>
    </w:p>
    <w:p>
      <w:pPr>
        <w:spacing w:after="120" w:line="320"/>
      </w:pPr>
      <w:r>
        <w:rPr>
          <w:rFonts w:ascii="Arial" w:cs="Arial" w:eastAsia="Arial" w:hAnsi="Arial"/>
          <w:sz w:val="22"/>
          <w:szCs w:val="22"/>
        </w:rPr>
        <w:t xml:space="preserve">A subtler availability concern is the rate limiter. The limiter is in-process (express-rate-limit with the default memory store), so multiple Express instances each have their own counter and the effective limit is multiplied by the number of instances. The per-account lockout in authService is not affected because the User document holds the failed-attempts list, but the IP-level rate limit is. A Redis-backed store would close that gap; the change is a one-line swap in the rate-limiter configuration.</w:t>
      </w:r>
    </w:p>
    <w:p>
      <w:pPr>
        <w:spacing w:after="120" w:line="320"/>
      </w:pPr>
      <w:r>
        <w:rPr>
          <w:rFonts w:ascii="Arial" w:cs="Arial" w:eastAsia="Arial" w:hAnsi="Arial"/>
          <w:sz w:val="22"/>
          <w:szCs w:val="22"/>
        </w:rPr>
        <w:t xml:space="preserve">The mock paymentService is a deliberate non-issue from an availability standpoint because it cannot fail except by injection. In a real deployment the upstream payment processor becomes another single point of failure on the booking and refund flows, and the recommended mitigation is a queue-and-retry pattern rather than synchronous calls. Phase 1 explicitly acknowledged this by treating external API unavailability as a testable scenario.</w:t>
      </w:r>
    </w:p>
    <w:p>
      <w:pPr>
        <w:pStyle w:val="Heading2"/>
        <w:spacing w:after="160" w:before="280"/>
      </w:pPr>
      <w:r>
        <w:rPr>
          <w:rFonts w:ascii="Arial" w:cs="Arial" w:eastAsia="Arial" w:hAnsi="Arial"/>
          <w:b/>
          <w:bCs/>
          <w:color w:val="1A1A1A"/>
          <w:sz w:val="26"/>
          <w:szCs w:val="26"/>
        </w:rPr>
        <w:t xml:space="preserve">5.4 Robustness — graceful degradation on unexpected input (Q12d)</w:t>
      </w:r>
    </w:p>
    <w:p>
      <w:pPr>
        <w:spacing w:after="120" w:line="320"/>
      </w:pPr>
      <w:r>
        <w:rPr>
          <w:rFonts w:ascii="Arial" w:cs="Arial" w:eastAsia="Arial" w:hAnsi="Arial"/>
          <w:sz w:val="22"/>
          <w:szCs w:val="22"/>
        </w:rPr>
        <w:t xml:space="preserve">The system degrades gracefully on unexpected input and never exposes stack traces. Three layers contribute to this. The Mongoose schema layer rejects malformed documents with field-level validation messages that are mapped by the error handler to a 400 response with a per-field error object. The service layer catches the cases that the schema cannot express, such as cross-record overlaps and ownership checks, and throws typed errors with explicit messages. The error handler in middleware/errorHandler.ts has an explicit branch for Mongoose CastError (returns 400 INVALID_ID with the field name and value), an explicit branch for Mongoose ValidationError, and a final default branch that logs the error server-side and returns a generic INTERNAL_ERROR with the literal string "an unexpected error occurred".</w:t>
      </w:r>
    </w:p>
    <w:p>
      <w:pPr>
        <w:spacing w:after="120" w:line="320"/>
      </w:pPr>
      <w:r>
        <w:rPr>
          <w:rFonts w:ascii="Arial" w:cs="Arial" w:eastAsia="Arial" w:hAnsi="Arial"/>
          <w:sz w:val="22"/>
          <w:szCs w:val="22"/>
        </w:rPr>
        <w:t xml:space="preserve">No code path in the backend serializes an Error object directly to the response. Every response goes through res.status(...).json(...) with a hand-shaped body, and every response body has the same structure: { error: { code, message, details? } }. This makes the frontend's error handling trivial because every failed request has the same parse path.</w:t>
      </w:r>
    </w:p>
    <w:p>
      <w:pPr>
        <w:spacing w:after="120" w:line="320"/>
      </w:pPr>
      <w:r>
        <w:rPr>
          <w:rFonts w:ascii="Arial" w:cs="Arial" w:eastAsia="Arial" w:hAnsi="Arial"/>
          <w:sz w:val="22"/>
          <w:szCs w:val="22"/>
        </w:rPr>
        <w:t xml:space="preserve">A test that demonstrates the robustness end-to-end: catalog.test.ts requests /api/catalog/not-an-objectid, which would normally throw a Mongoose CastError deep inside Bottle.findById. The error handler catches it, returns either 400 INVALID_ID or 404 (depending on routing), and the test asserts that the response is one of those two and never a 500 with a stack trace. The test passes.</w:t>
      </w:r>
    </w:p>
    <w:p>
      <w:pPr>
        <w:spacing w:after="120" w:line="320"/>
      </w:pPr>
      <w:r>
        <w:rPr>
          <w:rFonts w:ascii="Arial" w:cs="Arial" w:eastAsia="Arial" w:hAnsi="Arial"/>
          <w:sz w:val="22"/>
          <w:szCs w:val="22"/>
        </w:rPr>
        <w:t xml:space="preserve">Known robustness gap: the JSON body parser uses a 1 MB limit and returns a default Express 413 PayloadTooLarge response that does not match the standard error envelope. Hardening would add a custom 413 handler so all error responses have the same shape. This is a small change and is on the followup list.</w:t>
      </w:r>
    </w:p>
    <w:p>
      <w:pPr>
        <w:pStyle w:val="Heading1"/>
        <w:spacing w:after="200" w:before="360"/>
      </w:pPr>
      <w:r>
        <w:rPr>
          <w:rFonts w:ascii="Arial" w:cs="Arial" w:eastAsia="Arial" w:hAnsi="Arial"/>
          <w:b/>
          <w:bCs/>
          <w:color w:val="722F37"/>
          <w:sz w:val="32"/>
          <w:szCs w:val="32"/>
        </w:rPr>
        <w:t xml:space="preserve">6. Conclusion</w:t>
      </w:r>
    </w:p>
    <w:p>
      <w:pPr>
        <w:spacing w:after="120" w:line="320"/>
      </w:pPr>
      <w:r>
        <w:rPr>
          <w:rFonts w:ascii="Arial" w:cs="Arial" w:eastAsia="Arial" w:hAnsi="Arial"/>
          <w:sz w:val="22"/>
          <w:szCs w:val="22"/>
        </w:rPr>
        <w:t xml:space="preserve">The Phase 2 implementation lines up with the Phase 1 backlog at the level of acceptance criteria, not just user stories. The schema-and-service layering means that the business rules I committed to in Phase 1 are testable in isolation and that adding a new test case in Phase 5 will not require new application logic. The remaining gaps are real but small in scope: replica-set transactions, a Redis-backed rate limiter, a custom 413 handler, and an end-to-end SonarCloud scan in Phase 6. None of these change the architectural shape of the system. They are tactical hardenings on top of a clean 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258"/>
        <w:sz w:val="18"/>
        <w:szCs w:val="18"/>
      </w:rPr>
      <w:t xml:space="preserve">Page </w:t>
    </w:r>
    <w:r>
      <w:rPr>
        <w:rFonts w:ascii="Arial" w:cs="Arial" w:eastAsia="Arial" w:hAnsi="Arial"/>
        <w:color w:val="6B625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6258"/>
        <w:sz w:val="18"/>
        <w:szCs w:val="18"/>
      </w:rPr>
      <w:t xml:space="preserve">SER330 Final Project ·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22F3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2026-05-05T20:08:11.138Z</dcterms:created>
  <dcterms:modified xsi:type="dcterms:W3CDTF">2026-05-05T20:08:11.138Z</dcterms:modified>
</cp:coreProperties>
</file>

<file path=docProps/custom.xml><?xml version="1.0" encoding="utf-8"?>
<Properties xmlns="http://schemas.openxmlformats.org/officeDocument/2006/custom-properties" xmlns:vt="http://schemas.openxmlformats.org/officeDocument/2006/docPropsVTypes"/>
</file>