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493FB" w14:textId="77777777" w:rsidR="00987B99" w:rsidRPr="00DB1122" w:rsidRDefault="00987B99" w:rsidP="00987B99">
      <w:pPr>
        <w:rPr>
          <w:rFonts w:ascii="Times New Roman" w:hAnsi="Times New Roman" w:cs="Times New Roman"/>
          <w:lang w:val="en-US"/>
        </w:rPr>
      </w:pPr>
      <w:r w:rsidRPr="00DB1122">
        <w:rPr>
          <w:rFonts w:ascii="Times New Roman" w:hAnsi="Times New Roman" w:cs="Times New Roman"/>
          <w:lang w:val="en-US"/>
        </w:rPr>
        <w:t xml:space="preserve">Title: </w:t>
      </w:r>
      <w:r>
        <w:rPr>
          <w:rFonts w:ascii="Times New Roman" w:hAnsi="Times New Roman" w:cs="Times New Roman"/>
          <w:lang w:val="en-US"/>
        </w:rPr>
        <w:t>Unexpected positive correlation between h</w:t>
      </w:r>
      <w:r w:rsidRPr="00DB1122">
        <w:rPr>
          <w:rFonts w:ascii="Times New Roman" w:hAnsi="Times New Roman" w:cs="Times New Roman"/>
          <w:lang w:val="en-US"/>
        </w:rPr>
        <w:t xml:space="preserve">uman development index </w:t>
      </w:r>
      <w:r>
        <w:rPr>
          <w:rFonts w:ascii="Times New Roman" w:hAnsi="Times New Roman" w:cs="Times New Roman"/>
          <w:lang w:val="en-US"/>
        </w:rPr>
        <w:t>and</w:t>
      </w:r>
      <w:r w:rsidRPr="00DB1122">
        <w:rPr>
          <w:rFonts w:ascii="Times New Roman" w:hAnsi="Times New Roman" w:cs="Times New Roman"/>
          <w:lang w:val="en-US"/>
        </w:rPr>
        <w:t xml:space="preserve"> r</w:t>
      </w:r>
      <w:r>
        <w:rPr>
          <w:rFonts w:ascii="Times New Roman" w:hAnsi="Times New Roman" w:cs="Times New Roman"/>
          <w:lang w:val="en-US"/>
        </w:rPr>
        <w:t xml:space="preserve">isk of infections </w:t>
      </w:r>
      <w:r w:rsidRPr="00DB1122">
        <w:rPr>
          <w:rFonts w:ascii="Times New Roman" w:hAnsi="Times New Roman" w:cs="Times New Roman"/>
          <w:lang w:val="en-US"/>
        </w:rPr>
        <w:t>and death</w:t>
      </w:r>
      <w:r>
        <w:rPr>
          <w:rFonts w:ascii="Times New Roman" w:hAnsi="Times New Roman" w:cs="Times New Roman"/>
          <w:lang w:val="en-US"/>
        </w:rPr>
        <w:t>s</w:t>
      </w:r>
      <w:r w:rsidRPr="00DB1122">
        <w:rPr>
          <w:rFonts w:ascii="Times New Roman" w:hAnsi="Times New Roman" w:cs="Times New Roman"/>
          <w:lang w:val="en-US"/>
        </w:rPr>
        <w:t xml:space="preserve"> of COVID-19 in Italy</w:t>
      </w:r>
    </w:p>
    <w:p w14:paraId="0F8DDF99" w14:textId="77777777" w:rsidR="00987B99" w:rsidRPr="00DB1122" w:rsidRDefault="00987B99" w:rsidP="00987B99">
      <w:pPr>
        <w:rPr>
          <w:rFonts w:ascii="Times New Roman" w:hAnsi="Times New Roman" w:cs="Times New Roman"/>
          <w:lang w:val="en-US"/>
        </w:rPr>
      </w:pPr>
    </w:p>
    <w:p w14:paraId="50C7BB23" w14:textId="77777777" w:rsidR="00987B99" w:rsidRPr="00DB1122" w:rsidRDefault="00987B99" w:rsidP="00987B99">
      <w:pPr>
        <w:jc w:val="center"/>
        <w:rPr>
          <w:rFonts w:ascii="Times New Roman" w:hAnsi="Times New Roman" w:cs="Times New Roman"/>
          <w:vertAlign w:val="superscript"/>
          <w:lang w:val="en-US"/>
        </w:rPr>
      </w:pPr>
      <w:r w:rsidRPr="00DB1122">
        <w:rPr>
          <w:rFonts w:ascii="Times New Roman" w:hAnsi="Times New Roman" w:cs="Times New Roman"/>
          <w:lang w:val="en-US"/>
        </w:rPr>
        <w:t>Kai Liu</w:t>
      </w:r>
      <w:r w:rsidRPr="00DB1122">
        <w:rPr>
          <w:rFonts w:ascii="Times New Roman" w:hAnsi="Times New Roman" w:cs="Times New Roman"/>
          <w:vertAlign w:val="superscript"/>
          <w:lang w:val="en-US"/>
        </w:rPr>
        <w:t>1</w:t>
      </w:r>
      <w:r w:rsidRPr="00DB1122">
        <w:rPr>
          <w:rFonts w:ascii="Times New Roman" w:hAnsi="Times New Roman" w:cs="Times New Roman"/>
          <w:lang w:val="en-US"/>
        </w:rPr>
        <w:t>, Mu He</w:t>
      </w:r>
      <w:r w:rsidRPr="00DB1122">
        <w:rPr>
          <w:rFonts w:ascii="Times New Roman" w:hAnsi="Times New Roman" w:cs="Times New Roman"/>
          <w:vertAlign w:val="superscript"/>
          <w:lang w:val="en-US"/>
        </w:rPr>
        <w:t>2</w:t>
      </w:r>
      <w:r w:rsidRPr="00DB1122">
        <w:rPr>
          <w:rFonts w:ascii="Times New Roman" w:hAnsi="Times New Roman" w:cs="Times New Roman"/>
          <w:lang w:val="en-US"/>
        </w:rPr>
        <w:t xml:space="preserve">, </w:t>
      </w:r>
      <w:proofErr w:type="spellStart"/>
      <w:r>
        <w:rPr>
          <w:rFonts w:ascii="Times New Roman" w:hAnsi="Times New Roman" w:cs="Times New Roman"/>
          <w:lang w:val="en-US"/>
        </w:rPr>
        <w:t>Zian</w:t>
      </w:r>
      <w:proofErr w:type="spellEnd"/>
      <w:r>
        <w:rPr>
          <w:rFonts w:ascii="Times New Roman" w:hAnsi="Times New Roman" w:cs="Times New Roman"/>
          <w:lang w:val="en-US"/>
        </w:rPr>
        <w:t xml:space="preserve"> Zhuang</w:t>
      </w:r>
      <w:r w:rsidRPr="00DB1122">
        <w:rPr>
          <w:rFonts w:ascii="Times New Roman" w:hAnsi="Times New Roman" w:cs="Times New Roman"/>
          <w:vertAlign w:val="superscript"/>
          <w:lang w:val="en-US"/>
        </w:rPr>
        <w:t>3</w:t>
      </w:r>
      <w:r>
        <w:rPr>
          <w:rFonts w:ascii="Times New Roman" w:hAnsi="Times New Roman" w:cs="Times New Roman"/>
          <w:lang w:val="en-US"/>
        </w:rPr>
        <w:t>,</w:t>
      </w:r>
      <w:r w:rsidRPr="00DB1122">
        <w:rPr>
          <w:rFonts w:ascii="Times New Roman" w:hAnsi="Times New Roman" w:cs="Times New Roman"/>
          <w:lang w:val="en-US"/>
        </w:rPr>
        <w:t xml:space="preserve"> </w:t>
      </w:r>
      <w:proofErr w:type="spellStart"/>
      <w:r w:rsidRPr="00DB1122">
        <w:rPr>
          <w:rFonts w:ascii="Times New Roman" w:hAnsi="Times New Roman" w:cs="Times New Roman"/>
          <w:lang w:val="en-US"/>
        </w:rPr>
        <w:t>Daihai</w:t>
      </w:r>
      <w:proofErr w:type="spellEnd"/>
      <w:r w:rsidRPr="00DB1122">
        <w:rPr>
          <w:rFonts w:ascii="Times New Roman" w:hAnsi="Times New Roman" w:cs="Times New Roman"/>
          <w:lang w:val="en-US"/>
        </w:rPr>
        <w:t xml:space="preserve"> He</w:t>
      </w:r>
      <w:r w:rsidRPr="00DB1122">
        <w:rPr>
          <w:rFonts w:ascii="Times New Roman" w:hAnsi="Times New Roman" w:cs="Times New Roman"/>
          <w:vertAlign w:val="superscript"/>
          <w:lang w:val="en-US"/>
        </w:rPr>
        <w:t>3</w:t>
      </w:r>
      <w:r>
        <w:rPr>
          <w:rFonts w:ascii="Times New Roman" w:hAnsi="Times New Roman" w:cs="Times New Roman"/>
          <w:vertAlign w:val="superscript"/>
          <w:lang w:val="en-US"/>
        </w:rPr>
        <w:t xml:space="preserve"> </w:t>
      </w:r>
      <w:r w:rsidRPr="004615AB">
        <w:rPr>
          <w:rFonts w:ascii="Times New Roman" w:hAnsi="Times New Roman" w:cs="Times New Roman"/>
          <w:lang w:val="en-US"/>
        </w:rPr>
        <w:t xml:space="preserve">and </w:t>
      </w:r>
      <w:proofErr w:type="spellStart"/>
      <w:r w:rsidRPr="004615AB">
        <w:rPr>
          <w:rFonts w:ascii="Times New Roman" w:hAnsi="Times New Roman" w:cs="Times New Roman"/>
          <w:lang w:val="en-US"/>
        </w:rPr>
        <w:t>Huaichen</w:t>
      </w:r>
      <w:proofErr w:type="spellEnd"/>
      <w:r w:rsidRPr="004615AB">
        <w:rPr>
          <w:rFonts w:ascii="Times New Roman" w:hAnsi="Times New Roman" w:cs="Times New Roman"/>
          <w:lang w:val="en-US"/>
        </w:rPr>
        <w:t xml:space="preserve"> Li</w:t>
      </w:r>
      <w:r>
        <w:rPr>
          <w:rFonts w:ascii="Times New Roman" w:hAnsi="Times New Roman" w:cs="Times New Roman"/>
          <w:vertAlign w:val="superscript"/>
          <w:lang w:val="en-US"/>
        </w:rPr>
        <w:t>4,5</w:t>
      </w:r>
    </w:p>
    <w:p w14:paraId="1962FD4B" w14:textId="77777777" w:rsidR="00987B99" w:rsidRPr="00DB1122" w:rsidRDefault="00987B99" w:rsidP="00987B99">
      <w:pPr>
        <w:jc w:val="center"/>
        <w:rPr>
          <w:rFonts w:ascii="Times New Roman" w:hAnsi="Times New Roman" w:cs="Times New Roman"/>
          <w:color w:val="000000"/>
          <w:lang w:val="en-GB"/>
        </w:rPr>
      </w:pPr>
      <w:r w:rsidRPr="00DB1122">
        <w:rPr>
          <w:rFonts w:ascii="Times New Roman" w:hAnsi="Times New Roman" w:cs="Times New Roman"/>
          <w:color w:val="000000"/>
          <w:lang w:val="en-GB"/>
        </w:rPr>
        <w:t xml:space="preserve">1 Department of Statistics and Mathematics, Shanghai </w:t>
      </w:r>
      <w:proofErr w:type="spellStart"/>
      <w:r w:rsidRPr="00DB1122">
        <w:rPr>
          <w:rFonts w:ascii="Times New Roman" w:hAnsi="Times New Roman" w:cs="Times New Roman"/>
          <w:color w:val="000000"/>
          <w:lang w:val="en-GB"/>
        </w:rPr>
        <w:t>Lixin</w:t>
      </w:r>
      <w:proofErr w:type="spellEnd"/>
      <w:r w:rsidRPr="00DB1122">
        <w:rPr>
          <w:rFonts w:ascii="Times New Roman" w:hAnsi="Times New Roman" w:cs="Times New Roman"/>
          <w:color w:val="000000"/>
          <w:lang w:val="en-GB"/>
        </w:rPr>
        <w:t xml:space="preserve"> University of Accounting and Finance.</w:t>
      </w:r>
    </w:p>
    <w:p w14:paraId="059BD5FB" w14:textId="77777777" w:rsidR="00987B99" w:rsidRPr="00DB1122" w:rsidRDefault="00987B99" w:rsidP="00987B99">
      <w:pPr>
        <w:jc w:val="center"/>
        <w:rPr>
          <w:rFonts w:ascii="Times New Roman" w:hAnsi="Times New Roman" w:cs="Times New Roman"/>
          <w:color w:val="000000"/>
          <w:lang w:val="en-GB"/>
        </w:rPr>
      </w:pPr>
      <w:r w:rsidRPr="00DB1122">
        <w:rPr>
          <w:rFonts w:ascii="Times New Roman" w:hAnsi="Times New Roman" w:cs="Times New Roman"/>
          <w:color w:val="000000"/>
          <w:lang w:val="en-GB"/>
        </w:rPr>
        <w:t>2 Department of Mathematics and Statistics, McMaster University, Canada.</w:t>
      </w:r>
    </w:p>
    <w:p w14:paraId="466CA658" w14:textId="77777777" w:rsidR="00987B99" w:rsidRDefault="00987B99" w:rsidP="00987B99">
      <w:pPr>
        <w:jc w:val="center"/>
        <w:rPr>
          <w:rFonts w:ascii="Times New Roman" w:hAnsi="Times New Roman" w:cs="Times New Roman"/>
          <w:lang w:val="en-US"/>
        </w:rPr>
      </w:pPr>
      <w:r w:rsidRPr="00DB1122">
        <w:rPr>
          <w:rFonts w:ascii="Times New Roman" w:hAnsi="Times New Roman" w:cs="Times New Roman"/>
          <w:lang w:val="en-GB"/>
        </w:rPr>
        <w:t xml:space="preserve">3 Department of Applied Mathematics, Hong Kong Polytechnic </w:t>
      </w:r>
      <w:r w:rsidRPr="00DB1122">
        <w:rPr>
          <w:rFonts w:ascii="Times New Roman" w:hAnsi="Times New Roman" w:cs="Times New Roman"/>
          <w:lang w:val="en-US"/>
        </w:rPr>
        <w:t>University, Hong Kong SAR China</w:t>
      </w:r>
    </w:p>
    <w:p w14:paraId="51366598" w14:textId="77777777" w:rsidR="00987B99" w:rsidRPr="004615AB" w:rsidRDefault="00987B99" w:rsidP="00987B99">
      <w:pPr>
        <w:jc w:val="center"/>
        <w:rPr>
          <w:rFonts w:ascii="Times New Roman" w:hAnsi="Times New Roman" w:cs="Times New Roman"/>
          <w:lang w:val="en-US"/>
        </w:rPr>
      </w:pPr>
      <w:r>
        <w:rPr>
          <w:rFonts w:ascii="Times New Roman" w:hAnsi="Times New Roman" w:cs="Times New Roman"/>
          <w:lang w:val="en-US"/>
        </w:rPr>
        <w:t xml:space="preserve">4 </w:t>
      </w:r>
      <w:r w:rsidRPr="004615AB">
        <w:rPr>
          <w:rFonts w:ascii="Times New Roman" w:hAnsi="Times New Roman" w:cs="Times New Roman"/>
          <w:lang w:val="en-US"/>
        </w:rPr>
        <w:t>Department of Respiratory and Critical Care Medicine, Shandong Provincial Hospital Affiliated to Shandong University, Jinan, 250021, China. lihuaichen@163.com.</w:t>
      </w:r>
    </w:p>
    <w:p w14:paraId="2EE45A14" w14:textId="77777777" w:rsidR="00987B99" w:rsidRPr="00DB1122" w:rsidRDefault="00987B99" w:rsidP="00987B99">
      <w:pPr>
        <w:jc w:val="center"/>
        <w:rPr>
          <w:rFonts w:ascii="Times New Roman" w:hAnsi="Times New Roman" w:cs="Times New Roman"/>
          <w:lang w:val="en-US"/>
        </w:rPr>
      </w:pPr>
      <w:r>
        <w:rPr>
          <w:rFonts w:ascii="Times New Roman" w:hAnsi="Times New Roman" w:cs="Times New Roman"/>
          <w:lang w:val="en-US"/>
        </w:rPr>
        <w:t>5</w:t>
      </w:r>
      <w:r w:rsidRPr="004615AB">
        <w:rPr>
          <w:rFonts w:ascii="Times New Roman" w:hAnsi="Times New Roman" w:cs="Times New Roman"/>
          <w:lang w:val="en-US"/>
        </w:rPr>
        <w:t xml:space="preserve"> School of Medicine and Life Sciences, University of Jinan-Shandong Academy of Medical Sciences, Jinan, 250062, Shandong, China. lihuaichen@163.com.</w:t>
      </w:r>
    </w:p>
    <w:p w14:paraId="09606D49" w14:textId="77777777" w:rsidR="00987B99" w:rsidRPr="00DB1122" w:rsidRDefault="00987B99" w:rsidP="00987B99">
      <w:pPr>
        <w:rPr>
          <w:rFonts w:ascii="Times New Roman" w:hAnsi="Times New Roman" w:cs="Times New Roman"/>
          <w:lang w:val="en-US"/>
        </w:rPr>
      </w:pPr>
    </w:p>
    <w:p w14:paraId="534D4FF4" w14:textId="77777777" w:rsidR="00987B99" w:rsidRPr="00DB1122" w:rsidRDefault="00987B99" w:rsidP="00987B99">
      <w:pPr>
        <w:rPr>
          <w:rFonts w:ascii="Times New Roman" w:hAnsi="Times New Roman" w:cs="Times New Roman"/>
          <w:lang w:val="en-US"/>
        </w:rPr>
      </w:pPr>
    </w:p>
    <w:p w14:paraId="58011397" w14:textId="77777777" w:rsidR="00987B99" w:rsidRPr="00DB1122" w:rsidRDefault="00987B99" w:rsidP="00987B99">
      <w:pPr>
        <w:rPr>
          <w:rFonts w:ascii="Times New Roman" w:hAnsi="Times New Roman" w:cs="Times New Roman"/>
          <w:lang w:val="en-US"/>
        </w:rPr>
      </w:pPr>
      <w:r w:rsidRPr="00DB1122">
        <w:rPr>
          <w:rFonts w:ascii="Times New Roman" w:hAnsi="Times New Roman" w:cs="Times New Roman"/>
          <w:lang w:val="en-US"/>
        </w:rPr>
        <w:t>Email of authors</w:t>
      </w:r>
    </w:p>
    <w:p w14:paraId="3C595A6D" w14:textId="77777777" w:rsidR="00987B99" w:rsidRPr="00DB1122" w:rsidRDefault="00987B99" w:rsidP="00987B99">
      <w:pPr>
        <w:rPr>
          <w:rFonts w:ascii="Times New Roman" w:hAnsi="Times New Roman" w:cs="Times New Roman"/>
          <w:lang w:val="en-US"/>
        </w:rPr>
      </w:pPr>
      <w:r w:rsidRPr="00DB1122">
        <w:rPr>
          <w:rFonts w:ascii="Times New Roman" w:hAnsi="Times New Roman" w:cs="Times New Roman"/>
          <w:lang w:val="en-US"/>
        </w:rPr>
        <w:t xml:space="preserve">Kai Liu </w:t>
      </w:r>
      <w:hyperlink r:id="rId5" w:history="1">
        <w:r w:rsidRPr="00DB1122">
          <w:rPr>
            <w:rFonts w:ascii="Times New Roman" w:hAnsi="Times New Roman" w:cs="Times New Roman"/>
            <w:color w:val="118EFF"/>
            <w:lang w:val="en-GB"/>
          </w:rPr>
          <w:t>liuk0809@lixin.edu.cn</w:t>
        </w:r>
      </w:hyperlink>
    </w:p>
    <w:p w14:paraId="4AEEE7E1" w14:textId="77777777" w:rsidR="00987B99" w:rsidRPr="00DB1122" w:rsidRDefault="00987B99" w:rsidP="00987B99">
      <w:pPr>
        <w:rPr>
          <w:rFonts w:ascii="Times New Roman" w:hAnsi="Times New Roman" w:cs="Times New Roman"/>
          <w:lang w:val="en-GB"/>
        </w:rPr>
      </w:pPr>
      <w:r w:rsidRPr="00DB1122">
        <w:rPr>
          <w:rFonts w:ascii="Times New Roman" w:hAnsi="Times New Roman" w:cs="Times New Roman"/>
          <w:lang w:val="en-US"/>
        </w:rPr>
        <w:t xml:space="preserve">Mu He </w:t>
      </w:r>
      <w:hyperlink r:id="rId6" w:history="1">
        <w:r w:rsidRPr="00DB1122">
          <w:rPr>
            <w:rFonts w:ascii="Times New Roman" w:hAnsi="Times New Roman" w:cs="Times New Roman"/>
            <w:color w:val="118EFF"/>
            <w:lang w:val="en-GB"/>
          </w:rPr>
          <w:t>hem11@math.mcmaster.ca</w:t>
        </w:r>
      </w:hyperlink>
    </w:p>
    <w:p w14:paraId="4A428C3D" w14:textId="77777777" w:rsidR="00987B99" w:rsidRDefault="00987B99" w:rsidP="00987B99">
      <w:pPr>
        <w:rPr>
          <w:rFonts w:ascii="Times New Roman" w:hAnsi="Times New Roman" w:cs="Times New Roman"/>
          <w:lang w:val="en-GB"/>
        </w:rPr>
      </w:pPr>
      <w:proofErr w:type="spellStart"/>
      <w:r>
        <w:rPr>
          <w:rFonts w:ascii="Times New Roman" w:hAnsi="Times New Roman" w:cs="Times New Roman"/>
          <w:lang w:val="en-GB"/>
        </w:rPr>
        <w:t>Zian</w:t>
      </w:r>
      <w:proofErr w:type="spellEnd"/>
      <w:r>
        <w:rPr>
          <w:rFonts w:ascii="Times New Roman" w:hAnsi="Times New Roman" w:cs="Times New Roman"/>
          <w:lang w:val="en-GB"/>
        </w:rPr>
        <w:t xml:space="preserve"> Zhuang </w:t>
      </w:r>
      <w:hyperlink r:id="rId7" w:history="1">
        <w:r w:rsidRPr="00D36D35">
          <w:rPr>
            <w:rStyle w:val="Hyperlink"/>
            <w:rFonts w:ascii="Times New Roman" w:hAnsi="Times New Roman" w:cs="Times New Roman"/>
            <w:lang w:val="en-GB"/>
          </w:rPr>
          <w:t>larry.zhuang@polyu.edu.hk</w:t>
        </w:r>
      </w:hyperlink>
    </w:p>
    <w:p w14:paraId="760AD068" w14:textId="77777777" w:rsidR="00987B99" w:rsidRDefault="00987B99" w:rsidP="00987B99">
      <w:pPr>
        <w:rPr>
          <w:rStyle w:val="Hyperlink"/>
          <w:rFonts w:ascii="Times New Roman" w:hAnsi="Times New Roman" w:cs="Times New Roman"/>
          <w:lang w:val="en-GB"/>
        </w:rPr>
      </w:pPr>
      <w:proofErr w:type="spellStart"/>
      <w:r w:rsidRPr="00DB1122">
        <w:rPr>
          <w:rFonts w:ascii="Times New Roman" w:hAnsi="Times New Roman" w:cs="Times New Roman"/>
          <w:lang w:val="en-GB"/>
        </w:rPr>
        <w:t>Daihai</w:t>
      </w:r>
      <w:proofErr w:type="spellEnd"/>
      <w:r w:rsidRPr="00DB1122">
        <w:rPr>
          <w:rFonts w:ascii="Times New Roman" w:hAnsi="Times New Roman" w:cs="Times New Roman"/>
          <w:lang w:val="en-GB"/>
        </w:rPr>
        <w:t xml:space="preserve"> He </w:t>
      </w:r>
      <w:hyperlink r:id="rId8" w:history="1">
        <w:r w:rsidRPr="00DB1122">
          <w:rPr>
            <w:rStyle w:val="Hyperlink"/>
            <w:rFonts w:ascii="Times New Roman" w:hAnsi="Times New Roman" w:cs="Times New Roman"/>
            <w:lang w:val="en-GB"/>
          </w:rPr>
          <w:t>daihai.he@polyu.edu.hk</w:t>
        </w:r>
      </w:hyperlink>
    </w:p>
    <w:p w14:paraId="17EA143A" w14:textId="77777777" w:rsidR="00987B99" w:rsidRDefault="00987B99" w:rsidP="00987B99">
      <w:pPr>
        <w:rPr>
          <w:rFonts w:ascii="Times New Roman" w:hAnsi="Times New Roman" w:cs="Times New Roman"/>
          <w:lang w:val="en-GB"/>
        </w:rPr>
      </w:pPr>
      <w:proofErr w:type="spellStart"/>
      <w:r>
        <w:rPr>
          <w:rFonts w:ascii="Times New Roman" w:hAnsi="Times New Roman" w:cs="Times New Roman"/>
          <w:lang w:val="en-US"/>
        </w:rPr>
        <w:t>huaichen</w:t>
      </w:r>
      <w:proofErr w:type="spellEnd"/>
      <w:r>
        <w:rPr>
          <w:rFonts w:ascii="Times New Roman" w:hAnsi="Times New Roman" w:cs="Times New Roman"/>
          <w:lang w:val="en-US"/>
        </w:rPr>
        <w:t xml:space="preserve"> Li </w:t>
      </w:r>
      <w:r w:rsidRPr="004615AB">
        <w:rPr>
          <w:rFonts w:ascii="Times New Roman" w:hAnsi="Times New Roman" w:cs="Times New Roman" w:hint="eastAsia"/>
          <w:lang w:val="en-GB"/>
        </w:rPr>
        <w:t>l</w:t>
      </w:r>
      <w:r w:rsidRPr="004615AB">
        <w:rPr>
          <w:rFonts w:ascii="Times New Roman" w:hAnsi="Times New Roman" w:cs="Times New Roman"/>
          <w:lang w:val="en-GB"/>
        </w:rPr>
        <w:t>ihuaichen@163.com</w:t>
      </w:r>
    </w:p>
    <w:p w14:paraId="0A16C506" w14:textId="77777777" w:rsidR="00987B99" w:rsidRPr="00DB1122" w:rsidRDefault="00987B99" w:rsidP="00987B99">
      <w:pPr>
        <w:rPr>
          <w:rFonts w:ascii="Times New Roman" w:hAnsi="Times New Roman" w:cs="Times New Roman"/>
          <w:lang w:val="en-GB"/>
        </w:rPr>
      </w:pPr>
    </w:p>
    <w:p w14:paraId="26912364" w14:textId="77777777" w:rsidR="00987B99" w:rsidRPr="00DB1122" w:rsidRDefault="00987B99" w:rsidP="00987B99">
      <w:pPr>
        <w:rPr>
          <w:rFonts w:ascii="Times New Roman" w:hAnsi="Times New Roman" w:cs="Times New Roman"/>
          <w:lang w:val="en-GB"/>
        </w:rPr>
      </w:pPr>
    </w:p>
    <w:p w14:paraId="29076D40" w14:textId="77777777" w:rsidR="00987B99" w:rsidRPr="00DB1122" w:rsidRDefault="00987B99" w:rsidP="00987B99">
      <w:pPr>
        <w:rPr>
          <w:rFonts w:ascii="Times New Roman" w:hAnsi="Times New Roman" w:cs="Times New Roman"/>
          <w:lang w:val="en-GB"/>
        </w:rPr>
      </w:pPr>
      <w:r w:rsidRPr="00DB1122">
        <w:rPr>
          <w:rFonts w:ascii="Times New Roman" w:hAnsi="Times New Roman" w:cs="Times New Roman"/>
          <w:lang w:val="en-GB"/>
        </w:rPr>
        <w:t xml:space="preserve">Correspondence to </w:t>
      </w:r>
    </w:p>
    <w:p w14:paraId="1CF6F363" w14:textId="77777777" w:rsidR="00987B99" w:rsidRPr="00DB1122" w:rsidRDefault="00987B99" w:rsidP="00987B99">
      <w:pPr>
        <w:rPr>
          <w:rFonts w:ascii="Times New Roman" w:hAnsi="Times New Roman" w:cs="Times New Roman"/>
          <w:lang w:val="en-US"/>
        </w:rPr>
      </w:pPr>
      <w:proofErr w:type="spellStart"/>
      <w:r w:rsidRPr="00DB1122">
        <w:rPr>
          <w:rFonts w:ascii="Times New Roman" w:hAnsi="Times New Roman" w:cs="Times New Roman"/>
          <w:lang w:val="en-GB"/>
        </w:rPr>
        <w:t>Daihai</w:t>
      </w:r>
      <w:proofErr w:type="spellEnd"/>
      <w:r w:rsidRPr="00DB1122">
        <w:rPr>
          <w:rFonts w:ascii="Times New Roman" w:hAnsi="Times New Roman" w:cs="Times New Roman"/>
          <w:lang w:val="en-GB"/>
        </w:rPr>
        <w:t xml:space="preserve"> He, Department of Applied Mathematics, Hong Kong Polytechnic </w:t>
      </w:r>
      <w:r w:rsidRPr="00DB1122">
        <w:rPr>
          <w:rFonts w:ascii="Times New Roman" w:hAnsi="Times New Roman" w:cs="Times New Roman"/>
          <w:lang w:val="en-US"/>
        </w:rPr>
        <w:t xml:space="preserve">University, Hong Kong SAR China, </w:t>
      </w:r>
      <w:hyperlink r:id="rId9" w:history="1">
        <w:r w:rsidRPr="00DB1122">
          <w:rPr>
            <w:rStyle w:val="Hyperlink"/>
            <w:rFonts w:ascii="Times New Roman" w:hAnsi="Times New Roman" w:cs="Times New Roman"/>
            <w:lang w:val="en-GB"/>
          </w:rPr>
          <w:t>daihai.he@polyu.edu.hk</w:t>
        </w:r>
      </w:hyperlink>
    </w:p>
    <w:p w14:paraId="2B9691D0" w14:textId="77777777" w:rsidR="00987B99" w:rsidRDefault="00987B99" w:rsidP="00154D09">
      <w:pPr>
        <w:rPr>
          <w:lang w:val="en-US"/>
        </w:rPr>
      </w:pPr>
    </w:p>
    <w:p w14:paraId="0E7C63F2" w14:textId="55130026" w:rsidR="00677EEA" w:rsidRDefault="00677EEA" w:rsidP="00154D09">
      <w:pPr>
        <w:rPr>
          <w:rFonts w:ascii="AppleSystemUIFont" w:hAnsi="AppleSystemUIFont" w:cs="AppleSystemUIFont"/>
          <w:lang w:val="en-US"/>
        </w:rPr>
      </w:pPr>
    </w:p>
    <w:p w14:paraId="037D957B" w14:textId="77777777" w:rsidR="00677EEA" w:rsidRDefault="00677EEA" w:rsidP="00677EEA">
      <w:pPr>
        <w:rPr>
          <w:lang w:val="en-US"/>
        </w:rPr>
      </w:pPr>
      <w:r>
        <w:rPr>
          <w:lang w:val="en-US"/>
        </w:rPr>
        <w:t>Highlights:</w:t>
      </w:r>
    </w:p>
    <w:p w14:paraId="03DC439D" w14:textId="77777777" w:rsidR="00677EEA" w:rsidRDefault="00677EEA" w:rsidP="00677EEA">
      <w:pPr>
        <w:pStyle w:val="ListParagraph"/>
        <w:numPr>
          <w:ilvl w:val="0"/>
          <w:numId w:val="1"/>
        </w:numPr>
        <w:rPr>
          <w:lang w:val="en-US"/>
        </w:rPr>
      </w:pPr>
      <w:r>
        <w:rPr>
          <w:lang w:val="en-US"/>
        </w:rPr>
        <w:t>Human development index is positively correlated infection and death rates of COVID-19;</w:t>
      </w:r>
    </w:p>
    <w:p w14:paraId="341A8CCB" w14:textId="77777777" w:rsidR="00677EEA" w:rsidRDefault="00677EEA" w:rsidP="00677EEA">
      <w:pPr>
        <w:pStyle w:val="ListParagraph"/>
        <w:numPr>
          <w:ilvl w:val="0"/>
          <w:numId w:val="1"/>
        </w:numPr>
        <w:rPr>
          <w:lang w:val="en-US"/>
        </w:rPr>
      </w:pPr>
      <w:r>
        <w:rPr>
          <w:lang w:val="en-US"/>
        </w:rPr>
        <w:t>0.1 increase in human development index results in 17.5448 and 39.6230 exponential increase in odds of infections and deaths, respectively</w:t>
      </w:r>
    </w:p>
    <w:p w14:paraId="79980868" w14:textId="77777777" w:rsidR="00677EEA" w:rsidRDefault="00677EEA" w:rsidP="00677EEA">
      <w:pPr>
        <w:pStyle w:val="ListParagraph"/>
        <w:numPr>
          <w:ilvl w:val="0"/>
          <w:numId w:val="1"/>
        </w:numPr>
        <w:rPr>
          <w:lang w:val="en-US"/>
        </w:rPr>
      </w:pPr>
      <w:r>
        <w:rPr>
          <w:lang w:val="en-US"/>
        </w:rPr>
        <w:t>Regions with smaller human development index consumes more cigarettes, but have lower average annual gross salaries and smaller chronic diseases population</w:t>
      </w:r>
    </w:p>
    <w:p w14:paraId="54F98559" w14:textId="11483241" w:rsidR="00677EEA" w:rsidRPr="00677EEA" w:rsidRDefault="00677EEA" w:rsidP="004D53FE">
      <w:pPr>
        <w:pStyle w:val="ListParagraph"/>
        <w:numPr>
          <w:ilvl w:val="0"/>
          <w:numId w:val="1"/>
        </w:numPr>
        <w:rPr>
          <w:lang w:val="en-US"/>
        </w:rPr>
      </w:pPr>
      <w:r>
        <w:rPr>
          <w:lang w:val="en-US"/>
        </w:rPr>
        <w:t xml:space="preserve">The positive correlation between human development index and infections and deaths rates is partially explained by the smoking habits, health status and income level. </w:t>
      </w:r>
    </w:p>
    <w:p w14:paraId="1853CFFB" w14:textId="77777777" w:rsidR="0095140B" w:rsidRDefault="0095140B" w:rsidP="00154D09">
      <w:pPr>
        <w:rPr>
          <w:lang w:val="en-US"/>
        </w:rPr>
      </w:pPr>
    </w:p>
    <w:p w14:paraId="191913CB" w14:textId="6616E3A5" w:rsidR="007C3EE2" w:rsidRDefault="007C3EE2" w:rsidP="00154D09">
      <w:pPr>
        <w:rPr>
          <w:lang w:val="en-US"/>
        </w:rPr>
      </w:pPr>
      <w:r>
        <w:rPr>
          <w:lang w:val="en-US"/>
        </w:rPr>
        <w:t>Abstract</w:t>
      </w:r>
      <w:r w:rsidR="004E2482">
        <w:rPr>
          <w:lang w:val="en-US"/>
        </w:rPr>
        <w:t xml:space="preserve"> </w:t>
      </w:r>
      <w:r w:rsidR="0095140B">
        <w:rPr>
          <w:lang w:val="en-US"/>
        </w:rPr>
        <w:t>(</w:t>
      </w:r>
      <w:r w:rsidR="00FB6075">
        <w:rPr>
          <w:lang w:val="en-US"/>
        </w:rPr>
        <w:t xml:space="preserve">95 </w:t>
      </w:r>
      <w:r w:rsidR="0095140B">
        <w:rPr>
          <w:lang w:val="en-US"/>
        </w:rPr>
        <w:t>words)</w:t>
      </w:r>
    </w:p>
    <w:p w14:paraId="3A22BF94" w14:textId="446BF0F7" w:rsidR="004E2482" w:rsidRDefault="004E2482" w:rsidP="00154D09">
      <w:pPr>
        <w:rPr>
          <w:lang w:val="en-US"/>
        </w:rPr>
      </w:pPr>
      <w:r>
        <w:rPr>
          <w:lang w:val="en-US"/>
        </w:rPr>
        <w:t>In th</w:t>
      </w:r>
      <w:r w:rsidR="0095140B">
        <w:rPr>
          <w:lang w:val="en-US"/>
        </w:rPr>
        <w:t>is analysis, we observed that human development index (an integrated index of life expectation, education and living standard) correlates with</w:t>
      </w:r>
      <w:r w:rsidR="003715AA">
        <w:rPr>
          <w:lang w:val="en-US"/>
        </w:rPr>
        <w:t xml:space="preserve"> case</w:t>
      </w:r>
      <w:r w:rsidR="00221B81">
        <w:rPr>
          <w:lang w:val="en-US"/>
        </w:rPr>
        <w:t xml:space="preserve"> rate </w:t>
      </w:r>
      <w:r w:rsidR="0095140B">
        <w:rPr>
          <w:lang w:val="en-US"/>
        </w:rPr>
        <w:t xml:space="preserve">(proportion of confirmed cases among the population) and the fatality rates of COVID-19 in Italy based on data as of May 15, 2020. </w:t>
      </w:r>
      <w:r w:rsidR="006414B4">
        <w:rPr>
          <w:lang w:val="en-US"/>
        </w:rPr>
        <w:t xml:space="preserve">Further analysis showed that </w:t>
      </w:r>
      <w:r w:rsidR="006F7C39">
        <w:rPr>
          <w:lang w:val="en-US"/>
        </w:rPr>
        <w:t>HDI is negatively correlated with cigarette consumption</w:t>
      </w:r>
      <w:r w:rsidR="001A7A79">
        <w:rPr>
          <w:lang w:val="en-US"/>
        </w:rPr>
        <w:t>, whereas it is</w:t>
      </w:r>
      <w:r w:rsidR="006F7C39">
        <w:rPr>
          <w:lang w:val="en-US"/>
        </w:rPr>
        <w:t xml:space="preserve"> positively correlated with chronic disease</w:t>
      </w:r>
      <w:r w:rsidR="001A7A79">
        <w:rPr>
          <w:lang w:val="en-US"/>
        </w:rPr>
        <w:t xml:space="preserve"> and average annual gross salary. </w:t>
      </w:r>
      <w:r w:rsidR="0076751E">
        <w:rPr>
          <w:lang w:val="en-US"/>
        </w:rPr>
        <w:t xml:space="preserve">These factors may partially explain why unexpected positive correlation is observed between human development index and risk of infections and deaths of COVID-19 in Italy. </w:t>
      </w:r>
      <w:r w:rsidR="001A7A79">
        <w:rPr>
          <w:rFonts w:hint="eastAsia"/>
          <w:lang w:val="en-US"/>
        </w:rPr>
        <w:t xml:space="preserve"> </w:t>
      </w:r>
    </w:p>
    <w:p w14:paraId="6938B664" w14:textId="0A73B426" w:rsidR="007C3EE2" w:rsidRDefault="004E2482" w:rsidP="00154D09">
      <w:pPr>
        <w:rPr>
          <w:lang w:val="en-US"/>
        </w:rPr>
      </w:pPr>
      <w:r>
        <w:rPr>
          <w:lang w:val="en-US"/>
        </w:rPr>
        <w:lastRenderedPageBreak/>
        <w:t xml:space="preserve">Main text: </w:t>
      </w:r>
      <w:r w:rsidR="00FB6075">
        <w:rPr>
          <w:lang w:val="en-US"/>
        </w:rPr>
        <w:t xml:space="preserve">1077 </w:t>
      </w:r>
      <w:r w:rsidR="00FC19F1">
        <w:rPr>
          <w:lang w:val="en-US"/>
        </w:rPr>
        <w:t>words</w:t>
      </w:r>
    </w:p>
    <w:p w14:paraId="34DA1A0D" w14:textId="77777777" w:rsidR="004E2482" w:rsidRDefault="004E2482" w:rsidP="00154D09">
      <w:pPr>
        <w:rPr>
          <w:lang w:val="en-US"/>
        </w:rPr>
      </w:pPr>
    </w:p>
    <w:p w14:paraId="6053D3B1" w14:textId="39A97496" w:rsidR="007C3EE2" w:rsidRDefault="007C3EE2" w:rsidP="00154D09">
      <w:pPr>
        <w:rPr>
          <w:lang w:val="en-US"/>
        </w:rPr>
      </w:pPr>
      <w:r>
        <w:rPr>
          <w:lang w:val="en-US"/>
        </w:rPr>
        <w:t xml:space="preserve">To the </w:t>
      </w:r>
      <w:r>
        <w:rPr>
          <w:rFonts w:hint="eastAsia"/>
          <w:lang w:val="en-US"/>
        </w:rPr>
        <w:t>e</w:t>
      </w:r>
      <w:r>
        <w:rPr>
          <w:lang w:val="en-US"/>
        </w:rPr>
        <w:t>ditor:</w:t>
      </w:r>
    </w:p>
    <w:p w14:paraId="4FB5DA6C" w14:textId="34EA80F3" w:rsidR="003E4BF8" w:rsidRDefault="003E4BF8" w:rsidP="00154D09">
      <w:pPr>
        <w:rPr>
          <w:lang w:val="en-US"/>
        </w:rPr>
      </w:pPr>
    </w:p>
    <w:p w14:paraId="488787B7" w14:textId="1229428B" w:rsidR="00AF0F8B" w:rsidRDefault="007C3EE2" w:rsidP="00154D09">
      <w:pPr>
        <w:rPr>
          <w:lang w:val="en-US"/>
        </w:rPr>
      </w:pPr>
      <w:r>
        <w:rPr>
          <w:rFonts w:hint="eastAsia"/>
          <w:lang w:val="en-US"/>
        </w:rPr>
        <w:t>T</w:t>
      </w:r>
      <w:r>
        <w:rPr>
          <w:lang w:val="en-US"/>
        </w:rPr>
        <w:t xml:space="preserve">he coronavirus disease 2019 (COVID-19) </w:t>
      </w:r>
      <w:r w:rsidR="00210D4C">
        <w:rPr>
          <w:lang w:val="en-US"/>
        </w:rPr>
        <w:t xml:space="preserve">broke out </w:t>
      </w:r>
      <w:r w:rsidR="007B0F3C">
        <w:rPr>
          <w:lang w:val="en-US"/>
        </w:rPr>
        <w:t xml:space="preserve">quickly </w:t>
      </w:r>
      <w:r w:rsidR="001F2D09">
        <w:rPr>
          <w:lang w:val="en-US"/>
        </w:rPr>
        <w:t xml:space="preserve">in Italy </w:t>
      </w:r>
      <w:r w:rsidR="007B0F3C">
        <w:rPr>
          <w:lang w:val="en-US"/>
        </w:rPr>
        <w:t xml:space="preserve">since March 2020 when the </w:t>
      </w:r>
      <w:r w:rsidR="00C6385E">
        <w:rPr>
          <w:lang w:val="en-US"/>
        </w:rPr>
        <w:t>epidemic</w:t>
      </w:r>
      <w:r w:rsidR="007B0F3C">
        <w:rPr>
          <w:lang w:val="en-US"/>
        </w:rPr>
        <w:t xml:space="preserve"> got controlled </w:t>
      </w:r>
      <w:r w:rsidR="00B96BF1">
        <w:rPr>
          <w:lang w:val="en-US"/>
        </w:rPr>
        <w:t>in China</w:t>
      </w:r>
      <w:r w:rsidR="00987991">
        <w:rPr>
          <w:lang w:val="en-US"/>
        </w:rPr>
        <w:t>. Reasons of rapid breakout</w:t>
      </w:r>
      <w:r w:rsidR="00FD7F6E">
        <w:rPr>
          <w:lang w:val="en-US"/>
        </w:rPr>
        <w:t xml:space="preserve"> and </w:t>
      </w:r>
      <w:r w:rsidR="00AF0F8B">
        <w:rPr>
          <w:lang w:val="en-US"/>
        </w:rPr>
        <w:t>overall case-</w:t>
      </w:r>
      <w:r w:rsidR="00FD7F6E">
        <w:rPr>
          <w:lang w:val="en-US"/>
        </w:rPr>
        <w:t>fatality</w:t>
      </w:r>
      <w:r w:rsidR="00987991">
        <w:rPr>
          <w:lang w:val="en-US"/>
        </w:rPr>
        <w:t xml:space="preserve"> </w:t>
      </w:r>
      <w:r w:rsidR="00AF0F8B">
        <w:rPr>
          <w:lang w:val="en-US"/>
        </w:rPr>
        <w:t xml:space="preserve">rate </w:t>
      </w:r>
      <w:r w:rsidR="00987991">
        <w:rPr>
          <w:lang w:val="en-US"/>
        </w:rPr>
        <w:t xml:space="preserve">in Italy have been </w:t>
      </w:r>
      <w:r w:rsidR="003C1103">
        <w:rPr>
          <w:lang w:val="en-US"/>
        </w:rPr>
        <w:t xml:space="preserve">studied and </w:t>
      </w:r>
      <w:r w:rsidR="00987991">
        <w:rPr>
          <w:lang w:val="en-US"/>
        </w:rPr>
        <w:t xml:space="preserve">reported in </w:t>
      </w:r>
      <w:r w:rsidR="003C1103">
        <w:rPr>
          <w:lang w:val="en-US"/>
        </w:rPr>
        <w:t>literature</w:t>
      </w:r>
      <w:r w:rsidR="00987991">
        <w:rPr>
          <w:lang w:val="en-US"/>
        </w:rPr>
        <w:t xml:space="preserve"> [1, 2</w:t>
      </w:r>
      <w:r w:rsidR="00FD7F6E">
        <w:rPr>
          <w:lang w:val="en-US"/>
        </w:rPr>
        <w:t>, 3</w:t>
      </w:r>
      <w:r w:rsidR="00987991">
        <w:rPr>
          <w:lang w:val="en-US"/>
        </w:rPr>
        <w:t>].</w:t>
      </w:r>
      <w:r w:rsidR="00AF0F8B">
        <w:rPr>
          <w:lang w:val="en-US"/>
        </w:rPr>
        <w:t xml:space="preserve"> Obvious differences in epidemic spread and fatality rates among </w:t>
      </w:r>
      <w:r w:rsidR="009D406D">
        <w:rPr>
          <w:lang w:val="en-US"/>
        </w:rPr>
        <w:t>regions</w:t>
      </w:r>
      <w:r w:rsidR="00AF0F8B">
        <w:rPr>
          <w:lang w:val="en-US"/>
        </w:rPr>
        <w:t xml:space="preserve"> exist, but </w:t>
      </w:r>
      <w:r w:rsidR="008C7914">
        <w:rPr>
          <w:lang w:val="en-US"/>
        </w:rPr>
        <w:t xml:space="preserve">factors related these spatial differences are unclear. It is of interest to study this </w:t>
      </w:r>
      <w:r w:rsidR="009D406D">
        <w:rPr>
          <w:lang w:val="en-US"/>
        </w:rPr>
        <w:t xml:space="preserve">regional </w:t>
      </w:r>
      <w:r w:rsidR="008C7914">
        <w:rPr>
          <w:lang w:val="en-US"/>
        </w:rPr>
        <w:t xml:space="preserve">heterogeneity and the related factors. </w:t>
      </w:r>
    </w:p>
    <w:p w14:paraId="18F040DA" w14:textId="53F49F45" w:rsidR="008C7914" w:rsidRDefault="008C7914" w:rsidP="00154D09">
      <w:pPr>
        <w:rPr>
          <w:lang w:val="en-US"/>
        </w:rPr>
      </w:pPr>
    </w:p>
    <w:p w14:paraId="7E61B62A" w14:textId="39F75BC6" w:rsidR="0072337A" w:rsidRDefault="008C7914" w:rsidP="00154D09">
      <w:pPr>
        <w:rPr>
          <w:lang w:val="en-US"/>
        </w:rPr>
      </w:pPr>
      <w:r>
        <w:rPr>
          <w:lang w:val="en-US"/>
        </w:rPr>
        <w:t xml:space="preserve">Global data of COVID-19 have been integrated by researchers and available publicly from R package nCov2019 [4]. </w:t>
      </w:r>
      <w:r w:rsidR="00DD6FB2">
        <w:rPr>
          <w:lang w:val="en-US"/>
        </w:rPr>
        <w:t xml:space="preserve">We downloaded and extracted the data of Italy by </w:t>
      </w:r>
      <w:r w:rsidR="009D406D">
        <w:rPr>
          <w:lang w:val="en-US"/>
        </w:rPr>
        <w:t>regions</w:t>
      </w:r>
      <w:r w:rsidR="00DD6FB2">
        <w:rPr>
          <w:lang w:val="en-US"/>
        </w:rPr>
        <w:t xml:space="preserve"> for our study. </w:t>
      </w:r>
      <w:r w:rsidR="00F80F20">
        <w:rPr>
          <w:lang w:val="en-US"/>
        </w:rPr>
        <w:t xml:space="preserve">As of May 15, 2020, </w:t>
      </w:r>
      <w:r w:rsidR="00C746BF">
        <w:rPr>
          <w:lang w:val="en-US"/>
        </w:rPr>
        <w:t xml:space="preserve">Lombardy ranks top 1 with 83820 </w:t>
      </w:r>
      <w:r w:rsidR="00881235">
        <w:rPr>
          <w:lang w:val="en-US"/>
        </w:rPr>
        <w:t xml:space="preserve">cumulative </w:t>
      </w:r>
      <w:r w:rsidR="00C746BF">
        <w:rPr>
          <w:lang w:val="en-US"/>
        </w:rPr>
        <w:t>confirmed cases</w:t>
      </w:r>
      <w:r w:rsidR="00881235">
        <w:rPr>
          <w:lang w:val="en-US"/>
        </w:rPr>
        <w:t xml:space="preserve"> </w:t>
      </w:r>
      <w:r w:rsidR="00966B2E">
        <w:rPr>
          <w:lang w:val="en-US"/>
        </w:rPr>
        <w:t>among the 20 regions</w:t>
      </w:r>
      <w:r w:rsidR="00C746BF">
        <w:rPr>
          <w:lang w:val="en-US"/>
        </w:rPr>
        <w:t>, while the number of cumulative confirmed cases in Basilicata is the smallest (389 cases</w:t>
      </w:r>
      <w:r w:rsidR="00221B81">
        <w:rPr>
          <w:lang w:val="en-US"/>
        </w:rPr>
        <w:t xml:space="preserve">). </w:t>
      </w:r>
      <w:r w:rsidR="00881235">
        <w:rPr>
          <w:lang w:val="en-US"/>
        </w:rPr>
        <w:t xml:space="preserve">The number of death ranges from 22 to 15296, corresponding to regions of Molise and Lombardy, respectively. </w:t>
      </w:r>
      <w:r w:rsidR="0060049F">
        <w:rPr>
          <w:lang w:val="en-US"/>
        </w:rPr>
        <w:t>Demographical data including population</w:t>
      </w:r>
      <w:r w:rsidR="005B1226">
        <w:rPr>
          <w:lang w:val="en-US"/>
        </w:rPr>
        <w:t>, area, population density</w:t>
      </w:r>
      <w:r w:rsidR="005040FE">
        <w:rPr>
          <w:lang w:val="en-US"/>
        </w:rPr>
        <w:t xml:space="preserve"> and human development index</w:t>
      </w:r>
      <w:r w:rsidR="0060049F">
        <w:rPr>
          <w:lang w:val="en-US"/>
        </w:rPr>
        <w:t xml:space="preserve"> </w:t>
      </w:r>
      <w:r w:rsidR="0009379F">
        <w:rPr>
          <w:lang w:val="en-US"/>
        </w:rPr>
        <w:t xml:space="preserve">(HDI) </w:t>
      </w:r>
      <w:r w:rsidR="005040FE">
        <w:rPr>
          <w:lang w:val="en-US"/>
        </w:rPr>
        <w:t xml:space="preserve">by </w:t>
      </w:r>
      <w:r w:rsidR="0060049F">
        <w:rPr>
          <w:lang w:val="en-US"/>
        </w:rPr>
        <w:t xml:space="preserve">regions </w:t>
      </w:r>
      <w:r w:rsidR="005B1226">
        <w:rPr>
          <w:lang w:val="en-US"/>
        </w:rPr>
        <w:t>of</w:t>
      </w:r>
      <w:r w:rsidR="0060049F">
        <w:rPr>
          <w:lang w:val="en-US"/>
        </w:rPr>
        <w:t xml:space="preserve"> Italy </w:t>
      </w:r>
      <w:r w:rsidR="00F22A4D">
        <w:rPr>
          <w:lang w:val="en-US"/>
        </w:rPr>
        <w:t xml:space="preserve">2019 </w:t>
      </w:r>
      <w:r w:rsidR="0060049F">
        <w:rPr>
          <w:lang w:val="en-US"/>
        </w:rPr>
        <w:t xml:space="preserve">were downloaded from </w:t>
      </w:r>
      <w:hyperlink r:id="rId10" w:history="1">
        <w:r w:rsidR="0060049F" w:rsidRPr="00EA2189">
          <w:rPr>
            <w:rStyle w:val="Hyperlink"/>
            <w:lang w:val="en-US"/>
          </w:rPr>
          <w:t>https://en.wikipedia.org/wiki/Regions_of_Italy</w:t>
        </w:r>
      </w:hyperlink>
      <w:r w:rsidR="0060049F">
        <w:rPr>
          <w:lang w:val="en-US"/>
        </w:rPr>
        <w:t>.</w:t>
      </w:r>
      <w:r w:rsidR="003715AA">
        <w:rPr>
          <w:lang w:val="en-US"/>
        </w:rPr>
        <w:t xml:space="preserve"> The case rates (the proportion of confirmed cases among regional population) range from 0.0006 to 0.009 with a median of 0.0025, while the death rate (proportion of deaths among regional population) ranges from 0.00005 to 0.00152 with a median of 0.00026. </w:t>
      </w:r>
      <w:r w:rsidR="0009379F">
        <w:rPr>
          <w:lang w:val="en-US"/>
        </w:rPr>
        <w:t>HDI [5] is a</w:t>
      </w:r>
      <w:r w:rsidR="00D71BBB">
        <w:rPr>
          <w:lang w:val="en-US"/>
        </w:rPr>
        <w:t>n integrated</w:t>
      </w:r>
      <w:r w:rsidR="0009379F">
        <w:rPr>
          <w:lang w:val="en-US"/>
        </w:rPr>
        <w:t xml:space="preserve"> </w:t>
      </w:r>
      <w:r w:rsidR="00D71BBB">
        <w:rPr>
          <w:lang w:val="en-US"/>
        </w:rPr>
        <w:t>index</w:t>
      </w:r>
      <w:r w:rsidR="0009379F">
        <w:rPr>
          <w:lang w:val="en-US"/>
        </w:rPr>
        <w:t xml:space="preserve"> </w:t>
      </w:r>
      <w:r w:rsidR="00D71BBB">
        <w:rPr>
          <w:lang w:val="en-US"/>
        </w:rPr>
        <w:t>of healthy long life, education and living standard, measured by life expectancy, expected/mean years of schooling, Gross National Income per capita, respectively.</w:t>
      </w:r>
      <w:r w:rsidR="004E2482">
        <w:rPr>
          <w:lang w:val="en-US"/>
        </w:rPr>
        <w:t xml:space="preserve"> </w:t>
      </w:r>
      <w:r w:rsidR="003715AA">
        <w:rPr>
          <w:lang w:val="en-US"/>
        </w:rPr>
        <w:t xml:space="preserve">The median HDI is 0.891 with a range from 0.845 to 0.919. </w:t>
      </w:r>
      <w:r w:rsidR="0060740D">
        <w:rPr>
          <w:lang w:val="en-US"/>
        </w:rPr>
        <w:t>Figure 1 presents the log odds of case rates and death rates as of May 15, 2020 against HDI by regions.</w:t>
      </w:r>
      <w:r w:rsidR="00FD16D6">
        <w:rPr>
          <w:lang w:val="en-US"/>
        </w:rPr>
        <w:t xml:space="preserve"> It presents a linear pattern between the log odds and HDI. To quantify the association between cases rates and death rates </w:t>
      </w:r>
      <w:r w:rsidR="003F65FE">
        <w:rPr>
          <w:lang w:val="en-US"/>
        </w:rPr>
        <w:t xml:space="preserve">with HDI, we perform univariate logistic regression. </w:t>
      </w:r>
    </w:p>
    <w:p w14:paraId="5D3F2B8A" w14:textId="77777777" w:rsidR="0072337A" w:rsidRDefault="0072337A" w:rsidP="00154D09">
      <w:pPr>
        <w:rPr>
          <w:lang w:val="en-US"/>
        </w:rPr>
      </w:pPr>
    </w:p>
    <w:p w14:paraId="26C05AA4" w14:textId="4D48CBD7" w:rsidR="0072337A" w:rsidRDefault="006E5A8E" w:rsidP="00154D09">
      <w:pPr>
        <w:rPr>
          <w:lang w:val="en-US"/>
        </w:rPr>
      </w:pPr>
      <w:r>
        <w:rPr>
          <w:lang w:val="en-US"/>
        </w:rPr>
        <w:t>It is reasonable to assume people in the same region are independent and identical with the same probability of being infected and confirmed. Under this assumption, w</w:t>
      </w:r>
      <w:r w:rsidR="0072337A">
        <w:rPr>
          <w:lang w:val="en-US"/>
        </w:rPr>
        <w:t xml:space="preserve">e performed a univariate logistic regression between the cumulative confirmed cases and HDI. We found that HDI is statistically significant (log odds = </w:t>
      </w:r>
      <w:r w:rsidR="00306EFF">
        <w:rPr>
          <w:lang w:val="en-US"/>
        </w:rPr>
        <w:t>28.6476</w:t>
      </w:r>
      <w:r w:rsidR="0072337A">
        <w:rPr>
          <w:lang w:val="en-US"/>
        </w:rPr>
        <w:t>, p-value &lt;</w:t>
      </w:r>
      <w:r w:rsidR="00306EFF">
        <w:rPr>
          <w:lang w:val="en-US"/>
        </w:rPr>
        <w:t>2*</w:t>
      </w:r>
      <w:r w:rsidR="0072337A">
        <w:rPr>
          <w:lang w:val="en-US"/>
        </w:rPr>
        <w:t>10</w:t>
      </w:r>
      <w:r w:rsidR="0072337A">
        <w:rPr>
          <w:vertAlign w:val="superscript"/>
          <w:lang w:val="en-US"/>
        </w:rPr>
        <w:t>-16</w:t>
      </w:r>
      <w:r w:rsidR="0072337A">
        <w:rPr>
          <w:lang w:val="en-US"/>
        </w:rPr>
        <w:t xml:space="preserve">). If HDI increases by </w:t>
      </w:r>
      <w:r w:rsidR="00463C33">
        <w:rPr>
          <w:lang w:val="en-US"/>
        </w:rPr>
        <w:t>0.1,</w:t>
      </w:r>
      <w:r w:rsidR="00992E81">
        <w:rPr>
          <w:lang w:val="en-US"/>
        </w:rPr>
        <w:t xml:space="preserve"> the odd of a confirmed case (that is,</w:t>
      </w:r>
      <w:r w:rsidR="00463C33">
        <w:rPr>
          <w:lang w:val="en-US"/>
        </w:rPr>
        <w:t xml:space="preserve"> </w:t>
      </w:r>
      <w:r w:rsidR="00306EFF">
        <w:rPr>
          <w:lang w:val="en-US"/>
        </w:rPr>
        <w:t>the probability that a person is</w:t>
      </w:r>
      <w:r w:rsidR="00992E81">
        <w:rPr>
          <w:lang w:val="en-US"/>
        </w:rPr>
        <w:t xml:space="preserve"> a confirmed case</w:t>
      </w:r>
      <w:r w:rsidR="00306EFF">
        <w:rPr>
          <w:lang w:val="en-US"/>
        </w:rPr>
        <w:t xml:space="preserve"> against the probability that a person is not a confirmed infected</w:t>
      </w:r>
      <w:r w:rsidR="00992E81">
        <w:rPr>
          <w:lang w:val="en-US"/>
        </w:rPr>
        <w:t xml:space="preserve">) </w:t>
      </w:r>
      <w:r w:rsidR="00306EFF">
        <w:rPr>
          <w:lang w:val="en-US"/>
        </w:rPr>
        <w:t>increase</w:t>
      </w:r>
      <w:r w:rsidR="00851F87">
        <w:rPr>
          <w:lang w:val="en-US"/>
        </w:rPr>
        <w:t xml:space="preserve"> exponentially</w:t>
      </w:r>
      <w:r w:rsidR="00306EFF">
        <w:rPr>
          <w:lang w:val="en-US"/>
        </w:rPr>
        <w:t xml:space="preserve"> by</w:t>
      </w:r>
      <w:r w:rsidR="00851F87">
        <w:rPr>
          <w:lang w:val="en-US"/>
        </w:rPr>
        <w:t xml:space="preserve"> </w:t>
      </w:r>
      <w:proofErr w:type="gramStart"/>
      <w:r w:rsidR="008E5FFA">
        <w:rPr>
          <w:lang w:val="en-US"/>
        </w:rPr>
        <w:t>exp(</w:t>
      </w:r>
      <w:proofErr w:type="gramEnd"/>
      <w:r w:rsidR="00851F87">
        <w:rPr>
          <w:lang w:val="en-US"/>
        </w:rPr>
        <w:t>2.8648</w:t>
      </w:r>
      <w:r w:rsidR="008E5FFA">
        <w:rPr>
          <w:lang w:val="en-US"/>
        </w:rPr>
        <w:t>)=17.5448</w:t>
      </w:r>
      <w:r w:rsidR="00851F87">
        <w:rPr>
          <w:lang w:val="en-US"/>
        </w:rPr>
        <w:t xml:space="preserve">. </w:t>
      </w:r>
    </w:p>
    <w:p w14:paraId="7CC0DB22" w14:textId="0DA39400" w:rsidR="0018623C" w:rsidRDefault="0018623C" w:rsidP="00154D09">
      <w:pPr>
        <w:rPr>
          <w:lang w:val="en-US"/>
        </w:rPr>
      </w:pPr>
    </w:p>
    <w:p w14:paraId="57718629" w14:textId="54103A5F" w:rsidR="0018623C" w:rsidRDefault="00510F01" w:rsidP="00154D09">
      <w:pPr>
        <w:rPr>
          <w:lang w:val="en-US"/>
        </w:rPr>
      </w:pPr>
      <w:r>
        <w:rPr>
          <w:lang w:val="en-US"/>
        </w:rPr>
        <w:t>Many literatures have studied the case-fatality rate. Case-fatality rate is defined as the proportion of death among the confirmed cases. However, not all infected people are diagnosed and counted into the confirmed cases.</w:t>
      </w:r>
      <w:r w:rsidR="00644534">
        <w:rPr>
          <w:lang w:val="en-US"/>
        </w:rPr>
        <w:t xml:space="preserve"> We </w:t>
      </w:r>
      <w:r w:rsidR="0018623C">
        <w:rPr>
          <w:lang w:val="en-US"/>
        </w:rPr>
        <w:t>assume people in the same region</w:t>
      </w:r>
      <w:r>
        <w:rPr>
          <w:lang w:val="en-US"/>
        </w:rPr>
        <w:t xml:space="preserve"> has the same probability to get infected and die due to COVID-19 while the </w:t>
      </w:r>
      <w:r w:rsidR="00644534">
        <w:rPr>
          <w:lang w:val="en-US"/>
        </w:rPr>
        <w:t xml:space="preserve">risk of </w:t>
      </w:r>
      <w:r>
        <w:rPr>
          <w:lang w:val="en-US"/>
        </w:rPr>
        <w:t xml:space="preserve">death </w:t>
      </w:r>
      <w:r w:rsidR="00644534">
        <w:rPr>
          <w:lang w:val="en-US"/>
        </w:rPr>
        <w:t xml:space="preserve">is </w:t>
      </w:r>
      <w:r>
        <w:rPr>
          <w:lang w:val="en-US"/>
        </w:rPr>
        <w:t>different among different regions.</w:t>
      </w:r>
      <w:r w:rsidR="0018623C">
        <w:rPr>
          <w:lang w:val="en-US"/>
        </w:rPr>
        <w:t xml:space="preserve"> A univariate logistic regression to study the relation between the cumulative death and HDI is also performed. </w:t>
      </w:r>
      <w:r>
        <w:rPr>
          <w:lang w:val="en-US"/>
        </w:rPr>
        <w:t>HDI is again significant (log odds = 36.7946, p-value &lt; 2*10</w:t>
      </w:r>
      <w:r>
        <w:rPr>
          <w:vertAlign w:val="superscript"/>
          <w:lang w:val="en-US"/>
        </w:rPr>
        <w:t>-16</w:t>
      </w:r>
      <w:r>
        <w:rPr>
          <w:lang w:val="en-US"/>
        </w:rPr>
        <w:t xml:space="preserve">).  </w:t>
      </w:r>
      <w:r w:rsidR="00ED4CD0">
        <w:rPr>
          <w:lang w:val="en-US"/>
        </w:rPr>
        <w:t xml:space="preserve"> An increase of 0.1 in HDI associates with </w:t>
      </w:r>
      <w:r w:rsidR="001C588B">
        <w:rPr>
          <w:lang w:val="en-US"/>
        </w:rPr>
        <w:t xml:space="preserve">an increase of </w:t>
      </w:r>
      <w:r w:rsidR="00ED4CD0">
        <w:rPr>
          <w:lang w:val="en-US"/>
        </w:rPr>
        <w:t xml:space="preserve">39.6230 </w:t>
      </w:r>
      <w:r w:rsidR="001C588B">
        <w:rPr>
          <w:lang w:val="en-US"/>
        </w:rPr>
        <w:t xml:space="preserve">in odds of death.  </w:t>
      </w:r>
    </w:p>
    <w:p w14:paraId="0D8E46AA" w14:textId="2639AFC4" w:rsidR="00D71BBB" w:rsidRDefault="00D71BBB" w:rsidP="00154D09">
      <w:pPr>
        <w:rPr>
          <w:lang w:val="en-US"/>
        </w:rPr>
      </w:pPr>
    </w:p>
    <w:p w14:paraId="2555C12D" w14:textId="36148BA4" w:rsidR="00653D35" w:rsidRDefault="00D71BBB" w:rsidP="00154D09">
      <w:pPr>
        <w:rPr>
          <w:rStyle w:val="Hyperlink"/>
          <w:rFonts w:cstheme="minorHAnsi"/>
          <w:lang w:val="en-US"/>
        </w:rPr>
      </w:pPr>
      <w:r>
        <w:rPr>
          <w:lang w:val="en-US"/>
        </w:rPr>
        <w:lastRenderedPageBreak/>
        <w:t xml:space="preserve">it is interesting to note that </w:t>
      </w:r>
      <w:r w:rsidR="004E2482">
        <w:rPr>
          <w:lang w:val="en-US"/>
        </w:rPr>
        <w:t xml:space="preserve">high HDI is associated with high </w:t>
      </w:r>
      <w:r w:rsidR="00885189">
        <w:rPr>
          <w:lang w:val="en-US"/>
        </w:rPr>
        <w:t>case</w:t>
      </w:r>
      <w:r w:rsidR="004E2482">
        <w:rPr>
          <w:lang w:val="en-US"/>
        </w:rPr>
        <w:t xml:space="preserve"> rate and high fatality rate. </w:t>
      </w:r>
      <w:r w:rsidR="005216CA">
        <w:rPr>
          <w:lang w:val="en-US"/>
        </w:rPr>
        <w:t xml:space="preserve">HDI is an integrated index of healthy life, education and living standard. To further explore how each of the components of HDI associates with case rates and fatality rates, we downloaded health data, including smoking data </w:t>
      </w:r>
      <w:r w:rsidR="00556653">
        <w:rPr>
          <w:lang w:val="en-US"/>
        </w:rPr>
        <w:t xml:space="preserve">in 2019 </w:t>
      </w:r>
      <w:r w:rsidR="005216CA">
        <w:rPr>
          <w:lang w:val="en-US"/>
        </w:rPr>
        <w:t xml:space="preserve">and chronic disease data </w:t>
      </w:r>
      <w:r w:rsidR="00556653">
        <w:rPr>
          <w:lang w:val="en-US"/>
        </w:rPr>
        <w:t xml:space="preserve">in 2018 </w:t>
      </w:r>
      <w:r w:rsidR="005216CA">
        <w:rPr>
          <w:lang w:val="en-US"/>
        </w:rPr>
        <w:t xml:space="preserve">from </w:t>
      </w:r>
      <w:hyperlink r:id="rId11" w:history="1">
        <w:r w:rsidR="005216CA" w:rsidRPr="00B33170">
          <w:rPr>
            <w:rStyle w:val="Hyperlink"/>
            <w:lang w:val="en-US"/>
          </w:rPr>
          <w:t>http://dati.istat.it/?lang=en#</w:t>
        </w:r>
      </w:hyperlink>
      <w:r w:rsidR="005216CA">
        <w:rPr>
          <w:lang w:val="en-US"/>
        </w:rPr>
        <w:t xml:space="preserve">. Average annual gross salaries by regions in 2019 </w:t>
      </w:r>
      <w:r w:rsidR="007F460B">
        <w:rPr>
          <w:lang w:val="en-US"/>
        </w:rPr>
        <w:t xml:space="preserve">is also downloaded from </w:t>
      </w:r>
      <w:hyperlink r:id="rId12" w:history="1">
        <w:r w:rsidR="007F460B" w:rsidRPr="007E59BA">
          <w:rPr>
            <w:rStyle w:val="Hyperlink"/>
            <w:rFonts w:cstheme="minorHAnsi"/>
            <w:lang w:val="en-US"/>
          </w:rPr>
          <w:t>https://www.statista.com/statistics/708972/average-annual-nominal-wages-of-employees-italy-by-region/</w:t>
        </w:r>
      </w:hyperlink>
      <w:r w:rsidR="007F460B">
        <w:rPr>
          <w:rStyle w:val="Hyperlink"/>
          <w:rFonts w:cstheme="minorHAnsi"/>
          <w:lang w:val="en-US"/>
        </w:rPr>
        <w:t>.</w:t>
      </w:r>
      <w:r w:rsidR="007F460B" w:rsidRPr="00765FCA">
        <w:rPr>
          <w:rStyle w:val="Hyperlink"/>
          <w:rFonts w:cstheme="minorHAnsi"/>
          <w:u w:val="none"/>
          <w:lang w:val="en-US"/>
        </w:rPr>
        <w:t xml:space="preserve"> </w:t>
      </w:r>
      <w:r w:rsidR="00653D35" w:rsidRPr="004D53FE">
        <w:t>Number of cigarettes per day per 100 persons with the same characteristics</w:t>
      </w:r>
      <w:r w:rsidR="005972A3" w:rsidRPr="004D53FE">
        <w:t xml:space="preserve"> (cigarette smokers aged 14 years and over)</w:t>
      </w:r>
      <w:r w:rsidR="00653D35" w:rsidRPr="004D53FE">
        <w:t xml:space="preserve"> and </w:t>
      </w:r>
      <w:r w:rsidR="005972A3" w:rsidRPr="004D53FE">
        <w:t xml:space="preserve">number of persons with at least one </w:t>
      </w:r>
      <w:r w:rsidR="00653D35" w:rsidRPr="004D53FE">
        <w:t xml:space="preserve">chronic disease </w:t>
      </w:r>
      <w:r w:rsidR="00610875" w:rsidRPr="004D53FE">
        <w:t xml:space="preserve">per 100 people </w:t>
      </w:r>
      <w:r w:rsidR="005972A3" w:rsidRPr="004D53FE">
        <w:t>are used as surrogate index for healthy life</w:t>
      </w:r>
      <w:r w:rsidR="00653D35" w:rsidRPr="004D53FE">
        <w:t xml:space="preserve"> </w:t>
      </w:r>
      <w:r w:rsidR="005972A3" w:rsidRPr="004D53FE">
        <w:t xml:space="preserve">for two reasons, one is they are public and the other reason is they are associated with life expectancy. </w:t>
      </w:r>
      <w:r w:rsidR="00610875" w:rsidRPr="004D53FE">
        <w:t xml:space="preserve">The median of number of cigarettes per day per 100 persons is 11.10 (range from 9.2 to 12.5). The number of persons with at least </w:t>
      </w:r>
      <w:proofErr w:type="spellStart"/>
      <w:r w:rsidR="00610875" w:rsidRPr="004D53FE">
        <w:t>oone</w:t>
      </w:r>
      <w:proofErr w:type="spellEnd"/>
      <w:r w:rsidR="00610875" w:rsidRPr="004D53FE">
        <w:t xml:space="preserve"> chronic disease per 100 people ranges from 32.7 to 47.8 with a median of 41.  </w:t>
      </w:r>
      <w:r w:rsidR="007B085F" w:rsidRPr="004D53FE">
        <w:t xml:space="preserve">Average annual gross salary by regions is used to present living standard. </w:t>
      </w:r>
      <w:r w:rsidR="00610875" w:rsidRPr="004D53FE">
        <w:t>Its median is 27962 with a range from 24308 to 31446.</w:t>
      </w:r>
      <w:r w:rsidR="00610875">
        <w:rPr>
          <w:rStyle w:val="Hyperlink"/>
          <w:rFonts w:cstheme="minorHAnsi"/>
          <w:lang w:val="en-US"/>
        </w:rPr>
        <w:t xml:space="preserve">  </w:t>
      </w:r>
    </w:p>
    <w:p w14:paraId="3F3DE60E" w14:textId="44AF6F3E" w:rsidR="007B085F" w:rsidRDefault="007B085F" w:rsidP="00154D09">
      <w:pPr>
        <w:rPr>
          <w:rStyle w:val="Hyperlink"/>
          <w:rFonts w:cstheme="minorHAnsi"/>
          <w:lang w:val="en-US"/>
        </w:rPr>
      </w:pPr>
    </w:p>
    <w:p w14:paraId="194B744B" w14:textId="7938CEF7" w:rsidR="007B085F" w:rsidRPr="004D53FE" w:rsidRDefault="00556653" w:rsidP="00154D09">
      <w:r w:rsidRPr="004D53FE">
        <w:t xml:space="preserve">Initial </w:t>
      </w:r>
      <w:r w:rsidR="00373B7F" w:rsidRPr="004D53FE">
        <w:t xml:space="preserve">graphical and quantitative </w:t>
      </w:r>
      <w:r w:rsidRPr="004D53FE">
        <w:t xml:space="preserve">analysis of relations between HDI and smoking data, chronic disease data and average annual salary </w:t>
      </w:r>
      <w:r w:rsidR="00830997" w:rsidRPr="004D53FE">
        <w:t xml:space="preserve">are performed. It </w:t>
      </w:r>
      <w:r w:rsidR="00133CBA" w:rsidRPr="004D53FE">
        <w:t xml:space="preserve">shows that HDI is negatively correlated </w:t>
      </w:r>
      <w:r w:rsidR="00910EB4" w:rsidRPr="004D53FE">
        <w:t>with</w:t>
      </w:r>
      <w:r w:rsidR="00133CBA" w:rsidRPr="004D53FE">
        <w:t xml:space="preserve"> smoking data (</w:t>
      </w:r>
      <w:r w:rsidR="00910EB4" w:rsidRPr="004D53FE">
        <w:t>correlation=</w:t>
      </w:r>
      <w:r w:rsidR="005D25DB" w:rsidRPr="004D53FE">
        <w:t>-</w:t>
      </w:r>
      <w:r w:rsidR="00910EB4" w:rsidRPr="004D53FE">
        <w:t>0.6428, p-value=0.0022), is positively correlated with chronic disease</w:t>
      </w:r>
      <w:r w:rsidR="00B92153" w:rsidRPr="004D53FE">
        <w:t xml:space="preserve"> but not statistical</w:t>
      </w:r>
      <w:r w:rsidR="009C6616" w:rsidRPr="004D53FE">
        <w:t>ly</w:t>
      </w:r>
      <w:r w:rsidR="00B92153" w:rsidRPr="004D53FE">
        <w:t xml:space="preserve"> significant</w:t>
      </w:r>
      <w:r w:rsidR="00910EB4" w:rsidRPr="004D53FE">
        <w:t xml:space="preserve"> (correlation=0.3275, p-value=0.1587), is positively correlated with average annual gross salary (</w:t>
      </w:r>
      <w:r w:rsidR="00765FCA" w:rsidRPr="004D53FE">
        <w:t>correlation</w:t>
      </w:r>
      <w:r w:rsidR="00B92153" w:rsidRPr="004D53FE">
        <w:t>=0.6521, p-value=0.0018</w:t>
      </w:r>
      <w:r w:rsidR="00910EB4" w:rsidRPr="004D53FE">
        <w:t>)</w:t>
      </w:r>
      <w:r w:rsidR="00B92153" w:rsidRPr="004D53FE">
        <w:t>.</w:t>
      </w:r>
    </w:p>
    <w:p w14:paraId="5489AD8B" w14:textId="40D383D0" w:rsidR="009C6616" w:rsidRDefault="009C6616" w:rsidP="00154D09">
      <w:pPr>
        <w:rPr>
          <w:rStyle w:val="Hyperlink"/>
          <w:rFonts w:cstheme="minorHAnsi"/>
          <w:lang w:val="en-US"/>
        </w:rPr>
      </w:pPr>
    </w:p>
    <w:p w14:paraId="7B86A03C" w14:textId="36AE4ECD" w:rsidR="00A13F39" w:rsidRPr="00720AA1" w:rsidRDefault="004F1B2C" w:rsidP="00154D09">
      <w:pPr>
        <w:rPr>
          <w:rFonts w:cstheme="minorHAnsi"/>
          <w:color w:val="0563C1" w:themeColor="hyperlink"/>
          <w:u w:val="single"/>
          <w:lang w:val="en-US"/>
        </w:rPr>
      </w:pPr>
      <w:r w:rsidRPr="004D53FE">
        <w:t xml:space="preserve">Simple logistic regressions are performed to </w:t>
      </w:r>
      <w:r w:rsidR="003D21BB" w:rsidRPr="004D53FE">
        <w:t xml:space="preserve">study the </w:t>
      </w:r>
      <w:r w:rsidR="00C4192E" w:rsidRPr="004D53FE">
        <w:t xml:space="preserve">direct </w:t>
      </w:r>
      <w:r w:rsidR="003D21BB" w:rsidRPr="004D53FE">
        <w:t xml:space="preserve">effect of the three factors on case rate and death rate. </w:t>
      </w:r>
      <w:r w:rsidR="00720AA1" w:rsidRPr="004D53FE">
        <w:t xml:space="preserve">The results are summarized in </w:t>
      </w:r>
      <w:r w:rsidR="00B97840" w:rsidRPr="004D53FE">
        <w:t>Table</w:t>
      </w:r>
      <w:r w:rsidR="00B97840" w:rsidRPr="00765FCA">
        <w:rPr>
          <w:rStyle w:val="Hyperlink"/>
          <w:rFonts w:cstheme="minorHAnsi"/>
          <w:color w:val="auto"/>
          <w:u w:val="none"/>
          <w:lang w:val="en-US"/>
        </w:rPr>
        <w:t xml:space="preserve"> 1 </w:t>
      </w:r>
      <w:r w:rsidR="00720AA1">
        <w:rPr>
          <w:rStyle w:val="Hyperlink"/>
          <w:rFonts w:cstheme="minorHAnsi"/>
          <w:color w:val="auto"/>
          <w:u w:val="none"/>
          <w:lang w:val="en-US"/>
        </w:rPr>
        <w:t xml:space="preserve">in terms of log odds estimates and standard errors. </w:t>
      </w:r>
      <w:r w:rsidR="001464EA" w:rsidRPr="00765FCA">
        <w:rPr>
          <w:rFonts w:cstheme="minorHAnsi"/>
          <w:lang w:val="en-US"/>
        </w:rPr>
        <w:t>It turns out all the factors are significant</w:t>
      </w:r>
      <w:r w:rsidR="004C1076" w:rsidRPr="00765FCA">
        <w:rPr>
          <w:rFonts w:cstheme="minorHAnsi"/>
          <w:lang w:val="en-US"/>
        </w:rPr>
        <w:t>ly</w:t>
      </w:r>
      <w:r w:rsidR="001464EA" w:rsidRPr="00765FCA">
        <w:rPr>
          <w:rFonts w:cstheme="minorHAnsi"/>
          <w:lang w:val="en-US"/>
        </w:rPr>
        <w:t xml:space="preserve"> associated with case rates and death rates.</w:t>
      </w:r>
      <w:r w:rsidR="001464EA" w:rsidRPr="00765FCA">
        <w:rPr>
          <w:rFonts w:cstheme="minorHAnsi"/>
          <w:color w:val="161616"/>
          <w:lang w:val="en-US"/>
        </w:rPr>
        <w:t xml:space="preserve"> </w:t>
      </w:r>
    </w:p>
    <w:p w14:paraId="7857E34F" w14:textId="1BE5F921" w:rsidR="00A13F39" w:rsidRDefault="00A13F39" w:rsidP="00154D09">
      <w:pPr>
        <w:rPr>
          <w:rFonts w:cstheme="minorHAnsi"/>
          <w:color w:val="161616"/>
          <w:lang w:val="en-US"/>
        </w:rPr>
      </w:pPr>
    </w:p>
    <w:p w14:paraId="609337D6" w14:textId="5811CEC3" w:rsidR="00A13F39" w:rsidRDefault="00A13F39" w:rsidP="00154D09">
      <w:pPr>
        <w:rPr>
          <w:rFonts w:cstheme="minorHAnsi"/>
          <w:color w:val="161616"/>
          <w:lang w:val="en-US"/>
        </w:rPr>
      </w:pPr>
      <w:r>
        <w:rPr>
          <w:rFonts w:cstheme="minorHAnsi"/>
          <w:color w:val="161616"/>
          <w:lang w:val="en-US"/>
        </w:rPr>
        <w:t xml:space="preserve">Multiple logistic regression is further performed to investigate the effect of HDI after adjustment of other factors. The estimates of log odds are presented in Table 1. </w:t>
      </w:r>
      <w:r w:rsidR="003F6AF6">
        <w:rPr>
          <w:rFonts w:cstheme="minorHAnsi"/>
          <w:color w:val="161616"/>
          <w:lang w:val="en-US"/>
        </w:rPr>
        <w:t>The effect of HDI decreased but remain positive. All the factors are statistically significant</w:t>
      </w:r>
      <w:r w:rsidR="00B15BA7">
        <w:rPr>
          <w:rFonts w:cstheme="minorHAnsi"/>
          <w:color w:val="161616"/>
          <w:lang w:val="en-US"/>
        </w:rPr>
        <w:t xml:space="preserve">. The results are consistent with our knowledge that regions with more cigarettes </w:t>
      </w:r>
      <w:proofErr w:type="spellStart"/>
      <w:r w:rsidR="00B15BA7">
        <w:rPr>
          <w:rFonts w:cstheme="minorHAnsi"/>
          <w:color w:val="161616"/>
          <w:lang w:val="en-US"/>
        </w:rPr>
        <w:t>comsuption</w:t>
      </w:r>
      <w:proofErr w:type="spellEnd"/>
      <w:r w:rsidR="00B15BA7">
        <w:rPr>
          <w:rFonts w:cstheme="minorHAnsi"/>
          <w:color w:val="161616"/>
          <w:lang w:val="en-US"/>
        </w:rPr>
        <w:t xml:space="preserve"> and more persons with chronic disease is positively associated with case rates and mortality rates. However, regions with higher average annual gross salary are also positively correlated with case rates and mortality rates, but with small magnitude.</w:t>
      </w:r>
      <w:r w:rsidR="006B317B">
        <w:rPr>
          <w:rFonts w:cstheme="minorHAnsi"/>
          <w:color w:val="161616"/>
          <w:lang w:val="en-US"/>
        </w:rPr>
        <w:t xml:space="preserve"> More specifically, </w:t>
      </w:r>
      <w:r w:rsidR="00B26DD1">
        <w:rPr>
          <w:rFonts w:cstheme="minorHAnsi" w:hint="eastAsia"/>
          <w:color w:val="161616"/>
          <w:lang w:val="en-US"/>
        </w:rPr>
        <w:t>assume</w:t>
      </w:r>
      <w:r w:rsidR="00B26DD1">
        <w:rPr>
          <w:rFonts w:cstheme="minorHAnsi"/>
          <w:color w:val="161616"/>
          <w:lang w:val="en-US"/>
        </w:rPr>
        <w:t xml:space="preserve"> other factors remain same, 0.1 increase in HDI results in 6.</w:t>
      </w:r>
      <w:r w:rsidR="004E38B5">
        <w:rPr>
          <w:rFonts w:cstheme="minorHAnsi"/>
          <w:color w:val="161616"/>
          <w:lang w:val="en-US"/>
        </w:rPr>
        <w:t>03</w:t>
      </w:r>
      <w:r w:rsidR="00B26DD1">
        <w:rPr>
          <w:rFonts w:cstheme="minorHAnsi"/>
          <w:color w:val="161616"/>
          <w:lang w:val="en-US"/>
        </w:rPr>
        <w:t xml:space="preserve"> </w:t>
      </w:r>
      <w:r w:rsidR="00B26DD1">
        <w:rPr>
          <w:rFonts w:cstheme="minorHAnsi" w:hint="eastAsia"/>
          <w:color w:val="161616"/>
          <w:lang w:val="en-US"/>
        </w:rPr>
        <w:t>exponential</w:t>
      </w:r>
      <w:r w:rsidR="00B26DD1">
        <w:rPr>
          <w:rFonts w:cstheme="minorHAnsi"/>
          <w:color w:val="161616"/>
          <w:lang w:val="en-US"/>
        </w:rPr>
        <w:t xml:space="preserve"> increase in </w:t>
      </w:r>
      <w:r w:rsidR="004E38B5">
        <w:rPr>
          <w:rFonts w:cstheme="minorHAnsi"/>
          <w:color w:val="161616"/>
          <w:lang w:val="en-US"/>
        </w:rPr>
        <w:t>confirmation odds</w:t>
      </w:r>
      <w:r w:rsidR="00B66DAA">
        <w:rPr>
          <w:rFonts w:cstheme="minorHAnsi"/>
          <w:color w:val="161616"/>
          <w:lang w:val="en-US"/>
        </w:rPr>
        <w:t xml:space="preserve"> (p&lt;0.001)</w:t>
      </w:r>
      <w:r w:rsidR="004E38B5">
        <w:rPr>
          <w:rFonts w:cstheme="minorHAnsi"/>
          <w:color w:val="161616"/>
          <w:lang w:val="en-US"/>
        </w:rPr>
        <w:t xml:space="preserve">, and 9.78 exponential increase in death odds. Similarly, 1000 increase in average annual gross salary, 10 increase in number of cigarettes per day per 100 persons and 10% increase in the number of persons </w:t>
      </w:r>
      <w:r w:rsidR="00484FB3">
        <w:rPr>
          <w:rFonts w:cstheme="minorHAnsi"/>
          <w:color w:val="161616"/>
          <w:lang w:val="en-US"/>
        </w:rPr>
        <w:t>with at least one chronic disease</w:t>
      </w:r>
      <w:r w:rsidR="004E38B5">
        <w:rPr>
          <w:rFonts w:cstheme="minorHAnsi"/>
          <w:color w:val="161616"/>
          <w:lang w:val="en-US"/>
        </w:rPr>
        <w:t xml:space="preserve"> results in 1.34</w:t>
      </w:r>
      <w:r w:rsidR="00484FB3">
        <w:rPr>
          <w:rFonts w:cstheme="minorHAnsi"/>
          <w:color w:val="161616"/>
          <w:lang w:val="en-US"/>
        </w:rPr>
        <w:t>, 1.35, 1.72</w:t>
      </w:r>
      <w:r w:rsidR="004E38B5">
        <w:rPr>
          <w:rFonts w:cstheme="minorHAnsi"/>
          <w:color w:val="161616"/>
          <w:lang w:val="en-US"/>
        </w:rPr>
        <w:t xml:space="preserve"> exponential increase in odds of confirmed case</w:t>
      </w:r>
      <w:r w:rsidR="00484FB3">
        <w:rPr>
          <w:rFonts w:cstheme="minorHAnsi"/>
          <w:color w:val="161616"/>
          <w:lang w:val="en-US"/>
        </w:rPr>
        <w:t>, respectively. The interpretation is similar for odds of confirme</w:t>
      </w:r>
      <w:r w:rsidR="00B04BE8">
        <w:rPr>
          <w:rFonts w:cstheme="minorHAnsi"/>
          <w:color w:val="161616"/>
          <w:lang w:val="en-US"/>
        </w:rPr>
        <w:t xml:space="preserve">d </w:t>
      </w:r>
      <w:r w:rsidR="00D21ABA">
        <w:rPr>
          <w:rFonts w:cstheme="minorHAnsi"/>
          <w:color w:val="161616"/>
          <w:lang w:val="en-US"/>
        </w:rPr>
        <w:t>case.</w:t>
      </w:r>
    </w:p>
    <w:p w14:paraId="2C1D8605" w14:textId="03AB2F02" w:rsidR="00B15BA7" w:rsidRDefault="00B15BA7" w:rsidP="00154D09">
      <w:pPr>
        <w:rPr>
          <w:rFonts w:cstheme="minorHAnsi"/>
          <w:color w:val="161616"/>
          <w:lang w:val="en-US"/>
        </w:rPr>
      </w:pPr>
    </w:p>
    <w:p w14:paraId="265E0909" w14:textId="192C472F" w:rsidR="001464EA" w:rsidRDefault="00B15BA7" w:rsidP="00154D09">
      <w:pPr>
        <w:rPr>
          <w:lang w:val="en-US"/>
        </w:rPr>
      </w:pPr>
      <w:r>
        <w:rPr>
          <w:rFonts w:cstheme="minorHAnsi"/>
          <w:color w:val="161616"/>
          <w:lang w:val="en-US"/>
        </w:rPr>
        <w:t>In summary, though high HDI means longer life expectation, better education and better living standard, it is surprising to note that it associates with higher case rates and mortality rate. By further study, we ob</w:t>
      </w:r>
      <w:r w:rsidR="00A12C1D">
        <w:rPr>
          <w:rFonts w:cstheme="minorHAnsi"/>
          <w:color w:val="161616"/>
          <w:lang w:val="en-US"/>
        </w:rPr>
        <w:t>s</w:t>
      </w:r>
      <w:r>
        <w:rPr>
          <w:rFonts w:cstheme="minorHAnsi"/>
          <w:color w:val="161616"/>
          <w:lang w:val="en-US"/>
        </w:rPr>
        <w:t xml:space="preserve">erve that regions with </w:t>
      </w:r>
      <w:r w:rsidR="00A12C1D">
        <w:rPr>
          <w:rFonts w:cstheme="minorHAnsi"/>
          <w:color w:val="161616"/>
          <w:lang w:val="en-US"/>
        </w:rPr>
        <w:t>high HDI normally has higher number of persons with more than one chronic disease</w:t>
      </w:r>
      <w:r w:rsidR="003C76D0">
        <w:rPr>
          <w:rFonts w:cstheme="minorHAnsi"/>
          <w:color w:val="161616"/>
          <w:lang w:val="en-US"/>
        </w:rPr>
        <w:t>, less cigarette consumption and higher average annual gross salary</w:t>
      </w:r>
      <w:r w:rsidR="00A12C1D">
        <w:rPr>
          <w:rFonts w:cstheme="minorHAnsi"/>
          <w:color w:val="161616"/>
          <w:lang w:val="en-US"/>
        </w:rPr>
        <w:t xml:space="preserve">. </w:t>
      </w:r>
      <w:r w:rsidR="00B23E50">
        <w:rPr>
          <w:rFonts w:cstheme="minorHAnsi"/>
          <w:color w:val="161616"/>
          <w:lang w:val="en-US"/>
        </w:rPr>
        <w:t xml:space="preserve">Multiple logistic regression analysis shows that these three factors take </w:t>
      </w:r>
      <w:r w:rsidR="00B23E50">
        <w:rPr>
          <w:rFonts w:cstheme="minorHAnsi"/>
          <w:color w:val="161616"/>
          <w:lang w:val="en-US"/>
        </w:rPr>
        <w:lastRenderedPageBreak/>
        <w:t xml:space="preserve">some effects of HDI on the case rates and death rates. </w:t>
      </w:r>
      <w:r w:rsidR="00A12C1D">
        <w:rPr>
          <w:rFonts w:cstheme="minorHAnsi"/>
          <w:color w:val="161616"/>
          <w:lang w:val="en-US"/>
        </w:rPr>
        <w:t>Th</w:t>
      </w:r>
      <w:r w:rsidR="00B23E50">
        <w:rPr>
          <w:rFonts w:cstheme="minorHAnsi"/>
          <w:color w:val="161616"/>
          <w:lang w:val="en-US"/>
        </w:rPr>
        <w:t>is may partially explain why unexpected positive effect of HDI on</w:t>
      </w:r>
      <w:r w:rsidR="00A12C1D">
        <w:rPr>
          <w:rFonts w:cstheme="minorHAnsi"/>
          <w:color w:val="161616"/>
          <w:lang w:val="en-US"/>
        </w:rPr>
        <w:t xml:space="preserve"> case rate and mortality rates. </w:t>
      </w:r>
    </w:p>
    <w:p w14:paraId="30704D0A" w14:textId="774086F0" w:rsidR="00F22A4D" w:rsidRPr="000C4509" w:rsidRDefault="00F22A4D" w:rsidP="00154D09">
      <w:pPr>
        <w:rPr>
          <w:rFonts w:cstheme="minorHAnsi"/>
          <w:lang w:val="en-US"/>
        </w:rPr>
      </w:pPr>
    </w:p>
    <w:p w14:paraId="57D22012" w14:textId="77777777" w:rsidR="005F53CE" w:rsidRPr="000C4509" w:rsidRDefault="005F53CE" w:rsidP="005F53CE">
      <w:pPr>
        <w:rPr>
          <w:rFonts w:cstheme="minorHAnsi"/>
          <w:b/>
        </w:rPr>
      </w:pPr>
      <w:r w:rsidRPr="000C4509">
        <w:rPr>
          <w:rFonts w:cstheme="minorHAnsi"/>
          <w:b/>
          <w:bCs/>
        </w:rPr>
        <w:t xml:space="preserve">Declarations </w:t>
      </w:r>
    </w:p>
    <w:p w14:paraId="33253213" w14:textId="6FC83B62" w:rsidR="005F53CE" w:rsidRPr="000C4509" w:rsidRDefault="005F53CE" w:rsidP="005F53CE">
      <w:pPr>
        <w:rPr>
          <w:rFonts w:cstheme="minorHAnsi"/>
        </w:rPr>
      </w:pPr>
      <w:r w:rsidRPr="000C4509">
        <w:rPr>
          <w:rFonts w:cstheme="minorHAnsi"/>
          <w:b/>
        </w:rPr>
        <w:t xml:space="preserve">Ethics approval and consent to participate </w:t>
      </w:r>
    </w:p>
    <w:p w14:paraId="34FECD15" w14:textId="77777777" w:rsidR="005F53CE" w:rsidRPr="000C4509" w:rsidRDefault="005F53CE" w:rsidP="005F53CE">
      <w:pPr>
        <w:rPr>
          <w:rFonts w:cstheme="minorHAnsi"/>
          <w:b/>
        </w:rPr>
      </w:pPr>
      <w:r w:rsidRPr="000C4509">
        <w:rPr>
          <w:rFonts w:cstheme="minorHAnsi"/>
        </w:rPr>
        <w:t xml:space="preserve">The ethical approval or individual consent was not applicable. </w:t>
      </w:r>
    </w:p>
    <w:p w14:paraId="2E0E71BA" w14:textId="77777777" w:rsidR="005F53CE" w:rsidRPr="000C4509" w:rsidRDefault="005F53CE" w:rsidP="005F53CE">
      <w:pPr>
        <w:rPr>
          <w:rFonts w:cstheme="minorHAnsi"/>
        </w:rPr>
      </w:pPr>
      <w:r w:rsidRPr="000C4509">
        <w:rPr>
          <w:rFonts w:cstheme="minorHAnsi"/>
          <w:b/>
        </w:rPr>
        <w:t xml:space="preserve">Availability of data and materials </w:t>
      </w:r>
    </w:p>
    <w:p w14:paraId="7B2DB0E7" w14:textId="77777777" w:rsidR="005F53CE" w:rsidRPr="000C4509" w:rsidRDefault="005F53CE" w:rsidP="005F53CE">
      <w:pPr>
        <w:rPr>
          <w:rFonts w:cstheme="minorHAnsi"/>
          <w:b/>
        </w:rPr>
      </w:pPr>
      <w:r w:rsidRPr="000C4509">
        <w:rPr>
          <w:rFonts w:cstheme="minorHAnsi"/>
        </w:rPr>
        <w:t xml:space="preserve">All data and materials used in this work were publicly available. </w:t>
      </w:r>
    </w:p>
    <w:p w14:paraId="22E880EF" w14:textId="77777777" w:rsidR="005F53CE" w:rsidRPr="000C4509" w:rsidRDefault="005F53CE" w:rsidP="005F53CE">
      <w:pPr>
        <w:rPr>
          <w:rFonts w:cstheme="minorHAnsi"/>
        </w:rPr>
      </w:pPr>
      <w:r w:rsidRPr="000C4509">
        <w:rPr>
          <w:rFonts w:cstheme="minorHAnsi"/>
          <w:b/>
        </w:rPr>
        <w:t xml:space="preserve">Consent for publication </w:t>
      </w:r>
    </w:p>
    <w:p w14:paraId="4CA723C5" w14:textId="77777777" w:rsidR="005F53CE" w:rsidRPr="000C4509" w:rsidRDefault="005F53CE" w:rsidP="005F53CE">
      <w:pPr>
        <w:rPr>
          <w:rFonts w:cstheme="minorHAnsi"/>
          <w:b/>
        </w:rPr>
      </w:pPr>
      <w:r w:rsidRPr="000C4509">
        <w:rPr>
          <w:rFonts w:cstheme="minorHAnsi"/>
        </w:rPr>
        <w:t xml:space="preserve">Not applicable. </w:t>
      </w:r>
    </w:p>
    <w:p w14:paraId="43141954" w14:textId="77777777" w:rsidR="005F53CE" w:rsidRPr="000C4509" w:rsidRDefault="005F53CE" w:rsidP="005F53CE">
      <w:pPr>
        <w:rPr>
          <w:rFonts w:cstheme="minorHAnsi"/>
        </w:rPr>
      </w:pPr>
      <w:r w:rsidRPr="000C4509">
        <w:rPr>
          <w:rFonts w:cstheme="minorHAnsi"/>
          <w:b/>
        </w:rPr>
        <w:t xml:space="preserve">Funding </w:t>
      </w:r>
    </w:p>
    <w:p w14:paraId="4F057D18" w14:textId="77777777" w:rsidR="005F53CE" w:rsidRPr="000C4509" w:rsidRDefault="005F53CE" w:rsidP="005F53CE">
      <w:pPr>
        <w:rPr>
          <w:rFonts w:cstheme="minorHAnsi"/>
        </w:rPr>
      </w:pPr>
      <w:r w:rsidRPr="000C4509">
        <w:rPr>
          <w:rFonts w:cstheme="minorHAnsi"/>
        </w:rPr>
        <w:t xml:space="preserve">DH was supported by General Research Fund (15205119) of Research Grants Council of Hong Kong and an Alibaba-Hong Kong Polytechnic University Collaborative Research project. The funding agencies had no role in the design and conduct of the study; collection, management, analysis, and interpretation of the data; preparation, review, or approval of the manuscript; or decision to submit the manuscript for publication. </w:t>
      </w:r>
    </w:p>
    <w:p w14:paraId="61770E44" w14:textId="1423FF15" w:rsidR="005F53CE" w:rsidRPr="000C4509" w:rsidRDefault="005F53CE" w:rsidP="005F53CE">
      <w:pPr>
        <w:rPr>
          <w:rFonts w:cstheme="minorHAnsi"/>
        </w:rPr>
      </w:pPr>
      <w:r w:rsidRPr="000C4509">
        <w:rPr>
          <w:rFonts w:cstheme="minorHAnsi"/>
          <w:b/>
        </w:rPr>
        <w:t xml:space="preserve">Acknowledgements </w:t>
      </w:r>
    </w:p>
    <w:p w14:paraId="2F6B238A" w14:textId="77777777" w:rsidR="005F53CE" w:rsidRPr="000C4509" w:rsidRDefault="005F53CE" w:rsidP="005F53CE">
      <w:pPr>
        <w:rPr>
          <w:rFonts w:cstheme="minorHAnsi"/>
          <w:b/>
          <w:bCs/>
        </w:rPr>
      </w:pPr>
      <w:r w:rsidRPr="000C4509">
        <w:rPr>
          <w:rFonts w:cstheme="minorHAnsi"/>
        </w:rPr>
        <w:t xml:space="preserve">None. </w:t>
      </w:r>
    </w:p>
    <w:p w14:paraId="3C3F40FF" w14:textId="77777777" w:rsidR="005F53CE" w:rsidRPr="000C4509" w:rsidRDefault="005F53CE" w:rsidP="005F53CE">
      <w:pPr>
        <w:rPr>
          <w:rFonts w:cstheme="minorHAnsi"/>
        </w:rPr>
      </w:pPr>
      <w:r w:rsidRPr="000C4509">
        <w:rPr>
          <w:rFonts w:cstheme="minorHAnsi"/>
          <w:b/>
          <w:bCs/>
        </w:rPr>
        <w:t xml:space="preserve">Conflict of interest statement </w:t>
      </w:r>
    </w:p>
    <w:p w14:paraId="61AD44A3" w14:textId="51A077E2" w:rsidR="005F53CE" w:rsidRPr="000C4509" w:rsidRDefault="005F53CE" w:rsidP="005F53CE">
      <w:pPr>
        <w:rPr>
          <w:rFonts w:cstheme="minorHAnsi"/>
          <w:b/>
          <w:bCs/>
        </w:rPr>
      </w:pPr>
      <w:r w:rsidRPr="000C4509">
        <w:rPr>
          <w:rFonts w:cstheme="minorHAnsi"/>
          <w:lang w:val="en-US"/>
        </w:rPr>
        <w:t>The a</w:t>
      </w:r>
      <w:r w:rsidRPr="000C4509">
        <w:rPr>
          <w:rFonts w:cstheme="minorHAnsi"/>
        </w:rPr>
        <w:t>uthors declare no competing interests.</w:t>
      </w:r>
    </w:p>
    <w:p w14:paraId="435D7AE1" w14:textId="743FE2D3" w:rsidR="001F2D09" w:rsidRPr="000C4509" w:rsidRDefault="001F2D09" w:rsidP="00154D09">
      <w:pPr>
        <w:rPr>
          <w:rFonts w:cstheme="minorHAnsi"/>
          <w:lang w:val="en-US"/>
        </w:rPr>
      </w:pPr>
    </w:p>
    <w:p w14:paraId="51EDB7BB" w14:textId="27AE5D2C" w:rsidR="001F2D09" w:rsidRPr="000C4509" w:rsidRDefault="001F2D09" w:rsidP="00154D09">
      <w:pPr>
        <w:rPr>
          <w:rFonts w:cstheme="minorHAnsi"/>
          <w:lang w:val="en-US"/>
        </w:rPr>
      </w:pPr>
    </w:p>
    <w:p w14:paraId="67392B76" w14:textId="641C6E1E" w:rsidR="001F2D09" w:rsidRPr="000C4509" w:rsidRDefault="001F2D09" w:rsidP="00154D09">
      <w:pPr>
        <w:rPr>
          <w:rFonts w:cstheme="minorHAnsi"/>
          <w:lang w:val="en-US"/>
        </w:rPr>
      </w:pPr>
      <w:r w:rsidRPr="000C4509">
        <w:rPr>
          <w:rFonts w:cstheme="minorHAnsi"/>
          <w:lang w:val="en-US"/>
        </w:rPr>
        <w:t>Reference</w:t>
      </w:r>
    </w:p>
    <w:p w14:paraId="049D6456" w14:textId="6189C8E9" w:rsidR="00987991" w:rsidRPr="000C4509" w:rsidRDefault="001F2D09" w:rsidP="00204528">
      <w:pPr>
        <w:pStyle w:val="NormalWeb"/>
        <w:rPr>
          <w:rFonts w:asciiTheme="minorHAnsi" w:hAnsiTheme="minorHAnsi" w:cstheme="minorHAnsi"/>
          <w:lang w:val="en-US"/>
        </w:rPr>
      </w:pPr>
      <w:r w:rsidRPr="000C4509">
        <w:rPr>
          <w:rFonts w:asciiTheme="minorHAnsi" w:hAnsiTheme="minorHAnsi" w:cstheme="minorHAnsi"/>
          <w:lang w:val="en-US"/>
        </w:rPr>
        <w:t xml:space="preserve">[1] </w:t>
      </w:r>
      <w:r w:rsidRPr="000C4509">
        <w:rPr>
          <w:rFonts w:asciiTheme="minorHAnsi" w:hAnsiTheme="minorHAnsi" w:cstheme="minorHAnsi"/>
        </w:rPr>
        <w:t>Andrea Remuzzi</w:t>
      </w:r>
      <w:r w:rsidRPr="000C4509">
        <w:rPr>
          <w:rFonts w:asciiTheme="minorHAnsi" w:hAnsiTheme="minorHAnsi" w:cstheme="minorHAnsi"/>
          <w:lang w:val="en-US"/>
        </w:rPr>
        <w:t xml:space="preserve"> and </w:t>
      </w:r>
      <w:r w:rsidRPr="000C4509">
        <w:rPr>
          <w:rFonts w:asciiTheme="minorHAnsi" w:hAnsiTheme="minorHAnsi" w:cstheme="minorHAnsi"/>
        </w:rPr>
        <w:t>Giuseppe Remuzzi</w:t>
      </w:r>
      <w:r w:rsidR="009A3B88" w:rsidRPr="000C4509">
        <w:rPr>
          <w:rFonts w:asciiTheme="minorHAnsi" w:hAnsiTheme="minorHAnsi" w:cstheme="minorHAnsi"/>
          <w:lang w:val="en-US"/>
        </w:rPr>
        <w:t xml:space="preserve">. </w:t>
      </w:r>
      <w:r w:rsidRPr="000C4509">
        <w:rPr>
          <w:rFonts w:asciiTheme="minorHAnsi" w:hAnsiTheme="minorHAnsi" w:cstheme="minorHAnsi"/>
        </w:rPr>
        <w:t xml:space="preserve">COVID-19 and Italy: what next? </w:t>
      </w:r>
      <w:r w:rsidRPr="000C4509">
        <w:rPr>
          <w:rFonts w:asciiTheme="minorHAnsi" w:hAnsiTheme="minorHAnsi" w:cstheme="minorHAnsi"/>
          <w:i/>
          <w:iCs/>
          <w:lang w:val="en-US"/>
        </w:rPr>
        <w:t>The Lance</w:t>
      </w:r>
      <w:r w:rsidR="009A3B88" w:rsidRPr="000C4509">
        <w:rPr>
          <w:rFonts w:asciiTheme="minorHAnsi" w:hAnsiTheme="minorHAnsi" w:cstheme="minorHAnsi"/>
          <w:i/>
          <w:iCs/>
          <w:lang w:val="en-US"/>
        </w:rPr>
        <w:t>t.</w:t>
      </w:r>
      <w:r w:rsidR="00154D09" w:rsidRPr="000C4509">
        <w:rPr>
          <w:rFonts w:asciiTheme="minorHAnsi" w:hAnsiTheme="minorHAnsi" w:cstheme="minorHAnsi"/>
          <w:i/>
          <w:iCs/>
          <w:lang w:val="en-US"/>
        </w:rPr>
        <w:t xml:space="preserve"> </w:t>
      </w:r>
      <w:r w:rsidR="009A3B88" w:rsidRPr="000C4509">
        <w:rPr>
          <w:rFonts w:asciiTheme="minorHAnsi" w:hAnsiTheme="minorHAnsi" w:cstheme="minorHAnsi"/>
          <w:lang w:val="en-US"/>
        </w:rPr>
        <w:t xml:space="preserve">2020, </w:t>
      </w:r>
      <w:r w:rsidR="00154D09" w:rsidRPr="000C4509">
        <w:rPr>
          <w:rFonts w:asciiTheme="minorHAnsi" w:hAnsiTheme="minorHAnsi" w:cstheme="minorHAnsi"/>
          <w:lang w:val="en-US"/>
        </w:rPr>
        <w:t>395:1225-28</w:t>
      </w:r>
      <w:r w:rsidR="008263BB" w:rsidRPr="000C4509">
        <w:rPr>
          <w:rFonts w:asciiTheme="minorHAnsi" w:hAnsiTheme="minorHAnsi" w:cstheme="minorHAnsi"/>
          <w:lang w:val="en-US"/>
        </w:rPr>
        <w:t>.</w:t>
      </w:r>
    </w:p>
    <w:p w14:paraId="2F6CD784" w14:textId="6A6409EA" w:rsidR="00987991" w:rsidRPr="000C4509" w:rsidRDefault="00987991" w:rsidP="00154D09">
      <w:pPr>
        <w:pStyle w:val="Heading1"/>
        <w:spacing w:before="0" w:beforeAutospacing="0" w:after="0" w:afterAutospacing="0"/>
        <w:rPr>
          <w:rFonts w:asciiTheme="minorHAnsi" w:hAnsiTheme="minorHAnsi" w:cstheme="minorHAnsi"/>
          <w:b w:val="0"/>
          <w:bCs w:val="0"/>
          <w:color w:val="161616"/>
          <w:sz w:val="24"/>
          <w:szCs w:val="24"/>
          <w:lang w:val="en-US"/>
        </w:rPr>
      </w:pPr>
      <w:r w:rsidRPr="000C4509">
        <w:rPr>
          <w:rFonts w:asciiTheme="minorHAnsi" w:hAnsiTheme="minorHAnsi" w:cstheme="minorHAnsi"/>
          <w:b w:val="0"/>
          <w:bCs w:val="0"/>
          <w:color w:val="161616"/>
          <w:sz w:val="24"/>
          <w:szCs w:val="24"/>
          <w:lang w:val="en-US"/>
        </w:rPr>
        <w:t>[</w:t>
      </w:r>
      <w:r w:rsidR="00204528" w:rsidRPr="000C4509">
        <w:rPr>
          <w:rFonts w:asciiTheme="minorHAnsi" w:hAnsiTheme="minorHAnsi" w:cstheme="minorHAnsi"/>
          <w:b w:val="0"/>
          <w:bCs w:val="0"/>
          <w:color w:val="161616"/>
          <w:sz w:val="24"/>
          <w:szCs w:val="24"/>
          <w:lang w:val="en-US"/>
        </w:rPr>
        <w:t>2</w:t>
      </w:r>
      <w:r w:rsidRPr="000C4509">
        <w:rPr>
          <w:rFonts w:asciiTheme="minorHAnsi" w:hAnsiTheme="minorHAnsi" w:cstheme="minorHAnsi"/>
          <w:b w:val="0"/>
          <w:bCs w:val="0"/>
          <w:color w:val="161616"/>
          <w:sz w:val="24"/>
          <w:szCs w:val="24"/>
          <w:lang w:val="en-US"/>
        </w:rPr>
        <w:t xml:space="preserve">] Edward Livingston and Karen Bucher. Coronavirus Disease 2019 (COVID-19) in Italy. </w:t>
      </w:r>
      <w:r w:rsidRPr="000C4509">
        <w:rPr>
          <w:rFonts w:asciiTheme="minorHAnsi" w:hAnsiTheme="minorHAnsi" w:cstheme="minorHAnsi"/>
          <w:b w:val="0"/>
          <w:bCs w:val="0"/>
          <w:i/>
          <w:iCs/>
          <w:color w:val="161616"/>
          <w:sz w:val="24"/>
          <w:szCs w:val="24"/>
          <w:lang w:val="en-US"/>
        </w:rPr>
        <w:t>JAM</w:t>
      </w:r>
      <w:r w:rsidR="009A3B88" w:rsidRPr="000C4509">
        <w:rPr>
          <w:rFonts w:asciiTheme="minorHAnsi" w:hAnsiTheme="minorHAnsi" w:cstheme="minorHAnsi"/>
          <w:b w:val="0"/>
          <w:bCs w:val="0"/>
          <w:i/>
          <w:iCs/>
          <w:color w:val="161616"/>
          <w:sz w:val="24"/>
          <w:szCs w:val="24"/>
          <w:lang w:val="en-US"/>
        </w:rPr>
        <w:t>A.</w:t>
      </w:r>
      <w:r w:rsidRPr="000C4509">
        <w:rPr>
          <w:rFonts w:asciiTheme="minorHAnsi" w:hAnsiTheme="minorHAnsi" w:cstheme="minorHAnsi"/>
          <w:b w:val="0"/>
          <w:bCs w:val="0"/>
          <w:i/>
          <w:iCs/>
          <w:color w:val="161616"/>
          <w:sz w:val="24"/>
          <w:szCs w:val="24"/>
          <w:lang w:val="en-US"/>
        </w:rPr>
        <w:t xml:space="preserve"> </w:t>
      </w:r>
      <w:r w:rsidRPr="000C4509">
        <w:rPr>
          <w:rFonts w:asciiTheme="minorHAnsi" w:hAnsiTheme="minorHAnsi" w:cstheme="minorHAnsi"/>
          <w:b w:val="0"/>
          <w:bCs w:val="0"/>
          <w:color w:val="161616"/>
          <w:sz w:val="24"/>
          <w:szCs w:val="24"/>
          <w:lang w:val="en-US"/>
        </w:rPr>
        <w:t>2020, 323(14)</w:t>
      </w:r>
      <w:r w:rsidR="009A3B88" w:rsidRPr="000C4509">
        <w:rPr>
          <w:rFonts w:asciiTheme="minorHAnsi" w:hAnsiTheme="minorHAnsi" w:cstheme="minorHAnsi"/>
          <w:b w:val="0"/>
          <w:bCs w:val="0"/>
          <w:color w:val="161616"/>
          <w:sz w:val="24"/>
          <w:szCs w:val="24"/>
          <w:lang w:val="en-US"/>
        </w:rPr>
        <w:t>:1335</w:t>
      </w:r>
      <w:r w:rsidR="003C1103" w:rsidRPr="000C4509">
        <w:rPr>
          <w:rFonts w:asciiTheme="minorHAnsi" w:hAnsiTheme="minorHAnsi" w:cstheme="minorHAnsi"/>
          <w:b w:val="0"/>
          <w:bCs w:val="0"/>
          <w:color w:val="161616"/>
          <w:sz w:val="24"/>
          <w:szCs w:val="24"/>
          <w:lang w:val="en-US"/>
        </w:rPr>
        <w:t>. https://jamanetwork.com/journals/jama/fullarticle/2763401</w:t>
      </w:r>
    </w:p>
    <w:p w14:paraId="161BBC76" w14:textId="4119C3D9" w:rsidR="003C1103" w:rsidRPr="000C4509" w:rsidRDefault="003C1103" w:rsidP="00154D09">
      <w:pPr>
        <w:pStyle w:val="Heading1"/>
        <w:spacing w:before="0" w:beforeAutospacing="0" w:after="0" w:afterAutospacing="0"/>
        <w:rPr>
          <w:rFonts w:asciiTheme="minorHAnsi" w:hAnsiTheme="minorHAnsi" w:cstheme="minorHAnsi"/>
          <w:b w:val="0"/>
          <w:bCs w:val="0"/>
          <w:color w:val="161616"/>
          <w:sz w:val="24"/>
          <w:szCs w:val="24"/>
          <w:lang w:val="en-US"/>
        </w:rPr>
      </w:pPr>
    </w:p>
    <w:p w14:paraId="147B3287" w14:textId="630DEAF6" w:rsidR="003C1103" w:rsidRPr="000C4509" w:rsidRDefault="003C1103" w:rsidP="003C1103">
      <w:pPr>
        <w:rPr>
          <w:rFonts w:eastAsia="Times New Roman" w:cstheme="minorHAnsi"/>
        </w:rPr>
      </w:pPr>
      <w:r w:rsidRPr="000C4509">
        <w:rPr>
          <w:rFonts w:cstheme="minorHAnsi"/>
          <w:color w:val="161616"/>
          <w:lang w:val="en-US"/>
        </w:rPr>
        <w:t>[</w:t>
      </w:r>
      <w:r w:rsidR="00204528" w:rsidRPr="000C4509">
        <w:rPr>
          <w:rFonts w:cstheme="minorHAnsi"/>
          <w:color w:val="161616"/>
          <w:lang w:val="en-US"/>
        </w:rPr>
        <w:t>3</w:t>
      </w:r>
      <w:r w:rsidRPr="000C4509">
        <w:rPr>
          <w:rFonts w:cstheme="minorHAnsi"/>
          <w:color w:val="161616"/>
          <w:lang w:val="en-US"/>
        </w:rPr>
        <w:t xml:space="preserve">] Graziano </w:t>
      </w:r>
      <w:proofErr w:type="spellStart"/>
      <w:r w:rsidRPr="000C4509">
        <w:rPr>
          <w:rFonts w:cstheme="minorHAnsi"/>
          <w:color w:val="161616"/>
          <w:lang w:val="en-US"/>
        </w:rPr>
        <w:t>Onder</w:t>
      </w:r>
      <w:proofErr w:type="spellEnd"/>
      <w:r w:rsidRPr="000C4509">
        <w:rPr>
          <w:rFonts w:cstheme="minorHAnsi"/>
          <w:color w:val="161616"/>
          <w:lang w:val="en-US"/>
        </w:rPr>
        <w:t xml:space="preserve">, Giovanni </w:t>
      </w:r>
      <w:proofErr w:type="spellStart"/>
      <w:r w:rsidRPr="000C4509">
        <w:rPr>
          <w:rFonts w:cstheme="minorHAnsi"/>
          <w:color w:val="161616"/>
          <w:lang w:val="en-US"/>
        </w:rPr>
        <w:t>Rezza</w:t>
      </w:r>
      <w:proofErr w:type="spellEnd"/>
      <w:r w:rsidRPr="000C4509">
        <w:rPr>
          <w:rFonts w:cstheme="minorHAnsi"/>
          <w:color w:val="161616"/>
          <w:lang w:val="en-US"/>
        </w:rPr>
        <w:t xml:space="preserve"> and Silvio </w:t>
      </w:r>
      <w:proofErr w:type="spellStart"/>
      <w:r w:rsidRPr="000C4509">
        <w:rPr>
          <w:rFonts w:cstheme="minorHAnsi"/>
          <w:color w:val="161616"/>
          <w:lang w:val="en-US"/>
        </w:rPr>
        <w:t>Brusaferro</w:t>
      </w:r>
      <w:proofErr w:type="spellEnd"/>
      <w:r w:rsidRPr="000C4509">
        <w:rPr>
          <w:rFonts w:cstheme="minorHAnsi"/>
          <w:color w:val="161616"/>
          <w:lang w:val="en-US"/>
        </w:rPr>
        <w:t>.  Case-fatality rate and characteristics of patients Dying in relation to COVID-19 in Italy. 2020, 323(18):1775-1776.</w:t>
      </w:r>
      <w:r w:rsidRPr="000C4509">
        <w:rPr>
          <w:rFonts w:cstheme="minorHAnsi"/>
          <w:b/>
          <w:bCs/>
          <w:color w:val="161616"/>
          <w:lang w:val="en-US"/>
        </w:rPr>
        <w:t xml:space="preserve"> </w:t>
      </w:r>
      <w:r w:rsidRPr="000C4509">
        <w:rPr>
          <w:rFonts w:cstheme="minorHAnsi"/>
          <w:color w:val="161616"/>
          <w:lang w:val="en-US"/>
        </w:rPr>
        <w:t>https://jamanetwork.com/journals/jama/fullarticle/2763667</w:t>
      </w:r>
    </w:p>
    <w:p w14:paraId="5F0EE1B5" w14:textId="512992FA" w:rsidR="003C1103" w:rsidRPr="000C4509" w:rsidRDefault="003C1103" w:rsidP="00154D09">
      <w:pPr>
        <w:pStyle w:val="Heading1"/>
        <w:spacing w:before="0" w:beforeAutospacing="0" w:after="0" w:afterAutospacing="0"/>
        <w:rPr>
          <w:rFonts w:asciiTheme="minorHAnsi" w:hAnsiTheme="minorHAnsi" w:cstheme="minorHAnsi"/>
          <w:b w:val="0"/>
          <w:bCs w:val="0"/>
          <w:i/>
          <w:iCs/>
          <w:color w:val="161616"/>
          <w:sz w:val="24"/>
          <w:szCs w:val="24"/>
          <w:lang w:val="en-US"/>
        </w:rPr>
      </w:pPr>
    </w:p>
    <w:p w14:paraId="42F867FF" w14:textId="7EA8A04D" w:rsidR="008C7914" w:rsidRDefault="008C7914" w:rsidP="00154D09">
      <w:pPr>
        <w:pStyle w:val="Heading1"/>
        <w:spacing w:before="0" w:beforeAutospacing="0" w:after="0" w:afterAutospacing="0"/>
        <w:rPr>
          <w:rFonts w:asciiTheme="minorHAnsi" w:hAnsiTheme="minorHAnsi" w:cstheme="minorHAnsi"/>
          <w:b w:val="0"/>
          <w:bCs w:val="0"/>
          <w:sz w:val="24"/>
          <w:szCs w:val="24"/>
          <w:lang w:val="en-US"/>
        </w:rPr>
      </w:pPr>
      <w:r w:rsidRPr="000C4509">
        <w:rPr>
          <w:rFonts w:asciiTheme="minorHAnsi" w:hAnsiTheme="minorHAnsi" w:cstheme="minorHAnsi"/>
          <w:b w:val="0"/>
          <w:bCs w:val="0"/>
          <w:color w:val="161616"/>
          <w:sz w:val="24"/>
          <w:szCs w:val="24"/>
          <w:lang w:val="en-US"/>
        </w:rPr>
        <w:t xml:space="preserve">[4] </w:t>
      </w:r>
      <w:r w:rsidRPr="000C4509">
        <w:rPr>
          <w:rFonts w:asciiTheme="minorHAnsi" w:hAnsiTheme="minorHAnsi" w:cstheme="minorHAnsi"/>
          <w:b w:val="0"/>
          <w:bCs w:val="0"/>
          <w:sz w:val="24"/>
          <w:szCs w:val="24"/>
        </w:rPr>
        <w:t xml:space="preserve">Guangchuang YU, </w:t>
      </w:r>
      <w:hyperlink r:id="rId13" w:history="1">
        <w:r w:rsidR="008263BB" w:rsidRPr="000C4509">
          <w:rPr>
            <w:rStyle w:val="Hyperlink"/>
            <w:rFonts w:asciiTheme="minorHAnsi" w:hAnsiTheme="minorHAnsi" w:cstheme="minorHAnsi"/>
            <w:b w:val="0"/>
            <w:bCs w:val="0"/>
            <w:sz w:val="24"/>
            <w:szCs w:val="24"/>
          </w:rPr>
          <w:t>https://github.com/GuangchuangYu/nCov2019</w:t>
        </w:r>
      </w:hyperlink>
      <w:r w:rsidR="008263BB" w:rsidRPr="000C4509">
        <w:rPr>
          <w:rFonts w:asciiTheme="minorHAnsi" w:hAnsiTheme="minorHAnsi" w:cstheme="minorHAnsi"/>
          <w:b w:val="0"/>
          <w:bCs w:val="0"/>
          <w:sz w:val="24"/>
          <w:szCs w:val="24"/>
          <w:lang w:val="en-US"/>
        </w:rPr>
        <w:t xml:space="preserve">. Accessed on May 18, 2020. </w:t>
      </w:r>
    </w:p>
    <w:p w14:paraId="261AB292" w14:textId="6941439C" w:rsidR="00DC38AB" w:rsidRDefault="00DC38AB" w:rsidP="00154D09">
      <w:pPr>
        <w:pStyle w:val="Heading1"/>
        <w:spacing w:before="0" w:beforeAutospacing="0" w:after="0" w:afterAutospacing="0"/>
        <w:rPr>
          <w:rFonts w:asciiTheme="minorHAnsi" w:hAnsiTheme="minorHAnsi" w:cstheme="minorHAnsi"/>
          <w:b w:val="0"/>
          <w:bCs w:val="0"/>
          <w:sz w:val="24"/>
          <w:szCs w:val="24"/>
          <w:lang w:val="en-US"/>
        </w:rPr>
      </w:pPr>
    </w:p>
    <w:p w14:paraId="31B96ECF" w14:textId="0D64EADD" w:rsidR="001F2D09" w:rsidRDefault="00DC38AB" w:rsidP="0060740D">
      <w:pPr>
        <w:pStyle w:val="Heading1"/>
        <w:spacing w:before="0" w:beforeAutospacing="0" w:after="0" w:afterAutospacing="0"/>
        <w:rPr>
          <w:rStyle w:val="Hyperlink"/>
          <w:rFonts w:asciiTheme="minorHAnsi" w:hAnsiTheme="minorHAnsi" w:cstheme="minorHAnsi"/>
          <w:b w:val="0"/>
          <w:bCs w:val="0"/>
          <w:sz w:val="24"/>
          <w:szCs w:val="24"/>
          <w:lang w:val="en-US"/>
        </w:rPr>
      </w:pPr>
      <w:r>
        <w:rPr>
          <w:rFonts w:asciiTheme="minorHAnsi" w:hAnsiTheme="minorHAnsi" w:cstheme="minorHAnsi"/>
          <w:b w:val="0"/>
          <w:bCs w:val="0"/>
          <w:color w:val="161616"/>
          <w:sz w:val="24"/>
          <w:szCs w:val="24"/>
          <w:lang w:val="en-US"/>
        </w:rPr>
        <w:t xml:space="preserve">[5] Average annual gross salary in Italy in 2019, by region </w:t>
      </w:r>
      <w:hyperlink r:id="rId14" w:history="1">
        <w:r w:rsidRPr="007E59BA">
          <w:rPr>
            <w:rStyle w:val="Hyperlink"/>
            <w:rFonts w:asciiTheme="minorHAnsi" w:hAnsiTheme="minorHAnsi" w:cstheme="minorHAnsi"/>
            <w:b w:val="0"/>
            <w:bCs w:val="0"/>
            <w:sz w:val="24"/>
            <w:szCs w:val="24"/>
            <w:lang w:val="en-US"/>
          </w:rPr>
          <w:t>https://www.statista.com/statistics/708972/average-annual-nominal-wages-of-employees-italy-by-region/</w:t>
        </w:r>
      </w:hyperlink>
    </w:p>
    <w:p w14:paraId="7392D256" w14:textId="4D8AD888" w:rsidR="00A27157" w:rsidRDefault="00A27157">
      <w:pPr>
        <w:rPr>
          <w:rStyle w:val="Hyperlink"/>
          <w:rFonts w:eastAsia="Times New Roman" w:cstheme="minorHAnsi"/>
          <w:kern w:val="36"/>
          <w:lang w:val="en-US"/>
        </w:rPr>
      </w:pPr>
      <w:r>
        <w:rPr>
          <w:rStyle w:val="Hyperlink"/>
          <w:rFonts w:cstheme="minorHAnsi"/>
          <w:b/>
          <w:bCs/>
          <w:lang w:val="en-US"/>
        </w:rPr>
        <w:br w:type="page"/>
      </w:r>
    </w:p>
    <w:p w14:paraId="62A1BCFC" w14:textId="77777777" w:rsidR="0060740D" w:rsidRDefault="0060740D" w:rsidP="0060740D">
      <w:pPr>
        <w:pStyle w:val="Heading1"/>
        <w:spacing w:before="0" w:beforeAutospacing="0" w:after="0" w:afterAutospacing="0"/>
        <w:rPr>
          <w:rStyle w:val="Hyperlink"/>
          <w:rFonts w:asciiTheme="minorHAnsi" w:hAnsiTheme="minorHAnsi" w:cstheme="minorHAnsi"/>
          <w:b w:val="0"/>
          <w:bCs w:val="0"/>
          <w:sz w:val="24"/>
          <w:szCs w:val="24"/>
          <w:lang w:val="en-US"/>
        </w:rPr>
      </w:pPr>
    </w:p>
    <w:p w14:paraId="450C8D83" w14:textId="733B16FA" w:rsidR="0060740D" w:rsidRDefault="0060740D" w:rsidP="0060740D">
      <w:pPr>
        <w:pStyle w:val="Heading1"/>
        <w:spacing w:before="0" w:beforeAutospacing="0" w:after="0" w:afterAutospacing="0"/>
        <w:rPr>
          <w:rFonts w:asciiTheme="minorHAnsi" w:hAnsiTheme="minorHAnsi" w:cstheme="minorHAnsi"/>
          <w:b w:val="0"/>
          <w:bCs w:val="0"/>
          <w:color w:val="161616"/>
          <w:sz w:val="24"/>
          <w:szCs w:val="24"/>
          <w:lang w:val="en-US"/>
        </w:rPr>
      </w:pPr>
      <w:r>
        <w:rPr>
          <w:rFonts w:asciiTheme="minorHAnsi" w:hAnsiTheme="minorHAnsi" w:cstheme="minorHAnsi"/>
          <w:b w:val="0"/>
          <w:bCs w:val="0"/>
          <w:color w:val="161616"/>
          <w:sz w:val="24"/>
          <w:szCs w:val="24"/>
          <w:lang w:val="en-US"/>
        </w:rPr>
        <w:t>Figure 1 Log odds of case rate and log odds of mortality rate against HDI by May 15, 2020</w:t>
      </w:r>
      <w:r>
        <w:rPr>
          <w:rFonts w:cstheme="minorHAnsi"/>
          <w:noProof/>
          <w:lang w:val="en-US"/>
        </w:rPr>
        <w:drawing>
          <wp:inline distT="0" distB="0" distL="0" distR="0" wp14:anchorId="0D9DBABA" wp14:editId="771126C4">
            <wp:extent cx="5727700" cy="572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tes_hdi.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inline>
        </w:drawing>
      </w:r>
    </w:p>
    <w:p w14:paraId="3CED6CC8" w14:textId="7B730726" w:rsidR="00A27157" w:rsidRDefault="00A27157" w:rsidP="0060740D">
      <w:pPr>
        <w:pStyle w:val="Heading1"/>
        <w:spacing w:before="0" w:beforeAutospacing="0" w:after="0" w:afterAutospacing="0"/>
        <w:rPr>
          <w:rFonts w:asciiTheme="minorHAnsi" w:hAnsiTheme="minorHAnsi" w:cstheme="minorHAnsi"/>
          <w:b w:val="0"/>
          <w:bCs w:val="0"/>
          <w:color w:val="161616"/>
          <w:sz w:val="24"/>
          <w:szCs w:val="24"/>
          <w:lang w:val="en-US"/>
        </w:rPr>
      </w:pPr>
    </w:p>
    <w:p w14:paraId="06E63C7C" w14:textId="71DBF8BE" w:rsidR="00A27157" w:rsidRDefault="00A27157">
      <w:pPr>
        <w:rPr>
          <w:rFonts w:eastAsia="Times New Roman" w:cstheme="minorHAnsi"/>
          <w:color w:val="161616"/>
          <w:kern w:val="36"/>
          <w:lang w:val="en-US"/>
        </w:rPr>
      </w:pPr>
      <w:r>
        <w:rPr>
          <w:rFonts w:cstheme="minorHAnsi"/>
          <w:b/>
          <w:bCs/>
          <w:color w:val="161616"/>
          <w:lang w:val="en-US"/>
        </w:rPr>
        <w:br w:type="page"/>
      </w:r>
    </w:p>
    <w:p w14:paraId="200CD413" w14:textId="0CD4EE47" w:rsidR="00A27157" w:rsidRDefault="00A27157" w:rsidP="0060740D">
      <w:pPr>
        <w:pStyle w:val="Heading1"/>
        <w:spacing w:before="0" w:beforeAutospacing="0" w:after="0" w:afterAutospacing="0"/>
        <w:rPr>
          <w:rFonts w:asciiTheme="minorHAnsi" w:hAnsiTheme="minorHAnsi" w:cstheme="minorHAnsi"/>
          <w:b w:val="0"/>
          <w:bCs w:val="0"/>
          <w:color w:val="161616"/>
          <w:sz w:val="24"/>
          <w:szCs w:val="24"/>
          <w:lang w:val="en-US"/>
        </w:rPr>
      </w:pPr>
      <w:r>
        <w:rPr>
          <w:rFonts w:asciiTheme="minorHAnsi" w:hAnsiTheme="minorHAnsi" w:cstheme="minorHAnsi"/>
          <w:b w:val="0"/>
          <w:bCs w:val="0"/>
          <w:color w:val="161616"/>
          <w:sz w:val="24"/>
          <w:szCs w:val="24"/>
          <w:lang w:val="en-US"/>
        </w:rPr>
        <w:lastRenderedPageBreak/>
        <w:t>Table 1 log odds effects of different factors from logistic regression</w:t>
      </w:r>
    </w:p>
    <w:p w14:paraId="5FC5C4E0" w14:textId="77777777" w:rsidR="00A27157" w:rsidRDefault="00A27157" w:rsidP="0060740D">
      <w:pPr>
        <w:pStyle w:val="Heading1"/>
        <w:spacing w:before="0" w:beforeAutospacing="0" w:after="0" w:afterAutospacing="0"/>
        <w:rPr>
          <w:rFonts w:asciiTheme="minorHAnsi" w:hAnsiTheme="minorHAnsi" w:cstheme="minorHAnsi"/>
          <w:b w:val="0"/>
          <w:bCs w:val="0"/>
          <w:color w:val="161616"/>
          <w:sz w:val="24"/>
          <w:szCs w:val="24"/>
          <w:lang w:val="en-US"/>
        </w:rPr>
      </w:pPr>
    </w:p>
    <w:tbl>
      <w:tblPr>
        <w:tblStyle w:val="TableGrid"/>
        <w:tblW w:w="9067" w:type="dxa"/>
        <w:tblLook w:val="04A0" w:firstRow="1" w:lastRow="0" w:firstColumn="1" w:lastColumn="0" w:noHBand="0" w:noVBand="1"/>
      </w:tblPr>
      <w:tblGrid>
        <w:gridCol w:w="2506"/>
        <w:gridCol w:w="2736"/>
        <w:gridCol w:w="1882"/>
        <w:gridCol w:w="1943"/>
      </w:tblGrid>
      <w:tr w:rsidR="00275087" w14:paraId="5ECDB16B" w14:textId="77777777" w:rsidTr="004D53FE">
        <w:tc>
          <w:tcPr>
            <w:tcW w:w="2506" w:type="dxa"/>
          </w:tcPr>
          <w:p w14:paraId="04B112B0" w14:textId="4BD70C35" w:rsidR="00275087" w:rsidRDefault="00275087" w:rsidP="0060740D">
            <w:pPr>
              <w:pStyle w:val="Heading1"/>
              <w:spacing w:before="0" w:beforeAutospacing="0" w:after="0" w:afterAutospacing="0"/>
              <w:rPr>
                <w:rFonts w:asciiTheme="minorHAnsi" w:hAnsiTheme="minorHAnsi" w:cstheme="minorHAnsi"/>
                <w:b w:val="0"/>
                <w:bCs w:val="0"/>
                <w:color w:val="161616"/>
                <w:sz w:val="24"/>
                <w:szCs w:val="24"/>
                <w:lang w:val="en-US"/>
              </w:rPr>
            </w:pPr>
            <w:r>
              <w:rPr>
                <w:rFonts w:asciiTheme="minorHAnsi" w:hAnsiTheme="minorHAnsi" w:cstheme="minorHAnsi"/>
                <w:b w:val="0"/>
                <w:bCs w:val="0"/>
                <w:color w:val="161616"/>
                <w:sz w:val="24"/>
                <w:szCs w:val="24"/>
                <w:lang w:val="en-US"/>
              </w:rPr>
              <w:t>Univariate/multivariate</w:t>
            </w:r>
          </w:p>
        </w:tc>
        <w:tc>
          <w:tcPr>
            <w:tcW w:w="2984" w:type="dxa"/>
          </w:tcPr>
          <w:p w14:paraId="3D39121C" w14:textId="2762645D" w:rsidR="00275087" w:rsidRDefault="00275087" w:rsidP="0060740D">
            <w:pPr>
              <w:pStyle w:val="Heading1"/>
              <w:spacing w:before="0" w:beforeAutospacing="0" w:after="0" w:afterAutospacing="0"/>
              <w:rPr>
                <w:rFonts w:asciiTheme="minorHAnsi" w:hAnsiTheme="minorHAnsi" w:cstheme="minorHAnsi"/>
                <w:b w:val="0"/>
                <w:bCs w:val="0"/>
                <w:color w:val="161616"/>
                <w:sz w:val="24"/>
                <w:szCs w:val="24"/>
                <w:lang w:val="en-US"/>
              </w:rPr>
            </w:pPr>
            <w:r>
              <w:rPr>
                <w:rFonts w:asciiTheme="minorHAnsi" w:hAnsiTheme="minorHAnsi" w:cstheme="minorHAnsi"/>
                <w:b w:val="0"/>
                <w:bCs w:val="0"/>
                <w:color w:val="161616"/>
                <w:sz w:val="24"/>
                <w:szCs w:val="24"/>
                <w:lang w:val="en-US"/>
              </w:rPr>
              <w:t xml:space="preserve">Factors </w:t>
            </w:r>
          </w:p>
        </w:tc>
        <w:tc>
          <w:tcPr>
            <w:tcW w:w="2018" w:type="dxa"/>
          </w:tcPr>
          <w:p w14:paraId="51788A19" w14:textId="68D28BF2" w:rsidR="00275087" w:rsidRDefault="00275087" w:rsidP="0060740D">
            <w:pPr>
              <w:pStyle w:val="Heading1"/>
              <w:spacing w:before="0" w:beforeAutospacing="0" w:after="0" w:afterAutospacing="0"/>
              <w:rPr>
                <w:rFonts w:asciiTheme="minorHAnsi" w:hAnsiTheme="minorHAnsi" w:cstheme="minorHAnsi"/>
                <w:b w:val="0"/>
                <w:bCs w:val="0"/>
                <w:color w:val="161616"/>
                <w:sz w:val="24"/>
                <w:szCs w:val="24"/>
                <w:lang w:val="en-US"/>
              </w:rPr>
            </w:pPr>
            <w:r>
              <w:rPr>
                <w:rFonts w:asciiTheme="minorHAnsi" w:hAnsiTheme="minorHAnsi" w:cstheme="minorHAnsi"/>
                <w:b w:val="0"/>
                <w:bCs w:val="0"/>
                <w:color w:val="161616"/>
                <w:sz w:val="24"/>
                <w:szCs w:val="24"/>
                <w:lang w:val="en-US"/>
              </w:rPr>
              <w:t>Log odds of case rates</w:t>
            </w:r>
          </w:p>
        </w:tc>
        <w:tc>
          <w:tcPr>
            <w:tcW w:w="1559" w:type="dxa"/>
          </w:tcPr>
          <w:p w14:paraId="1856B754" w14:textId="12B6D2BF" w:rsidR="00275087" w:rsidRDefault="00275087" w:rsidP="0060740D">
            <w:pPr>
              <w:pStyle w:val="Heading1"/>
              <w:spacing w:before="0" w:beforeAutospacing="0" w:after="0" w:afterAutospacing="0"/>
              <w:rPr>
                <w:rFonts w:asciiTheme="minorHAnsi" w:hAnsiTheme="minorHAnsi" w:cstheme="minorHAnsi"/>
                <w:b w:val="0"/>
                <w:bCs w:val="0"/>
                <w:color w:val="161616"/>
                <w:sz w:val="24"/>
                <w:szCs w:val="24"/>
                <w:lang w:val="en-US"/>
              </w:rPr>
            </w:pPr>
            <w:r>
              <w:rPr>
                <w:rFonts w:asciiTheme="minorHAnsi" w:hAnsiTheme="minorHAnsi" w:cstheme="minorHAnsi"/>
                <w:b w:val="0"/>
                <w:bCs w:val="0"/>
                <w:color w:val="161616"/>
                <w:sz w:val="24"/>
                <w:szCs w:val="24"/>
                <w:lang w:val="en-US"/>
              </w:rPr>
              <w:t>Log odds of death rate</w:t>
            </w:r>
          </w:p>
        </w:tc>
      </w:tr>
      <w:tr w:rsidR="00275087" w14:paraId="4BCBEA88" w14:textId="77777777" w:rsidTr="004D53FE">
        <w:tc>
          <w:tcPr>
            <w:tcW w:w="2506" w:type="dxa"/>
          </w:tcPr>
          <w:p w14:paraId="1DFB8B77" w14:textId="73A3130A" w:rsidR="00275087" w:rsidRDefault="00275087" w:rsidP="0060740D">
            <w:pPr>
              <w:pStyle w:val="Heading1"/>
              <w:spacing w:before="0" w:beforeAutospacing="0" w:after="0" w:afterAutospacing="0"/>
              <w:rPr>
                <w:rFonts w:asciiTheme="minorHAnsi" w:hAnsiTheme="minorHAnsi" w:cstheme="minorHAnsi"/>
                <w:b w:val="0"/>
                <w:bCs w:val="0"/>
                <w:color w:val="161616"/>
                <w:sz w:val="24"/>
                <w:szCs w:val="24"/>
                <w:lang w:val="en-US"/>
              </w:rPr>
            </w:pPr>
            <w:r>
              <w:rPr>
                <w:rFonts w:asciiTheme="minorHAnsi" w:hAnsiTheme="minorHAnsi" w:cstheme="minorHAnsi"/>
                <w:b w:val="0"/>
                <w:bCs w:val="0"/>
                <w:color w:val="161616"/>
                <w:sz w:val="24"/>
                <w:szCs w:val="24"/>
                <w:lang w:val="en-US"/>
              </w:rPr>
              <w:t>Univariate</w:t>
            </w:r>
          </w:p>
        </w:tc>
        <w:tc>
          <w:tcPr>
            <w:tcW w:w="2984" w:type="dxa"/>
          </w:tcPr>
          <w:p w14:paraId="141C387B" w14:textId="1826A7AE" w:rsidR="00275087" w:rsidRDefault="00275087" w:rsidP="0060740D">
            <w:pPr>
              <w:pStyle w:val="Heading1"/>
              <w:spacing w:before="0" w:beforeAutospacing="0" w:after="0" w:afterAutospacing="0"/>
              <w:rPr>
                <w:rFonts w:asciiTheme="minorHAnsi" w:hAnsiTheme="minorHAnsi" w:cstheme="minorHAnsi"/>
                <w:b w:val="0"/>
                <w:bCs w:val="0"/>
                <w:color w:val="161616"/>
                <w:sz w:val="24"/>
                <w:szCs w:val="24"/>
                <w:lang w:val="en-US"/>
              </w:rPr>
            </w:pPr>
            <w:r>
              <w:rPr>
                <w:rFonts w:asciiTheme="minorHAnsi" w:hAnsiTheme="minorHAnsi" w:cstheme="minorHAnsi"/>
                <w:b w:val="0"/>
                <w:bCs w:val="0"/>
                <w:color w:val="161616"/>
                <w:sz w:val="24"/>
                <w:szCs w:val="24"/>
                <w:lang w:val="en-US"/>
              </w:rPr>
              <w:t>HDI</w:t>
            </w:r>
          </w:p>
        </w:tc>
        <w:tc>
          <w:tcPr>
            <w:tcW w:w="2018" w:type="dxa"/>
          </w:tcPr>
          <w:p w14:paraId="19AF7BA9" w14:textId="4A314359" w:rsidR="00275087" w:rsidRDefault="00275087" w:rsidP="0060740D">
            <w:pPr>
              <w:pStyle w:val="Heading1"/>
              <w:spacing w:before="0" w:beforeAutospacing="0" w:after="0" w:afterAutospacing="0"/>
              <w:rPr>
                <w:rFonts w:asciiTheme="minorHAnsi" w:hAnsiTheme="minorHAnsi" w:cstheme="minorHAnsi"/>
                <w:b w:val="0"/>
                <w:bCs w:val="0"/>
                <w:color w:val="161616"/>
                <w:sz w:val="24"/>
                <w:szCs w:val="24"/>
                <w:lang w:val="en-US"/>
              </w:rPr>
            </w:pPr>
            <w:r>
              <w:rPr>
                <w:rFonts w:asciiTheme="minorHAnsi" w:hAnsiTheme="minorHAnsi" w:cstheme="minorHAnsi"/>
                <w:b w:val="0"/>
                <w:bCs w:val="0"/>
                <w:color w:val="161616"/>
                <w:sz w:val="24"/>
                <w:szCs w:val="24"/>
                <w:lang w:val="en-US"/>
              </w:rPr>
              <w:t>28.6476</w:t>
            </w:r>
            <w:r w:rsidR="00AC2942">
              <w:rPr>
                <w:rFonts w:asciiTheme="minorHAnsi" w:hAnsiTheme="minorHAnsi" w:cstheme="minorHAnsi"/>
                <w:b w:val="0"/>
                <w:bCs w:val="0"/>
                <w:color w:val="161616"/>
                <w:sz w:val="24"/>
                <w:szCs w:val="24"/>
                <w:lang w:val="en-US"/>
              </w:rPr>
              <w:t xml:space="preserve"> (0.1214)</w:t>
            </w:r>
          </w:p>
        </w:tc>
        <w:tc>
          <w:tcPr>
            <w:tcW w:w="1559" w:type="dxa"/>
          </w:tcPr>
          <w:p w14:paraId="7C27C5FA" w14:textId="5F46A80C" w:rsidR="00275087" w:rsidRDefault="00275087" w:rsidP="0060740D">
            <w:pPr>
              <w:pStyle w:val="Heading1"/>
              <w:spacing w:before="0" w:beforeAutospacing="0" w:after="0" w:afterAutospacing="0"/>
              <w:rPr>
                <w:rFonts w:asciiTheme="minorHAnsi" w:hAnsiTheme="minorHAnsi" w:cstheme="minorHAnsi"/>
                <w:b w:val="0"/>
                <w:bCs w:val="0"/>
                <w:color w:val="161616"/>
                <w:sz w:val="24"/>
                <w:szCs w:val="24"/>
                <w:lang w:val="en-US"/>
              </w:rPr>
            </w:pPr>
            <w:r>
              <w:rPr>
                <w:rFonts w:asciiTheme="minorHAnsi" w:hAnsiTheme="minorHAnsi" w:cstheme="minorHAnsi"/>
                <w:b w:val="0"/>
                <w:bCs w:val="0"/>
                <w:color w:val="161616"/>
                <w:sz w:val="24"/>
                <w:szCs w:val="24"/>
                <w:lang w:val="en-US"/>
              </w:rPr>
              <w:t>36.7946</w:t>
            </w:r>
            <w:r w:rsidR="00AC2942">
              <w:rPr>
                <w:rFonts w:asciiTheme="minorHAnsi" w:hAnsiTheme="minorHAnsi" w:cstheme="minorHAnsi"/>
                <w:b w:val="0"/>
                <w:bCs w:val="0"/>
                <w:color w:val="161616"/>
                <w:sz w:val="24"/>
                <w:szCs w:val="24"/>
                <w:lang w:val="en-US"/>
              </w:rPr>
              <w:t xml:space="preserve"> (0.3735)</w:t>
            </w:r>
          </w:p>
        </w:tc>
      </w:tr>
      <w:tr w:rsidR="00275087" w14:paraId="43626713" w14:textId="77777777" w:rsidTr="004D53FE">
        <w:tc>
          <w:tcPr>
            <w:tcW w:w="2506" w:type="dxa"/>
          </w:tcPr>
          <w:p w14:paraId="741E0A72" w14:textId="6399F4A1" w:rsidR="00275087" w:rsidRDefault="004D53FE" w:rsidP="0060740D">
            <w:pPr>
              <w:pStyle w:val="Heading1"/>
              <w:spacing w:before="0" w:beforeAutospacing="0" w:after="0" w:afterAutospacing="0"/>
              <w:rPr>
                <w:rFonts w:asciiTheme="minorHAnsi" w:hAnsiTheme="minorHAnsi" w:cstheme="minorHAnsi"/>
                <w:b w:val="0"/>
                <w:bCs w:val="0"/>
                <w:color w:val="161616"/>
                <w:sz w:val="24"/>
                <w:szCs w:val="24"/>
                <w:lang w:val="en-US"/>
              </w:rPr>
            </w:pPr>
            <w:r>
              <w:rPr>
                <w:rFonts w:asciiTheme="minorHAnsi" w:hAnsiTheme="minorHAnsi" w:cstheme="minorHAnsi"/>
                <w:b w:val="0"/>
                <w:bCs w:val="0"/>
                <w:color w:val="161616"/>
                <w:sz w:val="24"/>
                <w:szCs w:val="24"/>
                <w:lang w:val="en-US"/>
              </w:rPr>
              <w:t>U</w:t>
            </w:r>
            <w:r w:rsidR="00275087">
              <w:rPr>
                <w:rFonts w:asciiTheme="minorHAnsi" w:hAnsiTheme="minorHAnsi" w:cstheme="minorHAnsi"/>
                <w:b w:val="0"/>
                <w:bCs w:val="0"/>
                <w:color w:val="161616"/>
                <w:sz w:val="24"/>
                <w:szCs w:val="24"/>
                <w:lang w:val="en-US"/>
              </w:rPr>
              <w:t>nivariate</w:t>
            </w:r>
          </w:p>
        </w:tc>
        <w:tc>
          <w:tcPr>
            <w:tcW w:w="2984" w:type="dxa"/>
          </w:tcPr>
          <w:p w14:paraId="68F13C6B" w14:textId="2C1A3052" w:rsidR="00275087" w:rsidRDefault="00275087" w:rsidP="0060740D">
            <w:pPr>
              <w:pStyle w:val="Heading1"/>
              <w:spacing w:before="0" w:beforeAutospacing="0" w:after="0" w:afterAutospacing="0"/>
              <w:rPr>
                <w:rFonts w:asciiTheme="minorHAnsi" w:hAnsiTheme="minorHAnsi" w:cstheme="minorHAnsi"/>
                <w:b w:val="0"/>
                <w:bCs w:val="0"/>
                <w:color w:val="161616"/>
                <w:sz w:val="24"/>
                <w:szCs w:val="24"/>
                <w:lang w:val="en-US"/>
              </w:rPr>
            </w:pPr>
            <w:r>
              <w:rPr>
                <w:rFonts w:asciiTheme="minorHAnsi" w:hAnsiTheme="minorHAnsi" w:cstheme="minorHAnsi"/>
                <w:b w:val="0"/>
                <w:bCs w:val="0"/>
                <w:color w:val="161616"/>
                <w:sz w:val="24"/>
                <w:szCs w:val="24"/>
                <w:lang w:val="en-US"/>
              </w:rPr>
              <w:t>Average annual gross salary</w:t>
            </w:r>
          </w:p>
        </w:tc>
        <w:tc>
          <w:tcPr>
            <w:tcW w:w="2018" w:type="dxa"/>
          </w:tcPr>
          <w:p w14:paraId="09A7CCFC" w14:textId="7C7AC7D6" w:rsidR="00275087" w:rsidRDefault="00B97840" w:rsidP="0060740D">
            <w:pPr>
              <w:pStyle w:val="Heading1"/>
              <w:spacing w:before="0" w:beforeAutospacing="0" w:after="0" w:afterAutospacing="0"/>
              <w:rPr>
                <w:rFonts w:asciiTheme="minorHAnsi" w:hAnsiTheme="minorHAnsi" w:cstheme="minorHAnsi"/>
                <w:b w:val="0"/>
                <w:bCs w:val="0"/>
                <w:color w:val="161616"/>
                <w:sz w:val="24"/>
                <w:szCs w:val="24"/>
                <w:lang w:val="en-US"/>
              </w:rPr>
            </w:pPr>
            <w:r>
              <w:rPr>
                <w:rFonts w:asciiTheme="minorHAnsi" w:hAnsiTheme="minorHAnsi" w:cstheme="minorHAnsi"/>
                <w:b w:val="0"/>
                <w:bCs w:val="0"/>
                <w:color w:val="161616"/>
                <w:sz w:val="24"/>
                <w:szCs w:val="24"/>
                <w:lang w:val="en-US"/>
              </w:rPr>
              <w:t>0.0003 (0.</w:t>
            </w:r>
            <w:r w:rsidR="009F317F">
              <w:rPr>
                <w:rFonts w:asciiTheme="minorHAnsi" w:hAnsiTheme="minorHAnsi" w:cstheme="minorHAnsi"/>
                <w:b w:val="0"/>
                <w:bCs w:val="0"/>
                <w:color w:val="161616"/>
                <w:sz w:val="24"/>
                <w:szCs w:val="24"/>
                <w:lang w:val="en-US"/>
              </w:rPr>
              <w:t>000001)</w:t>
            </w:r>
          </w:p>
        </w:tc>
        <w:tc>
          <w:tcPr>
            <w:tcW w:w="1559" w:type="dxa"/>
          </w:tcPr>
          <w:p w14:paraId="056F998C" w14:textId="3E52BAB4" w:rsidR="00275087" w:rsidRDefault="009F317F" w:rsidP="0060740D">
            <w:pPr>
              <w:pStyle w:val="Heading1"/>
              <w:spacing w:before="0" w:beforeAutospacing="0" w:after="0" w:afterAutospacing="0"/>
              <w:rPr>
                <w:rFonts w:asciiTheme="minorHAnsi" w:hAnsiTheme="minorHAnsi" w:cstheme="minorHAnsi"/>
                <w:b w:val="0"/>
                <w:bCs w:val="0"/>
                <w:color w:val="161616"/>
                <w:sz w:val="24"/>
                <w:szCs w:val="24"/>
                <w:lang w:val="en-US"/>
              </w:rPr>
            </w:pPr>
            <w:r>
              <w:rPr>
                <w:rFonts w:asciiTheme="minorHAnsi" w:hAnsiTheme="minorHAnsi" w:cstheme="minorHAnsi"/>
                <w:b w:val="0"/>
                <w:bCs w:val="0"/>
                <w:color w:val="161616"/>
                <w:sz w:val="24"/>
                <w:szCs w:val="24"/>
                <w:lang w:val="en-US"/>
              </w:rPr>
              <w:t>0.0005 (0.000004)</w:t>
            </w:r>
          </w:p>
        </w:tc>
      </w:tr>
      <w:tr w:rsidR="00275087" w14:paraId="35C9DB35" w14:textId="77777777" w:rsidTr="004D53FE">
        <w:tc>
          <w:tcPr>
            <w:tcW w:w="2506" w:type="dxa"/>
          </w:tcPr>
          <w:p w14:paraId="3B7B5652" w14:textId="200E34CF" w:rsidR="00275087" w:rsidRDefault="00275087" w:rsidP="0060740D">
            <w:pPr>
              <w:pStyle w:val="Heading1"/>
              <w:spacing w:before="0" w:beforeAutospacing="0" w:after="0" w:afterAutospacing="0"/>
              <w:rPr>
                <w:rFonts w:asciiTheme="minorHAnsi" w:hAnsiTheme="minorHAnsi" w:cstheme="minorHAnsi"/>
                <w:b w:val="0"/>
                <w:bCs w:val="0"/>
                <w:color w:val="161616"/>
                <w:sz w:val="24"/>
                <w:szCs w:val="24"/>
                <w:lang w:val="en-US"/>
              </w:rPr>
            </w:pPr>
            <w:r>
              <w:rPr>
                <w:rFonts w:asciiTheme="minorHAnsi" w:hAnsiTheme="minorHAnsi" w:cstheme="minorHAnsi"/>
                <w:b w:val="0"/>
                <w:bCs w:val="0"/>
                <w:color w:val="161616"/>
                <w:sz w:val="24"/>
                <w:szCs w:val="24"/>
                <w:lang w:val="en-US"/>
              </w:rPr>
              <w:t>Univariate</w:t>
            </w:r>
          </w:p>
        </w:tc>
        <w:tc>
          <w:tcPr>
            <w:tcW w:w="2984" w:type="dxa"/>
          </w:tcPr>
          <w:p w14:paraId="31190C5C" w14:textId="3785C61A" w:rsidR="00275087" w:rsidRDefault="00275087" w:rsidP="0060740D">
            <w:pPr>
              <w:pStyle w:val="Heading1"/>
              <w:spacing w:before="0" w:beforeAutospacing="0" w:after="0" w:afterAutospacing="0"/>
              <w:rPr>
                <w:rFonts w:asciiTheme="minorHAnsi" w:hAnsiTheme="minorHAnsi" w:cstheme="minorHAnsi"/>
                <w:b w:val="0"/>
                <w:bCs w:val="0"/>
                <w:color w:val="161616"/>
                <w:sz w:val="24"/>
                <w:szCs w:val="24"/>
                <w:lang w:val="en-US"/>
              </w:rPr>
            </w:pPr>
            <w:r>
              <w:rPr>
                <w:rFonts w:asciiTheme="minorHAnsi" w:hAnsiTheme="minorHAnsi" w:cstheme="minorHAnsi"/>
                <w:b w:val="0"/>
                <w:bCs w:val="0"/>
                <w:color w:val="161616"/>
                <w:sz w:val="24"/>
                <w:szCs w:val="24"/>
                <w:lang w:val="en-US"/>
              </w:rPr>
              <w:t xml:space="preserve">Number of </w:t>
            </w:r>
            <w:r w:rsidRPr="00AE2DF5">
              <w:rPr>
                <w:rFonts w:asciiTheme="minorHAnsi" w:hAnsiTheme="minorHAnsi" w:cstheme="minorHAnsi"/>
                <w:b w:val="0"/>
                <w:bCs w:val="0"/>
                <w:color w:val="161616"/>
                <w:sz w:val="24"/>
                <w:szCs w:val="24"/>
                <w:lang w:val="en-US"/>
              </w:rPr>
              <w:t>cigarettes</w:t>
            </w:r>
            <w:r>
              <w:rPr>
                <w:rFonts w:asciiTheme="minorHAnsi" w:hAnsiTheme="minorHAnsi" w:cstheme="minorHAnsi"/>
                <w:b w:val="0"/>
                <w:bCs w:val="0"/>
                <w:color w:val="161616"/>
                <w:sz w:val="24"/>
                <w:szCs w:val="24"/>
                <w:lang w:val="en-US"/>
              </w:rPr>
              <w:t xml:space="preserve"> per day per 100 persons with the same characteristics 2019</w:t>
            </w:r>
          </w:p>
        </w:tc>
        <w:tc>
          <w:tcPr>
            <w:tcW w:w="2018" w:type="dxa"/>
          </w:tcPr>
          <w:p w14:paraId="28FBF1B3" w14:textId="329AB1CF" w:rsidR="00275087" w:rsidRDefault="00275087" w:rsidP="0060740D">
            <w:pPr>
              <w:pStyle w:val="Heading1"/>
              <w:spacing w:before="0" w:beforeAutospacing="0" w:after="0" w:afterAutospacing="0"/>
              <w:rPr>
                <w:rFonts w:asciiTheme="minorHAnsi" w:hAnsiTheme="minorHAnsi" w:cstheme="minorHAnsi"/>
                <w:b w:val="0"/>
                <w:bCs w:val="0"/>
                <w:color w:val="161616"/>
                <w:sz w:val="24"/>
                <w:szCs w:val="24"/>
                <w:lang w:val="en-US"/>
              </w:rPr>
            </w:pPr>
            <w:r>
              <w:rPr>
                <w:rFonts w:asciiTheme="minorHAnsi" w:hAnsiTheme="minorHAnsi" w:cstheme="minorHAnsi"/>
                <w:b w:val="0"/>
                <w:bCs w:val="0"/>
                <w:color w:val="161616"/>
                <w:sz w:val="24"/>
                <w:szCs w:val="24"/>
                <w:lang w:val="en-US"/>
              </w:rPr>
              <w:t xml:space="preserve">-0.3057 </w:t>
            </w:r>
            <w:r w:rsidR="00AC2942">
              <w:rPr>
                <w:rFonts w:asciiTheme="minorHAnsi" w:hAnsiTheme="minorHAnsi" w:cstheme="minorHAnsi"/>
                <w:b w:val="0"/>
                <w:bCs w:val="0"/>
                <w:color w:val="161616"/>
                <w:sz w:val="24"/>
                <w:szCs w:val="24"/>
                <w:lang w:val="en-US"/>
              </w:rPr>
              <w:t>(0.0027)</w:t>
            </w:r>
          </w:p>
        </w:tc>
        <w:tc>
          <w:tcPr>
            <w:tcW w:w="1559" w:type="dxa"/>
          </w:tcPr>
          <w:p w14:paraId="6474366B" w14:textId="7B90B4EE" w:rsidR="00275087" w:rsidRDefault="00275087" w:rsidP="0060740D">
            <w:pPr>
              <w:pStyle w:val="Heading1"/>
              <w:spacing w:before="0" w:beforeAutospacing="0" w:after="0" w:afterAutospacing="0"/>
              <w:rPr>
                <w:rFonts w:asciiTheme="minorHAnsi" w:hAnsiTheme="minorHAnsi" w:cstheme="minorHAnsi"/>
                <w:b w:val="0"/>
                <w:bCs w:val="0"/>
                <w:color w:val="161616"/>
                <w:sz w:val="24"/>
                <w:szCs w:val="24"/>
                <w:lang w:val="en-US"/>
              </w:rPr>
            </w:pPr>
            <w:r>
              <w:rPr>
                <w:rFonts w:asciiTheme="minorHAnsi" w:hAnsiTheme="minorHAnsi" w:cstheme="minorHAnsi"/>
                <w:b w:val="0"/>
                <w:bCs w:val="0"/>
                <w:color w:val="161616"/>
                <w:sz w:val="24"/>
                <w:szCs w:val="24"/>
                <w:lang w:val="en-US"/>
              </w:rPr>
              <w:t>-0.2411</w:t>
            </w:r>
            <w:r w:rsidR="00AC2942">
              <w:rPr>
                <w:rFonts w:asciiTheme="minorHAnsi" w:hAnsiTheme="minorHAnsi" w:cstheme="minorHAnsi"/>
                <w:b w:val="0"/>
                <w:bCs w:val="0"/>
                <w:color w:val="161616"/>
                <w:sz w:val="24"/>
                <w:szCs w:val="24"/>
                <w:lang w:val="en-US"/>
              </w:rPr>
              <w:t xml:space="preserve"> (0.0072)</w:t>
            </w:r>
          </w:p>
        </w:tc>
      </w:tr>
      <w:tr w:rsidR="00275087" w14:paraId="75835C27" w14:textId="77777777" w:rsidTr="004D53FE">
        <w:tc>
          <w:tcPr>
            <w:tcW w:w="2506" w:type="dxa"/>
          </w:tcPr>
          <w:p w14:paraId="1A125792" w14:textId="24138C03" w:rsidR="00275087" w:rsidRDefault="00275087" w:rsidP="0060740D">
            <w:pPr>
              <w:pStyle w:val="Heading1"/>
              <w:spacing w:before="0" w:beforeAutospacing="0" w:after="0" w:afterAutospacing="0"/>
              <w:rPr>
                <w:rFonts w:asciiTheme="minorHAnsi" w:hAnsiTheme="minorHAnsi" w:cstheme="minorHAnsi"/>
                <w:b w:val="0"/>
                <w:bCs w:val="0"/>
                <w:color w:val="161616"/>
                <w:sz w:val="24"/>
                <w:szCs w:val="24"/>
                <w:lang w:val="en-US"/>
              </w:rPr>
            </w:pPr>
            <w:r>
              <w:rPr>
                <w:rFonts w:asciiTheme="minorHAnsi" w:hAnsiTheme="minorHAnsi" w:cstheme="minorHAnsi"/>
                <w:b w:val="0"/>
                <w:bCs w:val="0"/>
                <w:color w:val="161616"/>
                <w:sz w:val="24"/>
                <w:szCs w:val="24"/>
                <w:lang w:val="en-US"/>
              </w:rPr>
              <w:t xml:space="preserve">Univariate </w:t>
            </w:r>
          </w:p>
        </w:tc>
        <w:tc>
          <w:tcPr>
            <w:tcW w:w="2984" w:type="dxa"/>
          </w:tcPr>
          <w:p w14:paraId="1BEB639D" w14:textId="3A4DC402" w:rsidR="00275087" w:rsidRDefault="00275087" w:rsidP="0060740D">
            <w:pPr>
              <w:pStyle w:val="Heading1"/>
              <w:spacing w:before="0" w:beforeAutospacing="0" w:after="0" w:afterAutospacing="0"/>
              <w:rPr>
                <w:rFonts w:asciiTheme="minorHAnsi" w:hAnsiTheme="minorHAnsi" w:cstheme="minorHAnsi"/>
                <w:b w:val="0"/>
                <w:bCs w:val="0"/>
                <w:color w:val="161616"/>
                <w:sz w:val="24"/>
                <w:szCs w:val="24"/>
                <w:lang w:val="en-US"/>
              </w:rPr>
            </w:pPr>
            <w:r>
              <w:rPr>
                <w:rFonts w:asciiTheme="minorHAnsi" w:hAnsiTheme="minorHAnsi" w:cstheme="minorHAnsi"/>
                <w:b w:val="0"/>
                <w:bCs w:val="0"/>
                <w:color w:val="161616"/>
                <w:sz w:val="24"/>
                <w:szCs w:val="24"/>
                <w:lang w:val="en-US"/>
              </w:rPr>
              <w:t>Number of persons with at least a chronic disease per 100 people with the same characteristics 2018</w:t>
            </w:r>
          </w:p>
        </w:tc>
        <w:tc>
          <w:tcPr>
            <w:tcW w:w="2018" w:type="dxa"/>
          </w:tcPr>
          <w:p w14:paraId="30592BF8" w14:textId="3EB582FC" w:rsidR="00275087" w:rsidRDefault="008B377F" w:rsidP="0060740D">
            <w:pPr>
              <w:pStyle w:val="Heading1"/>
              <w:spacing w:before="0" w:beforeAutospacing="0" w:after="0" w:afterAutospacing="0"/>
              <w:rPr>
                <w:rFonts w:asciiTheme="minorHAnsi" w:hAnsiTheme="minorHAnsi" w:cstheme="minorHAnsi"/>
                <w:b w:val="0"/>
                <w:bCs w:val="0"/>
                <w:color w:val="161616"/>
                <w:sz w:val="24"/>
                <w:szCs w:val="24"/>
                <w:lang w:val="en-US"/>
              </w:rPr>
            </w:pPr>
            <w:r>
              <w:rPr>
                <w:rFonts w:asciiTheme="minorHAnsi" w:hAnsiTheme="minorHAnsi" w:cstheme="minorHAnsi"/>
                <w:b w:val="0"/>
                <w:bCs w:val="0"/>
                <w:color w:val="161616"/>
                <w:sz w:val="24"/>
                <w:szCs w:val="24"/>
                <w:lang w:val="en-US"/>
              </w:rPr>
              <w:t>0.1604 (0.0009)</w:t>
            </w:r>
          </w:p>
        </w:tc>
        <w:tc>
          <w:tcPr>
            <w:tcW w:w="1559" w:type="dxa"/>
          </w:tcPr>
          <w:p w14:paraId="67F889D4" w14:textId="5A536320" w:rsidR="00275087" w:rsidRDefault="008B377F" w:rsidP="0060740D">
            <w:pPr>
              <w:pStyle w:val="Heading1"/>
              <w:spacing w:before="0" w:beforeAutospacing="0" w:after="0" w:afterAutospacing="0"/>
              <w:rPr>
                <w:rFonts w:asciiTheme="minorHAnsi" w:hAnsiTheme="minorHAnsi" w:cstheme="minorHAnsi"/>
                <w:b w:val="0"/>
                <w:bCs w:val="0"/>
                <w:color w:val="161616"/>
                <w:sz w:val="24"/>
                <w:szCs w:val="24"/>
                <w:lang w:val="en-US"/>
              </w:rPr>
            </w:pPr>
            <w:r>
              <w:rPr>
                <w:rFonts w:asciiTheme="minorHAnsi" w:hAnsiTheme="minorHAnsi" w:cstheme="minorHAnsi"/>
                <w:b w:val="0"/>
                <w:bCs w:val="0"/>
                <w:color w:val="161616"/>
                <w:sz w:val="24"/>
                <w:szCs w:val="24"/>
                <w:lang w:val="en-US"/>
              </w:rPr>
              <w:t>0.1831 (0.0024)</w:t>
            </w:r>
          </w:p>
        </w:tc>
      </w:tr>
      <w:tr w:rsidR="00A13F39" w14:paraId="0AA14134" w14:textId="77777777" w:rsidTr="004D53FE">
        <w:tc>
          <w:tcPr>
            <w:tcW w:w="2506" w:type="dxa"/>
            <w:vMerge w:val="restart"/>
          </w:tcPr>
          <w:p w14:paraId="6F95E424" w14:textId="27374F11" w:rsidR="00A13F39" w:rsidRDefault="00A13F39" w:rsidP="00E17C68">
            <w:pPr>
              <w:pStyle w:val="Heading1"/>
              <w:spacing w:before="0" w:beforeAutospacing="0" w:after="0" w:afterAutospacing="0"/>
              <w:rPr>
                <w:rFonts w:asciiTheme="minorHAnsi" w:hAnsiTheme="minorHAnsi" w:cstheme="minorHAnsi"/>
                <w:b w:val="0"/>
                <w:bCs w:val="0"/>
                <w:color w:val="161616"/>
                <w:sz w:val="24"/>
                <w:szCs w:val="24"/>
                <w:lang w:val="en-US"/>
              </w:rPr>
            </w:pPr>
            <w:r>
              <w:rPr>
                <w:rFonts w:asciiTheme="minorHAnsi" w:hAnsiTheme="minorHAnsi" w:cstheme="minorHAnsi"/>
                <w:b w:val="0"/>
                <w:bCs w:val="0"/>
                <w:color w:val="161616"/>
                <w:sz w:val="24"/>
                <w:szCs w:val="24"/>
                <w:lang w:val="en-US"/>
              </w:rPr>
              <w:t>Multivariate</w:t>
            </w:r>
          </w:p>
        </w:tc>
        <w:tc>
          <w:tcPr>
            <w:tcW w:w="2984" w:type="dxa"/>
          </w:tcPr>
          <w:p w14:paraId="645E2EB7" w14:textId="77777777" w:rsidR="00A13F39" w:rsidRDefault="00A13F39" w:rsidP="00E17C68">
            <w:pPr>
              <w:pStyle w:val="Heading1"/>
              <w:spacing w:before="0" w:beforeAutospacing="0" w:after="0" w:afterAutospacing="0"/>
              <w:rPr>
                <w:rFonts w:asciiTheme="minorHAnsi" w:hAnsiTheme="minorHAnsi" w:cstheme="minorHAnsi"/>
                <w:b w:val="0"/>
                <w:bCs w:val="0"/>
                <w:color w:val="161616"/>
                <w:sz w:val="24"/>
                <w:szCs w:val="24"/>
                <w:lang w:val="en-US"/>
              </w:rPr>
            </w:pPr>
            <w:r>
              <w:rPr>
                <w:rFonts w:asciiTheme="minorHAnsi" w:hAnsiTheme="minorHAnsi" w:cstheme="minorHAnsi"/>
                <w:b w:val="0"/>
                <w:bCs w:val="0"/>
                <w:color w:val="161616"/>
                <w:sz w:val="24"/>
                <w:szCs w:val="24"/>
                <w:lang w:val="en-US"/>
              </w:rPr>
              <w:t>HDI</w:t>
            </w:r>
          </w:p>
        </w:tc>
        <w:tc>
          <w:tcPr>
            <w:tcW w:w="2018" w:type="dxa"/>
          </w:tcPr>
          <w:p w14:paraId="0C330337" w14:textId="63B08140" w:rsidR="00A13F39" w:rsidRDefault="00A13F39" w:rsidP="00E17C68">
            <w:pPr>
              <w:pStyle w:val="Heading1"/>
              <w:spacing w:before="0" w:beforeAutospacing="0" w:after="0" w:afterAutospacing="0"/>
              <w:rPr>
                <w:rFonts w:asciiTheme="minorHAnsi" w:hAnsiTheme="minorHAnsi" w:cstheme="minorHAnsi"/>
                <w:b w:val="0"/>
                <w:bCs w:val="0"/>
                <w:color w:val="161616"/>
                <w:sz w:val="24"/>
                <w:szCs w:val="24"/>
                <w:lang w:val="en-US"/>
              </w:rPr>
            </w:pPr>
            <w:r>
              <w:rPr>
                <w:rFonts w:asciiTheme="minorHAnsi" w:hAnsiTheme="minorHAnsi" w:cstheme="minorHAnsi"/>
                <w:b w:val="0"/>
                <w:bCs w:val="0"/>
                <w:color w:val="161616"/>
                <w:sz w:val="24"/>
                <w:szCs w:val="24"/>
                <w:lang w:val="en-US"/>
              </w:rPr>
              <w:t>17.97 (0.15)</w:t>
            </w:r>
          </w:p>
        </w:tc>
        <w:tc>
          <w:tcPr>
            <w:tcW w:w="1559" w:type="dxa"/>
          </w:tcPr>
          <w:p w14:paraId="1C0F1B91" w14:textId="72461245" w:rsidR="00A13F39" w:rsidRDefault="00A13F39" w:rsidP="00E17C68">
            <w:pPr>
              <w:pStyle w:val="Heading1"/>
              <w:spacing w:before="0" w:beforeAutospacing="0" w:after="0" w:afterAutospacing="0"/>
              <w:rPr>
                <w:rFonts w:asciiTheme="minorHAnsi" w:hAnsiTheme="minorHAnsi" w:cstheme="minorHAnsi"/>
                <w:b w:val="0"/>
                <w:bCs w:val="0"/>
                <w:color w:val="161616"/>
                <w:sz w:val="24"/>
                <w:szCs w:val="24"/>
                <w:lang w:val="en-US"/>
              </w:rPr>
            </w:pPr>
            <w:r>
              <w:rPr>
                <w:rFonts w:asciiTheme="minorHAnsi" w:hAnsiTheme="minorHAnsi" w:cstheme="minorHAnsi"/>
                <w:b w:val="0"/>
                <w:bCs w:val="0"/>
                <w:color w:val="161616"/>
                <w:sz w:val="24"/>
                <w:szCs w:val="24"/>
                <w:lang w:val="en-US"/>
              </w:rPr>
              <w:t>22.81 (0.5067)</w:t>
            </w:r>
          </w:p>
        </w:tc>
      </w:tr>
      <w:tr w:rsidR="00A13F39" w14:paraId="5A9E5322" w14:textId="77777777" w:rsidTr="004D53FE">
        <w:tc>
          <w:tcPr>
            <w:tcW w:w="2506" w:type="dxa"/>
            <w:vMerge/>
          </w:tcPr>
          <w:p w14:paraId="674F0BDB" w14:textId="6B1FB979" w:rsidR="00A13F39" w:rsidRDefault="00A13F39" w:rsidP="00E17C68">
            <w:pPr>
              <w:pStyle w:val="Heading1"/>
              <w:spacing w:before="0" w:beforeAutospacing="0" w:after="0" w:afterAutospacing="0"/>
              <w:rPr>
                <w:rFonts w:asciiTheme="minorHAnsi" w:hAnsiTheme="minorHAnsi" w:cstheme="minorHAnsi"/>
                <w:b w:val="0"/>
                <w:bCs w:val="0"/>
                <w:color w:val="161616"/>
                <w:sz w:val="24"/>
                <w:szCs w:val="24"/>
                <w:lang w:val="en-US"/>
              </w:rPr>
            </w:pPr>
          </w:p>
        </w:tc>
        <w:tc>
          <w:tcPr>
            <w:tcW w:w="2984" w:type="dxa"/>
          </w:tcPr>
          <w:p w14:paraId="5E86B197" w14:textId="77777777" w:rsidR="00A13F39" w:rsidRDefault="00A13F39" w:rsidP="00E17C68">
            <w:pPr>
              <w:pStyle w:val="Heading1"/>
              <w:spacing w:before="0" w:beforeAutospacing="0" w:after="0" w:afterAutospacing="0"/>
              <w:rPr>
                <w:rFonts w:asciiTheme="minorHAnsi" w:hAnsiTheme="minorHAnsi" w:cstheme="minorHAnsi"/>
                <w:b w:val="0"/>
                <w:bCs w:val="0"/>
                <w:color w:val="161616"/>
                <w:sz w:val="24"/>
                <w:szCs w:val="24"/>
                <w:lang w:val="en-US"/>
              </w:rPr>
            </w:pPr>
            <w:r>
              <w:rPr>
                <w:rFonts w:asciiTheme="minorHAnsi" w:hAnsiTheme="minorHAnsi" w:cstheme="minorHAnsi"/>
                <w:b w:val="0"/>
                <w:bCs w:val="0"/>
                <w:color w:val="161616"/>
                <w:sz w:val="24"/>
                <w:szCs w:val="24"/>
                <w:lang w:val="en-US"/>
              </w:rPr>
              <w:t>Average annual gross salary</w:t>
            </w:r>
          </w:p>
        </w:tc>
        <w:tc>
          <w:tcPr>
            <w:tcW w:w="2018" w:type="dxa"/>
          </w:tcPr>
          <w:p w14:paraId="7057D04F" w14:textId="189DC1C5" w:rsidR="00A13F39" w:rsidRDefault="00A13F39" w:rsidP="00E17C68">
            <w:pPr>
              <w:pStyle w:val="Heading1"/>
              <w:spacing w:before="0" w:beforeAutospacing="0" w:after="0" w:afterAutospacing="0"/>
              <w:rPr>
                <w:rFonts w:asciiTheme="minorHAnsi" w:hAnsiTheme="minorHAnsi" w:cstheme="minorHAnsi"/>
                <w:b w:val="0"/>
                <w:bCs w:val="0"/>
                <w:color w:val="161616"/>
                <w:sz w:val="24"/>
                <w:szCs w:val="24"/>
                <w:lang w:val="en-US"/>
              </w:rPr>
            </w:pPr>
            <w:r>
              <w:rPr>
                <w:rFonts w:asciiTheme="minorHAnsi" w:hAnsiTheme="minorHAnsi" w:cstheme="minorHAnsi"/>
                <w:b w:val="0"/>
                <w:bCs w:val="0"/>
                <w:color w:val="161616"/>
                <w:sz w:val="24"/>
                <w:szCs w:val="24"/>
                <w:lang w:val="en-US"/>
              </w:rPr>
              <w:t>0.0002 (0.000002)</w:t>
            </w:r>
          </w:p>
        </w:tc>
        <w:tc>
          <w:tcPr>
            <w:tcW w:w="1559" w:type="dxa"/>
          </w:tcPr>
          <w:p w14:paraId="73DF5A76" w14:textId="45DCA94D" w:rsidR="00A13F39" w:rsidRDefault="00A13F39" w:rsidP="00E17C68">
            <w:pPr>
              <w:pStyle w:val="Heading1"/>
              <w:spacing w:before="0" w:beforeAutospacing="0" w:after="0" w:afterAutospacing="0"/>
              <w:rPr>
                <w:rFonts w:asciiTheme="minorHAnsi" w:hAnsiTheme="minorHAnsi" w:cstheme="minorHAnsi"/>
                <w:b w:val="0"/>
                <w:bCs w:val="0"/>
                <w:color w:val="161616"/>
                <w:sz w:val="24"/>
                <w:szCs w:val="24"/>
                <w:lang w:val="en-US"/>
              </w:rPr>
            </w:pPr>
            <w:r>
              <w:rPr>
                <w:rFonts w:asciiTheme="minorHAnsi" w:hAnsiTheme="minorHAnsi" w:cstheme="minorHAnsi"/>
                <w:b w:val="0"/>
                <w:bCs w:val="0"/>
                <w:color w:val="161616"/>
                <w:sz w:val="24"/>
                <w:szCs w:val="24"/>
                <w:lang w:val="en-US"/>
              </w:rPr>
              <w:t>0.0003(0.000005)</w:t>
            </w:r>
          </w:p>
        </w:tc>
      </w:tr>
      <w:tr w:rsidR="00A13F39" w14:paraId="09D54571" w14:textId="77777777" w:rsidTr="004D53FE">
        <w:tc>
          <w:tcPr>
            <w:tcW w:w="2506" w:type="dxa"/>
            <w:vMerge/>
          </w:tcPr>
          <w:p w14:paraId="06E81958" w14:textId="7865291E" w:rsidR="00A13F39" w:rsidRDefault="00A13F39" w:rsidP="00E17C68">
            <w:pPr>
              <w:pStyle w:val="Heading1"/>
              <w:spacing w:before="0" w:beforeAutospacing="0" w:after="0" w:afterAutospacing="0"/>
              <w:rPr>
                <w:rFonts w:asciiTheme="minorHAnsi" w:hAnsiTheme="minorHAnsi" w:cstheme="minorHAnsi"/>
                <w:b w:val="0"/>
                <w:bCs w:val="0"/>
                <w:color w:val="161616"/>
                <w:sz w:val="24"/>
                <w:szCs w:val="24"/>
                <w:lang w:val="en-US"/>
              </w:rPr>
            </w:pPr>
          </w:p>
        </w:tc>
        <w:tc>
          <w:tcPr>
            <w:tcW w:w="2984" w:type="dxa"/>
          </w:tcPr>
          <w:p w14:paraId="1120FE38" w14:textId="77777777" w:rsidR="00A13F39" w:rsidRDefault="00A13F39" w:rsidP="00E17C68">
            <w:pPr>
              <w:pStyle w:val="Heading1"/>
              <w:spacing w:before="0" w:beforeAutospacing="0" w:after="0" w:afterAutospacing="0"/>
              <w:rPr>
                <w:rFonts w:asciiTheme="minorHAnsi" w:hAnsiTheme="minorHAnsi" w:cstheme="minorHAnsi"/>
                <w:b w:val="0"/>
                <w:bCs w:val="0"/>
                <w:color w:val="161616"/>
                <w:sz w:val="24"/>
                <w:szCs w:val="24"/>
                <w:lang w:val="en-US"/>
              </w:rPr>
            </w:pPr>
            <w:r>
              <w:rPr>
                <w:rFonts w:asciiTheme="minorHAnsi" w:hAnsiTheme="minorHAnsi" w:cstheme="minorHAnsi"/>
                <w:b w:val="0"/>
                <w:bCs w:val="0"/>
                <w:color w:val="161616"/>
                <w:sz w:val="24"/>
                <w:szCs w:val="24"/>
                <w:lang w:val="en-US"/>
              </w:rPr>
              <w:t xml:space="preserve">Number of </w:t>
            </w:r>
            <w:r w:rsidRPr="00AE2DF5">
              <w:rPr>
                <w:rFonts w:asciiTheme="minorHAnsi" w:hAnsiTheme="minorHAnsi" w:cstheme="minorHAnsi"/>
                <w:b w:val="0"/>
                <w:bCs w:val="0"/>
                <w:color w:val="161616"/>
                <w:sz w:val="24"/>
                <w:szCs w:val="24"/>
                <w:lang w:val="en-US"/>
              </w:rPr>
              <w:t>cigarettes</w:t>
            </w:r>
            <w:r>
              <w:rPr>
                <w:rFonts w:asciiTheme="minorHAnsi" w:hAnsiTheme="minorHAnsi" w:cstheme="minorHAnsi"/>
                <w:b w:val="0"/>
                <w:bCs w:val="0"/>
                <w:color w:val="161616"/>
                <w:sz w:val="24"/>
                <w:szCs w:val="24"/>
                <w:lang w:val="en-US"/>
              </w:rPr>
              <w:t xml:space="preserve"> per day per 100 persons with the same characteristics 2019</w:t>
            </w:r>
          </w:p>
        </w:tc>
        <w:tc>
          <w:tcPr>
            <w:tcW w:w="2018" w:type="dxa"/>
          </w:tcPr>
          <w:p w14:paraId="39C55521" w14:textId="03217B23" w:rsidR="00A13F39" w:rsidRDefault="00A13F39" w:rsidP="00E17C68">
            <w:pPr>
              <w:pStyle w:val="Heading1"/>
              <w:spacing w:before="0" w:beforeAutospacing="0" w:after="0" w:afterAutospacing="0"/>
              <w:rPr>
                <w:rFonts w:asciiTheme="minorHAnsi" w:hAnsiTheme="minorHAnsi" w:cstheme="minorHAnsi"/>
                <w:b w:val="0"/>
                <w:bCs w:val="0"/>
                <w:color w:val="161616"/>
                <w:sz w:val="24"/>
                <w:szCs w:val="24"/>
                <w:lang w:val="en-US"/>
              </w:rPr>
            </w:pPr>
            <w:r>
              <w:rPr>
                <w:rFonts w:asciiTheme="minorHAnsi" w:hAnsiTheme="minorHAnsi" w:cstheme="minorHAnsi"/>
                <w:b w:val="0"/>
                <w:bCs w:val="0"/>
                <w:color w:val="161616"/>
                <w:sz w:val="24"/>
                <w:szCs w:val="24"/>
                <w:lang w:val="en-US"/>
              </w:rPr>
              <w:t>0.0695 (0.0004)</w:t>
            </w:r>
          </w:p>
        </w:tc>
        <w:tc>
          <w:tcPr>
            <w:tcW w:w="1559" w:type="dxa"/>
          </w:tcPr>
          <w:p w14:paraId="625FA1F6" w14:textId="5A57B473" w:rsidR="00A13F39" w:rsidRDefault="00A13F39" w:rsidP="00E17C68">
            <w:pPr>
              <w:pStyle w:val="Heading1"/>
              <w:spacing w:before="0" w:beforeAutospacing="0" w:after="0" w:afterAutospacing="0"/>
              <w:rPr>
                <w:rFonts w:asciiTheme="minorHAnsi" w:hAnsiTheme="minorHAnsi" w:cstheme="minorHAnsi"/>
                <w:b w:val="0"/>
                <w:bCs w:val="0"/>
                <w:color w:val="161616"/>
                <w:sz w:val="24"/>
                <w:szCs w:val="24"/>
                <w:lang w:val="en-US"/>
              </w:rPr>
            </w:pPr>
            <w:r>
              <w:rPr>
                <w:rFonts w:asciiTheme="minorHAnsi" w:hAnsiTheme="minorHAnsi" w:cstheme="minorHAnsi"/>
                <w:b w:val="0"/>
                <w:bCs w:val="0"/>
                <w:color w:val="161616"/>
                <w:sz w:val="24"/>
                <w:szCs w:val="24"/>
                <w:lang w:val="en-US"/>
              </w:rPr>
              <w:t>0.0307 (0.0139)</w:t>
            </w:r>
          </w:p>
        </w:tc>
      </w:tr>
      <w:tr w:rsidR="00A13F39" w14:paraId="06FA528E" w14:textId="77777777" w:rsidTr="004D53FE">
        <w:tc>
          <w:tcPr>
            <w:tcW w:w="2506" w:type="dxa"/>
            <w:vMerge/>
          </w:tcPr>
          <w:p w14:paraId="55D5C92E" w14:textId="1DBB8D64" w:rsidR="00A13F39" w:rsidRDefault="00A13F39" w:rsidP="00E17C68">
            <w:pPr>
              <w:pStyle w:val="Heading1"/>
              <w:spacing w:before="0" w:beforeAutospacing="0" w:after="0" w:afterAutospacing="0"/>
              <w:rPr>
                <w:rFonts w:asciiTheme="minorHAnsi" w:hAnsiTheme="minorHAnsi" w:cstheme="minorHAnsi"/>
                <w:b w:val="0"/>
                <w:bCs w:val="0"/>
                <w:color w:val="161616"/>
                <w:sz w:val="24"/>
                <w:szCs w:val="24"/>
                <w:lang w:val="en-US"/>
              </w:rPr>
            </w:pPr>
          </w:p>
        </w:tc>
        <w:tc>
          <w:tcPr>
            <w:tcW w:w="2984" w:type="dxa"/>
          </w:tcPr>
          <w:p w14:paraId="0593CE58" w14:textId="77777777" w:rsidR="00A13F39" w:rsidRDefault="00A13F39" w:rsidP="00E17C68">
            <w:pPr>
              <w:pStyle w:val="Heading1"/>
              <w:spacing w:before="0" w:beforeAutospacing="0" w:after="0" w:afterAutospacing="0"/>
              <w:rPr>
                <w:rFonts w:asciiTheme="minorHAnsi" w:hAnsiTheme="minorHAnsi" w:cstheme="minorHAnsi"/>
                <w:b w:val="0"/>
                <w:bCs w:val="0"/>
                <w:color w:val="161616"/>
                <w:sz w:val="24"/>
                <w:szCs w:val="24"/>
                <w:lang w:val="en-US"/>
              </w:rPr>
            </w:pPr>
            <w:r>
              <w:rPr>
                <w:rFonts w:asciiTheme="minorHAnsi" w:hAnsiTheme="minorHAnsi" w:cstheme="minorHAnsi"/>
                <w:b w:val="0"/>
                <w:bCs w:val="0"/>
                <w:color w:val="161616"/>
                <w:sz w:val="24"/>
                <w:szCs w:val="24"/>
                <w:lang w:val="en-US"/>
              </w:rPr>
              <w:t>Number of persons with at least a chronic disease per 100 people with the same characteristics 2018</w:t>
            </w:r>
          </w:p>
        </w:tc>
        <w:tc>
          <w:tcPr>
            <w:tcW w:w="2018" w:type="dxa"/>
          </w:tcPr>
          <w:p w14:paraId="125FB746" w14:textId="191AE588" w:rsidR="00A13F39" w:rsidRDefault="00A13F39" w:rsidP="00E17C68">
            <w:pPr>
              <w:pStyle w:val="Heading1"/>
              <w:spacing w:before="0" w:beforeAutospacing="0" w:after="0" w:afterAutospacing="0"/>
              <w:rPr>
                <w:rFonts w:asciiTheme="minorHAnsi" w:hAnsiTheme="minorHAnsi" w:cstheme="minorHAnsi"/>
                <w:b w:val="0"/>
                <w:bCs w:val="0"/>
                <w:color w:val="161616"/>
                <w:sz w:val="24"/>
                <w:szCs w:val="24"/>
                <w:lang w:val="en-US"/>
              </w:rPr>
            </w:pPr>
            <w:r>
              <w:rPr>
                <w:rFonts w:asciiTheme="minorHAnsi" w:hAnsiTheme="minorHAnsi" w:cstheme="minorHAnsi"/>
                <w:b w:val="0"/>
                <w:bCs w:val="0"/>
                <w:color w:val="161616"/>
                <w:sz w:val="24"/>
                <w:szCs w:val="24"/>
                <w:lang w:val="en-US"/>
              </w:rPr>
              <w:t>0.0554 (0.0014)</w:t>
            </w:r>
          </w:p>
        </w:tc>
        <w:tc>
          <w:tcPr>
            <w:tcW w:w="1559" w:type="dxa"/>
          </w:tcPr>
          <w:p w14:paraId="7D06BFD5" w14:textId="0740B47F" w:rsidR="00A13F39" w:rsidRDefault="00A13F39" w:rsidP="00E17C68">
            <w:pPr>
              <w:pStyle w:val="Heading1"/>
              <w:spacing w:before="0" w:beforeAutospacing="0" w:after="0" w:afterAutospacing="0"/>
              <w:rPr>
                <w:rFonts w:asciiTheme="minorHAnsi" w:hAnsiTheme="minorHAnsi" w:cstheme="minorHAnsi"/>
                <w:b w:val="0"/>
                <w:bCs w:val="0"/>
                <w:color w:val="161616"/>
                <w:sz w:val="24"/>
                <w:szCs w:val="24"/>
                <w:lang w:val="en-US"/>
              </w:rPr>
            </w:pPr>
            <w:r>
              <w:rPr>
                <w:rFonts w:asciiTheme="minorHAnsi" w:hAnsiTheme="minorHAnsi" w:cstheme="minorHAnsi"/>
                <w:b w:val="0"/>
                <w:bCs w:val="0"/>
                <w:color w:val="161616"/>
                <w:sz w:val="24"/>
                <w:szCs w:val="24"/>
                <w:lang w:val="en-US"/>
              </w:rPr>
              <w:t>0.0545(0.0044)</w:t>
            </w:r>
          </w:p>
        </w:tc>
      </w:tr>
    </w:tbl>
    <w:p w14:paraId="46360836" w14:textId="77777777" w:rsidR="00A27157" w:rsidRPr="000C4509" w:rsidRDefault="00A27157" w:rsidP="0060740D">
      <w:pPr>
        <w:pStyle w:val="Heading1"/>
        <w:spacing w:before="0" w:beforeAutospacing="0" w:after="0" w:afterAutospacing="0"/>
        <w:rPr>
          <w:rFonts w:asciiTheme="minorHAnsi" w:hAnsiTheme="minorHAnsi" w:cstheme="minorHAnsi"/>
          <w:b w:val="0"/>
          <w:bCs w:val="0"/>
          <w:color w:val="161616"/>
          <w:sz w:val="24"/>
          <w:szCs w:val="24"/>
          <w:lang w:val="en-US"/>
        </w:rPr>
      </w:pPr>
    </w:p>
    <w:p w14:paraId="209D13C7" w14:textId="77777777" w:rsidR="0060740D" w:rsidRPr="0060740D" w:rsidRDefault="0060740D" w:rsidP="0060740D">
      <w:pPr>
        <w:pStyle w:val="Heading1"/>
        <w:spacing w:before="0" w:beforeAutospacing="0" w:after="0" w:afterAutospacing="0"/>
        <w:rPr>
          <w:rFonts w:asciiTheme="minorHAnsi" w:hAnsiTheme="minorHAnsi" w:cstheme="minorHAnsi"/>
          <w:b w:val="0"/>
          <w:bCs w:val="0"/>
          <w:color w:val="0563C1" w:themeColor="hyperlink"/>
          <w:sz w:val="24"/>
          <w:szCs w:val="24"/>
          <w:u w:val="single"/>
          <w:lang w:val="en-US"/>
        </w:rPr>
      </w:pPr>
    </w:p>
    <w:sectPr w:rsidR="0060740D" w:rsidRPr="0060740D" w:rsidSect="00855C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443316"/>
    <w:multiLevelType w:val="hybridMultilevel"/>
    <w:tmpl w:val="2BD85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BF8"/>
    <w:rsid w:val="00002EE3"/>
    <w:rsid w:val="00027B29"/>
    <w:rsid w:val="000573A0"/>
    <w:rsid w:val="0007067C"/>
    <w:rsid w:val="0009379F"/>
    <w:rsid w:val="0009402A"/>
    <w:rsid w:val="000C4509"/>
    <w:rsid w:val="00133CBA"/>
    <w:rsid w:val="001464EA"/>
    <w:rsid w:val="00154B00"/>
    <w:rsid w:val="00154D09"/>
    <w:rsid w:val="0018623C"/>
    <w:rsid w:val="001A3267"/>
    <w:rsid w:val="001A3F17"/>
    <w:rsid w:val="001A7A79"/>
    <w:rsid w:val="001C55CD"/>
    <w:rsid w:val="001C588B"/>
    <w:rsid w:val="001E4ADD"/>
    <w:rsid w:val="001F2D09"/>
    <w:rsid w:val="00204528"/>
    <w:rsid w:val="00210D4C"/>
    <w:rsid w:val="00221B81"/>
    <w:rsid w:val="00231718"/>
    <w:rsid w:val="00275087"/>
    <w:rsid w:val="00292ECC"/>
    <w:rsid w:val="002F41B9"/>
    <w:rsid w:val="00306EFF"/>
    <w:rsid w:val="00350975"/>
    <w:rsid w:val="003715AA"/>
    <w:rsid w:val="00373B7F"/>
    <w:rsid w:val="00375FC4"/>
    <w:rsid w:val="003A75E8"/>
    <w:rsid w:val="003C1103"/>
    <w:rsid w:val="003C76D0"/>
    <w:rsid w:val="003D21BB"/>
    <w:rsid w:val="003D607C"/>
    <w:rsid w:val="003E4BF8"/>
    <w:rsid w:val="003F5321"/>
    <w:rsid w:val="003F65FE"/>
    <w:rsid w:val="003F6AF6"/>
    <w:rsid w:val="00463C33"/>
    <w:rsid w:val="00475A7A"/>
    <w:rsid w:val="00484FB3"/>
    <w:rsid w:val="004C1076"/>
    <w:rsid w:val="004D53FE"/>
    <w:rsid w:val="004E2482"/>
    <w:rsid w:val="004E38B5"/>
    <w:rsid w:val="004F0D9D"/>
    <w:rsid w:val="004F1B2C"/>
    <w:rsid w:val="005040FE"/>
    <w:rsid w:val="00510F01"/>
    <w:rsid w:val="005216CA"/>
    <w:rsid w:val="00546AE4"/>
    <w:rsid w:val="00556653"/>
    <w:rsid w:val="0056370B"/>
    <w:rsid w:val="005972A3"/>
    <w:rsid w:val="005B1226"/>
    <w:rsid w:val="005D25DB"/>
    <w:rsid w:val="005F53CE"/>
    <w:rsid w:val="0060049F"/>
    <w:rsid w:val="0060740D"/>
    <w:rsid w:val="00610875"/>
    <w:rsid w:val="006414B4"/>
    <w:rsid w:val="00644534"/>
    <w:rsid w:val="00653D35"/>
    <w:rsid w:val="00670469"/>
    <w:rsid w:val="006755AE"/>
    <w:rsid w:val="00677EEA"/>
    <w:rsid w:val="006B317B"/>
    <w:rsid w:val="006E3C51"/>
    <w:rsid w:val="006E5A8E"/>
    <w:rsid w:val="006F7C39"/>
    <w:rsid w:val="007001B9"/>
    <w:rsid w:val="00720AA1"/>
    <w:rsid w:val="007218A5"/>
    <w:rsid w:val="0072337A"/>
    <w:rsid w:val="00755246"/>
    <w:rsid w:val="00761C69"/>
    <w:rsid w:val="00765FCA"/>
    <w:rsid w:val="0076751E"/>
    <w:rsid w:val="007A3B25"/>
    <w:rsid w:val="007B085F"/>
    <w:rsid w:val="007B0F3C"/>
    <w:rsid w:val="007C3EE2"/>
    <w:rsid w:val="007E4012"/>
    <w:rsid w:val="007F460B"/>
    <w:rsid w:val="008263BB"/>
    <w:rsid w:val="00830997"/>
    <w:rsid w:val="00845CF1"/>
    <w:rsid w:val="00851F87"/>
    <w:rsid w:val="00855C56"/>
    <w:rsid w:val="00860E8A"/>
    <w:rsid w:val="00881235"/>
    <w:rsid w:val="00885189"/>
    <w:rsid w:val="00887251"/>
    <w:rsid w:val="008B377F"/>
    <w:rsid w:val="008B5AA8"/>
    <w:rsid w:val="008C7914"/>
    <w:rsid w:val="008E5FFA"/>
    <w:rsid w:val="00903FB9"/>
    <w:rsid w:val="009064FE"/>
    <w:rsid w:val="00910EB4"/>
    <w:rsid w:val="0095140B"/>
    <w:rsid w:val="00966B2E"/>
    <w:rsid w:val="00987991"/>
    <w:rsid w:val="00987B99"/>
    <w:rsid w:val="00992E81"/>
    <w:rsid w:val="009A3B88"/>
    <w:rsid w:val="009C6616"/>
    <w:rsid w:val="009D406D"/>
    <w:rsid w:val="009F317F"/>
    <w:rsid w:val="00A12C1D"/>
    <w:rsid w:val="00A13F39"/>
    <w:rsid w:val="00A23AA0"/>
    <w:rsid w:val="00A27157"/>
    <w:rsid w:val="00AC2942"/>
    <w:rsid w:val="00AC528B"/>
    <w:rsid w:val="00AE2DF5"/>
    <w:rsid w:val="00AF0F8B"/>
    <w:rsid w:val="00B04BE8"/>
    <w:rsid w:val="00B13FE0"/>
    <w:rsid w:val="00B15BA7"/>
    <w:rsid w:val="00B23E50"/>
    <w:rsid w:val="00B26DD1"/>
    <w:rsid w:val="00B66DAA"/>
    <w:rsid w:val="00B84AB0"/>
    <w:rsid w:val="00B90A40"/>
    <w:rsid w:val="00B92153"/>
    <w:rsid w:val="00B945BA"/>
    <w:rsid w:val="00B96BF1"/>
    <w:rsid w:val="00B97840"/>
    <w:rsid w:val="00C27289"/>
    <w:rsid w:val="00C4192E"/>
    <w:rsid w:val="00C6385E"/>
    <w:rsid w:val="00C746BF"/>
    <w:rsid w:val="00C940A5"/>
    <w:rsid w:val="00CB2510"/>
    <w:rsid w:val="00D21ABA"/>
    <w:rsid w:val="00D37130"/>
    <w:rsid w:val="00D71BBB"/>
    <w:rsid w:val="00DC38AB"/>
    <w:rsid w:val="00DC4A7D"/>
    <w:rsid w:val="00DD5829"/>
    <w:rsid w:val="00DD6FB2"/>
    <w:rsid w:val="00DF61D5"/>
    <w:rsid w:val="00E1594A"/>
    <w:rsid w:val="00E2073B"/>
    <w:rsid w:val="00E27F05"/>
    <w:rsid w:val="00E359E2"/>
    <w:rsid w:val="00E65A69"/>
    <w:rsid w:val="00E7795E"/>
    <w:rsid w:val="00E90CE3"/>
    <w:rsid w:val="00ED4CD0"/>
    <w:rsid w:val="00F22A4D"/>
    <w:rsid w:val="00F80BC0"/>
    <w:rsid w:val="00F80F20"/>
    <w:rsid w:val="00FB6075"/>
    <w:rsid w:val="00FC19F1"/>
    <w:rsid w:val="00FC7A66"/>
    <w:rsid w:val="00FD16D6"/>
    <w:rsid w:val="00FD7F6E"/>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BBCE3"/>
  <w15:chartTrackingRefBased/>
  <w15:docId w15:val="{9013CB2C-8DEA-3949-A841-4520C3892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D0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F2D09"/>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154D0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0049F"/>
    <w:rPr>
      <w:color w:val="0563C1" w:themeColor="hyperlink"/>
      <w:u w:val="single"/>
    </w:rPr>
  </w:style>
  <w:style w:type="character" w:styleId="UnresolvedMention">
    <w:name w:val="Unresolved Mention"/>
    <w:basedOn w:val="DefaultParagraphFont"/>
    <w:uiPriority w:val="99"/>
    <w:semiHidden/>
    <w:unhideWhenUsed/>
    <w:rsid w:val="0060049F"/>
    <w:rPr>
      <w:color w:val="605E5C"/>
      <w:shd w:val="clear" w:color="auto" w:fill="E1DFDD"/>
    </w:rPr>
  </w:style>
  <w:style w:type="character" w:styleId="FollowedHyperlink">
    <w:name w:val="FollowedHyperlink"/>
    <w:basedOn w:val="DefaultParagraphFont"/>
    <w:uiPriority w:val="99"/>
    <w:semiHidden/>
    <w:unhideWhenUsed/>
    <w:rsid w:val="0060049F"/>
    <w:rPr>
      <w:color w:val="954F72" w:themeColor="followedHyperlink"/>
      <w:u w:val="single"/>
    </w:rPr>
  </w:style>
  <w:style w:type="paragraph" w:styleId="BalloonText">
    <w:name w:val="Balloon Text"/>
    <w:basedOn w:val="Normal"/>
    <w:link w:val="BalloonTextChar"/>
    <w:uiPriority w:val="99"/>
    <w:semiHidden/>
    <w:unhideWhenUsed/>
    <w:rsid w:val="0035097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50975"/>
    <w:rPr>
      <w:rFonts w:ascii="Times New Roman" w:hAnsi="Times New Roman" w:cs="Times New Roman"/>
      <w:sz w:val="18"/>
      <w:szCs w:val="18"/>
    </w:rPr>
  </w:style>
  <w:style w:type="table" w:styleId="TableGrid">
    <w:name w:val="Table Grid"/>
    <w:basedOn w:val="TableNormal"/>
    <w:uiPriority w:val="39"/>
    <w:rsid w:val="00A271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2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2601667">
      <w:bodyDiv w:val="1"/>
      <w:marLeft w:val="0"/>
      <w:marRight w:val="0"/>
      <w:marTop w:val="0"/>
      <w:marBottom w:val="0"/>
      <w:divBdr>
        <w:top w:val="none" w:sz="0" w:space="0" w:color="auto"/>
        <w:left w:val="none" w:sz="0" w:space="0" w:color="auto"/>
        <w:bottom w:val="none" w:sz="0" w:space="0" w:color="auto"/>
        <w:right w:val="none" w:sz="0" w:space="0" w:color="auto"/>
      </w:divBdr>
    </w:div>
    <w:div w:id="888611681">
      <w:bodyDiv w:val="1"/>
      <w:marLeft w:val="0"/>
      <w:marRight w:val="0"/>
      <w:marTop w:val="0"/>
      <w:marBottom w:val="0"/>
      <w:divBdr>
        <w:top w:val="none" w:sz="0" w:space="0" w:color="auto"/>
        <w:left w:val="none" w:sz="0" w:space="0" w:color="auto"/>
        <w:bottom w:val="none" w:sz="0" w:space="0" w:color="auto"/>
        <w:right w:val="none" w:sz="0" w:space="0" w:color="auto"/>
      </w:divBdr>
    </w:div>
    <w:div w:id="952397144">
      <w:bodyDiv w:val="1"/>
      <w:marLeft w:val="0"/>
      <w:marRight w:val="0"/>
      <w:marTop w:val="0"/>
      <w:marBottom w:val="0"/>
      <w:divBdr>
        <w:top w:val="none" w:sz="0" w:space="0" w:color="auto"/>
        <w:left w:val="none" w:sz="0" w:space="0" w:color="auto"/>
        <w:bottom w:val="none" w:sz="0" w:space="0" w:color="auto"/>
        <w:right w:val="none" w:sz="0" w:space="0" w:color="auto"/>
      </w:divBdr>
      <w:divsChild>
        <w:div w:id="40522149">
          <w:marLeft w:val="0"/>
          <w:marRight w:val="0"/>
          <w:marTop w:val="0"/>
          <w:marBottom w:val="0"/>
          <w:divBdr>
            <w:top w:val="none" w:sz="0" w:space="0" w:color="auto"/>
            <w:left w:val="none" w:sz="0" w:space="0" w:color="auto"/>
            <w:bottom w:val="none" w:sz="0" w:space="0" w:color="auto"/>
            <w:right w:val="none" w:sz="0" w:space="0" w:color="auto"/>
          </w:divBdr>
          <w:divsChild>
            <w:div w:id="1881354724">
              <w:marLeft w:val="0"/>
              <w:marRight w:val="0"/>
              <w:marTop w:val="0"/>
              <w:marBottom w:val="0"/>
              <w:divBdr>
                <w:top w:val="none" w:sz="0" w:space="0" w:color="auto"/>
                <w:left w:val="none" w:sz="0" w:space="0" w:color="auto"/>
                <w:bottom w:val="none" w:sz="0" w:space="0" w:color="auto"/>
                <w:right w:val="none" w:sz="0" w:space="0" w:color="auto"/>
              </w:divBdr>
              <w:divsChild>
                <w:div w:id="788662716">
                  <w:marLeft w:val="0"/>
                  <w:marRight w:val="0"/>
                  <w:marTop w:val="0"/>
                  <w:marBottom w:val="0"/>
                  <w:divBdr>
                    <w:top w:val="none" w:sz="0" w:space="0" w:color="auto"/>
                    <w:left w:val="none" w:sz="0" w:space="0" w:color="auto"/>
                    <w:bottom w:val="none" w:sz="0" w:space="0" w:color="auto"/>
                    <w:right w:val="none" w:sz="0" w:space="0" w:color="auto"/>
                  </w:divBdr>
                  <w:divsChild>
                    <w:div w:id="13969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343957">
      <w:bodyDiv w:val="1"/>
      <w:marLeft w:val="0"/>
      <w:marRight w:val="0"/>
      <w:marTop w:val="0"/>
      <w:marBottom w:val="0"/>
      <w:divBdr>
        <w:top w:val="none" w:sz="0" w:space="0" w:color="auto"/>
        <w:left w:val="none" w:sz="0" w:space="0" w:color="auto"/>
        <w:bottom w:val="none" w:sz="0" w:space="0" w:color="auto"/>
        <w:right w:val="none" w:sz="0" w:space="0" w:color="auto"/>
      </w:divBdr>
      <w:divsChild>
        <w:div w:id="999888202">
          <w:marLeft w:val="0"/>
          <w:marRight w:val="0"/>
          <w:marTop w:val="0"/>
          <w:marBottom w:val="0"/>
          <w:divBdr>
            <w:top w:val="none" w:sz="0" w:space="0" w:color="auto"/>
            <w:left w:val="none" w:sz="0" w:space="0" w:color="auto"/>
            <w:bottom w:val="none" w:sz="0" w:space="0" w:color="auto"/>
            <w:right w:val="none" w:sz="0" w:space="0" w:color="auto"/>
          </w:divBdr>
          <w:divsChild>
            <w:div w:id="1074006435">
              <w:marLeft w:val="0"/>
              <w:marRight w:val="0"/>
              <w:marTop w:val="0"/>
              <w:marBottom w:val="0"/>
              <w:divBdr>
                <w:top w:val="none" w:sz="0" w:space="0" w:color="auto"/>
                <w:left w:val="none" w:sz="0" w:space="0" w:color="auto"/>
                <w:bottom w:val="none" w:sz="0" w:space="0" w:color="auto"/>
                <w:right w:val="none" w:sz="0" w:space="0" w:color="auto"/>
              </w:divBdr>
              <w:divsChild>
                <w:div w:id="721976133">
                  <w:marLeft w:val="0"/>
                  <w:marRight w:val="0"/>
                  <w:marTop w:val="0"/>
                  <w:marBottom w:val="0"/>
                  <w:divBdr>
                    <w:top w:val="none" w:sz="0" w:space="0" w:color="auto"/>
                    <w:left w:val="none" w:sz="0" w:space="0" w:color="auto"/>
                    <w:bottom w:val="none" w:sz="0" w:space="0" w:color="auto"/>
                    <w:right w:val="none" w:sz="0" w:space="0" w:color="auto"/>
                  </w:divBdr>
                  <w:divsChild>
                    <w:div w:id="195776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958256">
      <w:bodyDiv w:val="1"/>
      <w:marLeft w:val="0"/>
      <w:marRight w:val="0"/>
      <w:marTop w:val="0"/>
      <w:marBottom w:val="0"/>
      <w:divBdr>
        <w:top w:val="none" w:sz="0" w:space="0" w:color="auto"/>
        <w:left w:val="none" w:sz="0" w:space="0" w:color="auto"/>
        <w:bottom w:val="none" w:sz="0" w:space="0" w:color="auto"/>
        <w:right w:val="none" w:sz="0" w:space="0" w:color="auto"/>
      </w:divBdr>
    </w:div>
    <w:div w:id="170524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ihai.he@polyu.edu.hk" TargetMode="External"/><Relationship Id="rId13" Type="http://schemas.openxmlformats.org/officeDocument/2006/relationships/hyperlink" Target="https://github.com/GuangchuangYu/nCov2019" TargetMode="External"/><Relationship Id="rId3" Type="http://schemas.openxmlformats.org/officeDocument/2006/relationships/settings" Target="settings.xml"/><Relationship Id="rId7" Type="http://schemas.openxmlformats.org/officeDocument/2006/relationships/hyperlink" Target="mailto:larry.zhuang@polyu.edu.hk" TargetMode="External"/><Relationship Id="rId12" Type="http://schemas.openxmlformats.org/officeDocument/2006/relationships/hyperlink" Target="https://www.statista.com/statistics/708972/average-annual-nominal-wages-of-employees-italy-by-reg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hem11@math.mcmaster.ca" TargetMode="External"/><Relationship Id="rId11" Type="http://schemas.openxmlformats.org/officeDocument/2006/relationships/hyperlink" Target="http://dati.istat.it/?lang=en" TargetMode="External"/><Relationship Id="rId5" Type="http://schemas.openxmlformats.org/officeDocument/2006/relationships/hyperlink" Target="mailto:liuk0809@lixin.edu.cn" TargetMode="External"/><Relationship Id="rId15" Type="http://schemas.openxmlformats.org/officeDocument/2006/relationships/image" Target="media/image1.png"/><Relationship Id="rId10" Type="http://schemas.openxmlformats.org/officeDocument/2006/relationships/hyperlink" Target="https://en.wikipedia.org/wiki/Regions_of_Italy" TargetMode="External"/><Relationship Id="rId4" Type="http://schemas.openxmlformats.org/officeDocument/2006/relationships/webSettings" Target="webSettings.xml"/><Relationship Id="rId9" Type="http://schemas.openxmlformats.org/officeDocument/2006/relationships/hyperlink" Target="mailto:daihai.he@polyu.edu.hk" TargetMode="External"/><Relationship Id="rId14" Type="http://schemas.openxmlformats.org/officeDocument/2006/relationships/hyperlink" Target="https://www.statista.com/statistics/708972/average-annual-nominal-wages-of-employees-italy-by-reg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1866</Words>
  <Characters>10641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Kai</dc:creator>
  <cp:keywords/>
  <dc:description/>
  <cp:lastModifiedBy>HE, daihai [AMA]</cp:lastModifiedBy>
  <cp:revision>99</cp:revision>
  <dcterms:created xsi:type="dcterms:W3CDTF">2020-06-29T08:29:00Z</dcterms:created>
  <dcterms:modified xsi:type="dcterms:W3CDTF">2020-07-01T09:33:00Z</dcterms:modified>
</cp:coreProperties>
</file>