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A550" w14:textId="579FE84E" w:rsidR="0031080A" w:rsidRPr="00E26928" w:rsidRDefault="00140E72">
      <w:pPr>
        <w:rPr>
          <w:b/>
          <w:bCs/>
          <w:szCs w:val="22"/>
        </w:rPr>
      </w:pPr>
      <w:r w:rsidRPr="00E26928">
        <w:rPr>
          <w:b/>
          <w:bCs/>
          <w:szCs w:val="22"/>
        </w:rPr>
        <w:t>CS 178 Visual Analytics — Final Project Answer Sheet</w:t>
      </w:r>
    </w:p>
    <w:p w14:paraId="0F050F55" w14:textId="5DACE531" w:rsidR="00140E72" w:rsidRPr="00140E72" w:rsidRDefault="00140E72">
      <w:pPr>
        <w:rPr>
          <w:b/>
          <w:bCs/>
          <w:sz w:val="20"/>
          <w:szCs w:val="20"/>
        </w:rPr>
      </w:pPr>
    </w:p>
    <w:p w14:paraId="43A408E9" w14:textId="77777777" w:rsidR="00E26928" w:rsidRPr="00E26928" w:rsidRDefault="00E26928" w:rsidP="00E26928">
      <w:pPr>
        <w:rPr>
          <w:b/>
          <w:bCs/>
        </w:rPr>
      </w:pPr>
      <w:r w:rsidRPr="00E26928">
        <w:rPr>
          <w:b/>
          <w:bCs/>
        </w:rPr>
        <w:t>Tools Used</w:t>
      </w:r>
    </w:p>
    <w:p w14:paraId="3D6CA370" w14:textId="267DEE62" w:rsidR="00E26928" w:rsidRPr="00E26928" w:rsidRDefault="00E26928" w:rsidP="00E26928">
      <w:pPr>
        <w:numPr>
          <w:ilvl w:val="0"/>
          <w:numId w:val="2"/>
        </w:numPr>
      </w:pPr>
      <w:proofErr w:type="spellStart"/>
      <w:r w:rsidRPr="00E26928">
        <w:t>DuckDB</w:t>
      </w:r>
      <w:proofErr w:type="spellEnd"/>
      <w:r w:rsidRPr="00E26928">
        <w:t xml:space="preserve"> </w:t>
      </w:r>
      <w:r>
        <w:t>–</w:t>
      </w:r>
      <w:r w:rsidRPr="00E26928">
        <w:t xml:space="preserve"> data ingestion and SQL query engine for the 13.5M row dataset</w:t>
      </w:r>
    </w:p>
    <w:p w14:paraId="0BC6DFE6" w14:textId="5466799F" w:rsidR="00E26928" w:rsidRPr="00E26928" w:rsidRDefault="00E26928" w:rsidP="00E26928">
      <w:pPr>
        <w:numPr>
          <w:ilvl w:val="0"/>
          <w:numId w:val="2"/>
        </w:numPr>
      </w:pPr>
      <w:r w:rsidRPr="00E26928">
        <w:t xml:space="preserve">Python / Pandas </w:t>
      </w:r>
      <w:r>
        <w:t>–</w:t>
      </w:r>
      <w:r w:rsidRPr="00E26928">
        <w:t xml:space="preserve"> data pipeline, pre-computation, and terminal stop flagging</w:t>
      </w:r>
    </w:p>
    <w:p w14:paraId="678836B8" w14:textId="39E8EFA6" w:rsidR="00E26928" w:rsidRPr="00E26928" w:rsidRDefault="00E26928" w:rsidP="00E26928">
      <w:pPr>
        <w:numPr>
          <w:ilvl w:val="0"/>
          <w:numId w:val="2"/>
        </w:numPr>
      </w:pPr>
      <w:r w:rsidRPr="00E26928">
        <w:t>Flask</w:t>
      </w:r>
      <w:r>
        <w:rPr>
          <w:rFonts w:hint="eastAsia"/>
        </w:rPr>
        <w:t xml:space="preserve"> </w:t>
      </w:r>
      <w:r>
        <w:t>–</w:t>
      </w:r>
      <w:r w:rsidRPr="00E26928">
        <w:t xml:space="preserve"> backend API server</w:t>
      </w:r>
    </w:p>
    <w:p w14:paraId="6FA82B93" w14:textId="249A40D6" w:rsidR="00E26928" w:rsidRPr="00E26928" w:rsidRDefault="00E26928" w:rsidP="00E26928">
      <w:pPr>
        <w:numPr>
          <w:ilvl w:val="0"/>
          <w:numId w:val="2"/>
        </w:numPr>
      </w:pPr>
      <w:r w:rsidRPr="00E26928">
        <w:t xml:space="preserve">D3.js </w:t>
      </w:r>
      <w:r>
        <w:t>–</w:t>
      </w:r>
      <w:r w:rsidRPr="00E26928">
        <w:t xml:space="preserve"> interactive visualizations</w:t>
      </w:r>
    </w:p>
    <w:p w14:paraId="219C9479" w14:textId="1D8804CF" w:rsidR="00E26928" w:rsidRPr="00E26928" w:rsidRDefault="00E26928" w:rsidP="00E26928">
      <w:pPr>
        <w:numPr>
          <w:ilvl w:val="0"/>
          <w:numId w:val="2"/>
        </w:numPr>
      </w:pPr>
      <w:r w:rsidRPr="00E26928">
        <w:t xml:space="preserve">HTML / CSS </w:t>
      </w:r>
      <w:r>
        <w:t>–</w:t>
      </w:r>
      <w:r>
        <w:rPr>
          <w:rFonts w:hint="eastAsia"/>
        </w:rPr>
        <w:t xml:space="preserve"> </w:t>
      </w:r>
      <w:r w:rsidRPr="00E26928">
        <w:t>frontend interface</w:t>
      </w:r>
    </w:p>
    <w:p w14:paraId="3742892C" w14:textId="77777777" w:rsidR="00843801" w:rsidRPr="00E26928" w:rsidRDefault="00843801" w:rsidP="00E26928">
      <w:pPr>
        <w:rPr>
          <w:b/>
          <w:bCs/>
        </w:rPr>
      </w:pPr>
    </w:p>
    <w:p w14:paraId="76EB91E6" w14:textId="77777777" w:rsidR="00E26928" w:rsidRPr="00E26928" w:rsidRDefault="00E26928" w:rsidP="00E26928">
      <w:pPr>
        <w:rPr>
          <w:b/>
          <w:bCs/>
        </w:rPr>
      </w:pPr>
      <w:r w:rsidRPr="00E26928">
        <w:rPr>
          <w:b/>
          <w:bCs/>
        </w:rPr>
        <w:t>Question 1: Characterize the data</w:t>
      </w:r>
    </w:p>
    <w:p w14:paraId="46492D73" w14:textId="77777777" w:rsidR="00E26928" w:rsidRPr="00E26928" w:rsidRDefault="00E26928" w:rsidP="00E26928">
      <w:r w:rsidRPr="00E26928">
        <w:t>The dataset contains 13,583,710 departure records from the MBTA rapid transit network across all of 2025, covering 8 route IDs and 125 stations. Each record captures a single train departure at a stop, along with the headway — the time since the previous departure of the same route from that stop. Headway is the primary unit of analysis because it directly measures how long a passenger might wait for a train.</w:t>
      </w:r>
    </w:p>
    <w:p w14:paraId="5F91D1BC" w14:textId="77777777" w:rsidR="00E26928" w:rsidRDefault="00E26928" w:rsidP="00E26928"/>
    <w:p w14:paraId="0C317C2A" w14:textId="1D1A183C" w:rsidR="00843801" w:rsidRPr="00E26928" w:rsidRDefault="00843801" w:rsidP="00E26928">
      <w:pPr>
        <w:rPr>
          <w:noProof/>
        </w:rPr>
      </w:pPr>
      <w:r w:rsidRPr="00E26928">
        <w:rPr>
          <w:noProof/>
        </w:rPr>
        <w:drawing>
          <wp:anchor distT="0" distB="0" distL="114300" distR="114300" simplePos="0" relativeHeight="251644416" behindDoc="1" locked="0" layoutInCell="1" allowOverlap="1" wp14:anchorId="2CB328E2" wp14:editId="5721A53B">
            <wp:simplePos x="0" y="0"/>
            <wp:positionH relativeFrom="column">
              <wp:posOffset>-635000</wp:posOffset>
            </wp:positionH>
            <wp:positionV relativeFrom="paragraph">
              <wp:posOffset>1457960</wp:posOffset>
            </wp:positionV>
            <wp:extent cx="7169150" cy="2381250"/>
            <wp:effectExtent l="0" t="0" r="0" b="0"/>
            <wp:wrapTopAndBottom/>
            <wp:docPr id="5539398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39883" name=""/>
                    <pic:cNvPicPr/>
                  </pic:nvPicPr>
                  <pic:blipFill rotWithShape="1">
                    <a:blip r:embed="rId7" cstate="print">
                      <a:extLst>
                        <a:ext uri="{28A0092B-C50C-407E-A947-70E740481C1C}">
                          <a14:useLocalDpi xmlns:a14="http://schemas.microsoft.com/office/drawing/2010/main" val="0"/>
                        </a:ext>
                      </a:extLst>
                    </a:blip>
                    <a:srcRect r="2061"/>
                    <a:stretch>
                      <a:fillRect/>
                    </a:stretch>
                  </pic:blipFill>
                  <pic:spPr bwMode="auto">
                    <a:xfrm>
                      <a:off x="0" y="0"/>
                      <a:ext cx="7169150" cy="238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w:pict w14:anchorId="1EFAC1EF">
          <v:shapetype id="_x0000_t202" coordsize="21600,21600" o:spt="202" path="m,l,21600r21600,l21600,xe">
            <v:stroke joinstyle="miter"/>
            <v:path gradientshapeok="t" o:connecttype="rect"/>
          </v:shapetype>
          <v:shape id="_x0000_s1026" type="#_x0000_t202" style="position:absolute;margin-left:-46pt;margin-top:307.3pt;width:561pt;height:23.55pt;z-index:251660288;mso-position-horizontal-relative:text;mso-position-vertical-relative:text" stroked="f">
            <v:textbox style="mso-next-textbox:#_x0000_s1026;mso-fit-shape-to-text:t" inset="0,0,0,0">
              <w:txbxContent>
                <w:p w14:paraId="14EEA6D9" w14:textId="323DE6BA" w:rsidR="00E26928" w:rsidRPr="00E26928" w:rsidRDefault="00E26928" w:rsidP="00E26928">
                  <w:pPr>
                    <w:pStyle w:val="aa"/>
                    <w:jc w:val="center"/>
                    <w:rPr>
                      <w:sz w:val="18"/>
                      <w:szCs w:val="18"/>
                    </w:rPr>
                  </w:pPr>
                  <w:r w:rsidRPr="00E26928">
                    <w:rPr>
                      <w:sz w:val="18"/>
                      <w:szCs w:val="18"/>
                    </w:rPr>
                    <w:t xml:space="preserve">Figure </w:t>
                  </w:r>
                  <w:r w:rsidRPr="00E26928">
                    <w:rPr>
                      <w:sz w:val="18"/>
                      <w:szCs w:val="18"/>
                    </w:rPr>
                    <w:fldChar w:fldCharType="begin"/>
                  </w:r>
                  <w:r w:rsidRPr="00E26928">
                    <w:rPr>
                      <w:sz w:val="18"/>
                      <w:szCs w:val="18"/>
                    </w:rPr>
                    <w:instrText xml:space="preserve"> SEQ Figure \* ARABIC </w:instrText>
                  </w:r>
                  <w:r w:rsidRPr="00E26928">
                    <w:rPr>
                      <w:sz w:val="18"/>
                      <w:szCs w:val="18"/>
                    </w:rPr>
                    <w:fldChar w:fldCharType="separate"/>
                  </w:r>
                  <w:r w:rsidR="00F30B7C">
                    <w:rPr>
                      <w:noProof/>
                      <w:sz w:val="18"/>
                      <w:szCs w:val="18"/>
                    </w:rPr>
                    <w:t>1</w:t>
                  </w:r>
                  <w:r w:rsidRPr="00E26928">
                    <w:rPr>
                      <w:sz w:val="18"/>
                      <w:szCs w:val="18"/>
                    </w:rPr>
                    <w:fldChar w:fldCharType="end"/>
                  </w:r>
                </w:p>
              </w:txbxContent>
            </v:textbox>
            <w10:wrap type="topAndBottom"/>
          </v:shape>
        </w:pict>
      </w:r>
      <w:r w:rsidR="00E26928" w:rsidRPr="00E26928">
        <w:t>The data can be analyzed at multiple levels: individual stops, branches (e.g. Green-E, Red-A), trunk lines (e.g. Green, Red), and the full network. For the Green and Red lines, both trunk headway (all trains of that line) and branch headway (trains of a specific branch) are recorded. For Orange, Blue, and Mattapan, only trunk headway exists since they have no branches.</w:t>
      </w:r>
      <w:r w:rsidR="00E26928" w:rsidRPr="00E26928">
        <w:rPr>
          <w:noProof/>
        </w:rPr>
        <w:t xml:space="preserve"> </w:t>
      </w:r>
    </w:p>
    <w:p w14:paraId="4858AA1B" w14:textId="6A6B653E" w:rsidR="00E26928" w:rsidRPr="00E26928" w:rsidRDefault="00000000" w:rsidP="00E26928">
      <w:r>
        <w:rPr>
          <w:noProof/>
        </w:rPr>
        <w:lastRenderedPageBreak/>
        <w:pict w14:anchorId="5CFCB4C2">
          <v:shape id="_x0000_s1027" type="#_x0000_t202" style="position:absolute;margin-left:-50pt;margin-top:323.95pt;width:559.2pt;height:23.55pt;z-index:251663360;mso-position-horizontal-relative:text;mso-position-vertical-relative:text" stroked="f">
            <v:textbox style="mso-fit-shape-to-text:t" inset="0,0,0,0">
              <w:txbxContent>
                <w:p w14:paraId="65AF4D51" w14:textId="4AB4CC43" w:rsidR="00E26928" w:rsidRPr="00E26928" w:rsidRDefault="00E26928" w:rsidP="00E26928">
                  <w:pPr>
                    <w:pStyle w:val="aa"/>
                    <w:jc w:val="center"/>
                    <w:rPr>
                      <w:sz w:val="16"/>
                      <w:szCs w:val="16"/>
                    </w:rPr>
                  </w:pPr>
                  <w:r w:rsidRPr="00E26928">
                    <w:rPr>
                      <w:sz w:val="18"/>
                      <w:szCs w:val="18"/>
                    </w:rPr>
                    <w:t xml:space="preserve">Figure </w:t>
                  </w:r>
                  <w:r w:rsidRPr="00E26928">
                    <w:rPr>
                      <w:sz w:val="18"/>
                      <w:szCs w:val="18"/>
                    </w:rPr>
                    <w:fldChar w:fldCharType="begin"/>
                  </w:r>
                  <w:r w:rsidRPr="00E26928">
                    <w:rPr>
                      <w:sz w:val="18"/>
                      <w:szCs w:val="18"/>
                    </w:rPr>
                    <w:instrText xml:space="preserve"> SEQ Figure \* ARABIC </w:instrText>
                  </w:r>
                  <w:r w:rsidRPr="00E26928">
                    <w:rPr>
                      <w:sz w:val="18"/>
                      <w:szCs w:val="18"/>
                    </w:rPr>
                    <w:fldChar w:fldCharType="separate"/>
                  </w:r>
                  <w:r w:rsidR="00F30B7C">
                    <w:rPr>
                      <w:noProof/>
                      <w:sz w:val="18"/>
                      <w:szCs w:val="18"/>
                    </w:rPr>
                    <w:t>2</w:t>
                  </w:r>
                  <w:r w:rsidRPr="00E26928">
                    <w:rPr>
                      <w:sz w:val="18"/>
                      <w:szCs w:val="18"/>
                    </w:rPr>
                    <w:fldChar w:fldCharType="end"/>
                  </w:r>
                </w:p>
              </w:txbxContent>
            </v:textbox>
            <w10:wrap type="topAndBottom"/>
          </v:shape>
        </w:pict>
      </w:r>
      <w:r w:rsidR="00843801" w:rsidRPr="00E26928">
        <w:rPr>
          <w:noProof/>
        </w:rPr>
        <w:drawing>
          <wp:anchor distT="0" distB="0" distL="114300" distR="114300" simplePos="0" relativeHeight="251652608" behindDoc="0" locked="0" layoutInCell="1" allowOverlap="1" wp14:anchorId="3BB87FD3" wp14:editId="0D714FC6">
            <wp:simplePos x="0" y="0"/>
            <wp:positionH relativeFrom="column">
              <wp:posOffset>-685800</wp:posOffset>
            </wp:positionH>
            <wp:positionV relativeFrom="paragraph">
              <wp:posOffset>1453515</wp:posOffset>
            </wp:positionV>
            <wp:extent cx="7101840" cy="2597150"/>
            <wp:effectExtent l="0" t="0" r="0" b="0"/>
            <wp:wrapTopAndBottom/>
            <wp:docPr id="8807921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92124" name=""/>
                    <pic:cNvPicPr/>
                  </pic:nvPicPr>
                  <pic:blipFill>
                    <a:blip r:embed="rId8">
                      <a:extLst>
                        <a:ext uri="{28A0092B-C50C-407E-A947-70E740481C1C}">
                          <a14:useLocalDpi xmlns:a14="http://schemas.microsoft.com/office/drawing/2010/main" val="0"/>
                        </a:ext>
                      </a:extLst>
                    </a:blip>
                    <a:stretch>
                      <a:fillRect/>
                    </a:stretch>
                  </pic:blipFill>
                  <pic:spPr>
                    <a:xfrm>
                      <a:off x="0" y="0"/>
                      <a:ext cx="7101840" cy="2597150"/>
                    </a:xfrm>
                    <a:prstGeom prst="rect">
                      <a:avLst/>
                    </a:prstGeom>
                  </pic:spPr>
                </pic:pic>
              </a:graphicData>
            </a:graphic>
            <wp14:sizeRelH relativeFrom="margin">
              <wp14:pctWidth>0</wp14:pctWidth>
            </wp14:sizeRelH>
            <wp14:sizeRelV relativeFrom="margin">
              <wp14:pctHeight>0</wp14:pctHeight>
            </wp14:sizeRelV>
          </wp:anchor>
        </w:drawing>
      </w:r>
      <w:r w:rsidR="00E26928" w:rsidRPr="00E26928">
        <w:rPr>
          <w:b/>
          <w:bCs/>
        </w:rPr>
        <w:t>Figure 1</w:t>
      </w:r>
      <w:r w:rsidR="00E26928" w:rsidRPr="00E26928">
        <w:t xml:space="preserve"> shows the headway distribution across all line groups. Green Line branches (GLX, Green-E non-GLX, other </w:t>
      </w:r>
      <w:proofErr w:type="gramStart"/>
      <w:r w:rsidR="00E26928" w:rsidRPr="00E26928">
        <w:t>Green</w:t>
      </w:r>
      <w:proofErr w:type="gramEnd"/>
      <w:r w:rsidR="00E26928" w:rsidRPr="00E26928">
        <w:t xml:space="preserve"> branches) cluster around 8–10 minutes. Orange and Blue lines run more frequently at 6–7 minutes. Mattapan runs the least frequently at around 10 minutes. Red Line sits in between at 7–8 minutes. GLX specifically has a median headway of around 8.5 minutes, consistent with the rest of the Green Line.</w:t>
      </w:r>
    </w:p>
    <w:p w14:paraId="2E73B246" w14:textId="77777777" w:rsidR="00843801" w:rsidRDefault="00843801" w:rsidP="00E26928">
      <w:pPr>
        <w:rPr>
          <w:b/>
          <w:bCs/>
        </w:rPr>
      </w:pPr>
    </w:p>
    <w:p w14:paraId="2B1344CE" w14:textId="6C4F04B0" w:rsidR="00E26928" w:rsidRPr="00E26928" w:rsidRDefault="00E26928" w:rsidP="00E26928">
      <w:r w:rsidRPr="00E26928">
        <w:rPr>
          <w:b/>
          <w:bCs/>
        </w:rPr>
        <w:t xml:space="preserve">Figure 2 </w:t>
      </w:r>
      <w:r w:rsidRPr="00E26928">
        <w:t>shows missingness by stop on Green-E. Heath Street (99.6% null) and Medford/Tufts (98.9% null) dominate the top of the table. These are terminal stops where trains originate</w:t>
      </w:r>
      <w:r w:rsidR="00843801">
        <w:rPr>
          <w:rFonts w:hint="eastAsia"/>
        </w:rPr>
        <w:t>. S</w:t>
      </w:r>
      <w:r w:rsidRPr="00E26928">
        <w:t>ince there is no previous departure at the same stop to measure against, no headway can be computed. This is a structural feature of how the data is collected, not a reflection of service quality. All other Green-E stops, including GLX intermediate stops, show low null rates between 1–7%.</w:t>
      </w:r>
    </w:p>
    <w:p w14:paraId="1D43547A" w14:textId="791C0DC8" w:rsidR="00E26928" w:rsidRDefault="00E26928" w:rsidP="00E26928">
      <w:pPr>
        <w:rPr>
          <w:b/>
          <w:bCs/>
        </w:rPr>
      </w:pPr>
    </w:p>
    <w:p w14:paraId="57F750BD" w14:textId="77777777" w:rsidR="00843801" w:rsidRDefault="00843801" w:rsidP="00E26928">
      <w:pPr>
        <w:rPr>
          <w:b/>
          <w:bCs/>
        </w:rPr>
      </w:pPr>
    </w:p>
    <w:p w14:paraId="6C876FEB" w14:textId="77777777" w:rsidR="00843801" w:rsidRDefault="00843801" w:rsidP="00E26928">
      <w:pPr>
        <w:rPr>
          <w:b/>
          <w:bCs/>
        </w:rPr>
      </w:pPr>
    </w:p>
    <w:p w14:paraId="28B25439" w14:textId="77777777" w:rsidR="00843801" w:rsidRDefault="00843801" w:rsidP="00E26928">
      <w:pPr>
        <w:rPr>
          <w:b/>
          <w:bCs/>
        </w:rPr>
      </w:pPr>
    </w:p>
    <w:p w14:paraId="62B96337" w14:textId="77777777" w:rsidR="00843801" w:rsidRDefault="00843801" w:rsidP="00E26928">
      <w:pPr>
        <w:rPr>
          <w:b/>
          <w:bCs/>
        </w:rPr>
      </w:pPr>
    </w:p>
    <w:p w14:paraId="564F0D23" w14:textId="77777777" w:rsidR="00843801" w:rsidRDefault="00843801" w:rsidP="00E26928">
      <w:pPr>
        <w:rPr>
          <w:b/>
          <w:bCs/>
        </w:rPr>
      </w:pPr>
    </w:p>
    <w:p w14:paraId="4BF0EBED" w14:textId="77777777" w:rsidR="00843801" w:rsidRPr="00E26928" w:rsidRDefault="00843801" w:rsidP="00E26928">
      <w:pPr>
        <w:rPr>
          <w:b/>
          <w:bCs/>
        </w:rPr>
      </w:pPr>
    </w:p>
    <w:p w14:paraId="51E38CE0" w14:textId="026E5266" w:rsidR="00843801" w:rsidRPr="00843801" w:rsidRDefault="00000000" w:rsidP="00E26928">
      <w:pPr>
        <w:rPr>
          <w:noProof/>
        </w:rPr>
      </w:pPr>
      <w:r>
        <w:rPr>
          <w:noProof/>
        </w:rPr>
        <w:lastRenderedPageBreak/>
        <w:pict w14:anchorId="2EF3C6E9">
          <v:shape id="_x0000_s1028" type="#_x0000_t202" style="position:absolute;margin-left:-13.5pt;margin-top:277.1pt;width:451.3pt;height:23.55pt;z-index:251666432;mso-position-horizontal-relative:text;mso-position-vertical-relative:text" stroked="f">
            <v:textbox style="mso-next-textbox:#_x0000_s1028;mso-fit-shape-to-text:t" inset="0,0,0,0">
              <w:txbxContent>
                <w:p w14:paraId="5922B2DB" w14:textId="6769DEC8" w:rsidR="00843801" w:rsidRPr="00843801" w:rsidRDefault="00843801" w:rsidP="00843801">
                  <w:pPr>
                    <w:pStyle w:val="aa"/>
                    <w:jc w:val="center"/>
                    <w:rPr>
                      <w:sz w:val="18"/>
                      <w:szCs w:val="18"/>
                    </w:rPr>
                  </w:pPr>
                  <w:r w:rsidRPr="00843801">
                    <w:rPr>
                      <w:sz w:val="18"/>
                      <w:szCs w:val="18"/>
                    </w:rPr>
                    <w:t xml:space="preserve">Figure </w:t>
                  </w:r>
                  <w:r w:rsidRPr="00843801">
                    <w:rPr>
                      <w:sz w:val="18"/>
                      <w:szCs w:val="18"/>
                    </w:rPr>
                    <w:fldChar w:fldCharType="begin"/>
                  </w:r>
                  <w:r w:rsidRPr="00843801">
                    <w:rPr>
                      <w:sz w:val="18"/>
                      <w:szCs w:val="18"/>
                    </w:rPr>
                    <w:instrText xml:space="preserve"> SEQ Figure \* ARABIC </w:instrText>
                  </w:r>
                  <w:r w:rsidRPr="00843801">
                    <w:rPr>
                      <w:sz w:val="18"/>
                      <w:szCs w:val="18"/>
                    </w:rPr>
                    <w:fldChar w:fldCharType="separate"/>
                  </w:r>
                  <w:r w:rsidR="00F30B7C">
                    <w:rPr>
                      <w:noProof/>
                      <w:sz w:val="18"/>
                      <w:szCs w:val="18"/>
                    </w:rPr>
                    <w:t>3</w:t>
                  </w:r>
                  <w:r w:rsidRPr="00843801">
                    <w:rPr>
                      <w:sz w:val="18"/>
                      <w:szCs w:val="18"/>
                    </w:rPr>
                    <w:fldChar w:fldCharType="end"/>
                  </w:r>
                </w:p>
              </w:txbxContent>
            </v:textbox>
            <w10:wrap type="topAndBottom"/>
          </v:shape>
        </w:pict>
      </w:r>
      <w:r w:rsidR="00843801" w:rsidRPr="00843801">
        <w:rPr>
          <w:b/>
          <w:bCs/>
          <w:noProof/>
        </w:rPr>
        <w:drawing>
          <wp:anchor distT="0" distB="0" distL="114300" distR="114300" simplePos="0" relativeHeight="251658752" behindDoc="0" locked="0" layoutInCell="1" allowOverlap="1" wp14:anchorId="6FBBC720" wp14:editId="5425C480">
            <wp:simplePos x="0" y="0"/>
            <wp:positionH relativeFrom="column">
              <wp:posOffset>-368300</wp:posOffset>
            </wp:positionH>
            <wp:positionV relativeFrom="paragraph">
              <wp:posOffset>526415</wp:posOffset>
            </wp:positionV>
            <wp:extent cx="6572250" cy="2994025"/>
            <wp:effectExtent l="0" t="0" r="0" b="0"/>
            <wp:wrapTopAndBottom/>
            <wp:docPr id="1696073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304" name=""/>
                    <pic:cNvPicPr/>
                  </pic:nvPicPr>
                  <pic:blipFill>
                    <a:blip r:embed="rId9">
                      <a:extLst>
                        <a:ext uri="{28A0092B-C50C-407E-A947-70E740481C1C}">
                          <a14:useLocalDpi xmlns:a14="http://schemas.microsoft.com/office/drawing/2010/main" val="0"/>
                        </a:ext>
                      </a:extLst>
                    </a:blip>
                    <a:stretch>
                      <a:fillRect/>
                    </a:stretch>
                  </pic:blipFill>
                  <pic:spPr>
                    <a:xfrm>
                      <a:off x="0" y="0"/>
                      <a:ext cx="6572250" cy="2994025"/>
                    </a:xfrm>
                    <a:prstGeom prst="rect">
                      <a:avLst/>
                    </a:prstGeom>
                  </pic:spPr>
                </pic:pic>
              </a:graphicData>
            </a:graphic>
            <wp14:sizeRelH relativeFrom="margin">
              <wp14:pctWidth>0</wp14:pctWidth>
            </wp14:sizeRelH>
            <wp14:sizeRelV relativeFrom="margin">
              <wp14:pctHeight>0</wp14:pctHeight>
            </wp14:sizeRelV>
          </wp:anchor>
        </w:drawing>
      </w:r>
      <w:r w:rsidR="00E26928" w:rsidRPr="00E26928">
        <w:rPr>
          <w:b/>
          <w:bCs/>
        </w:rPr>
        <w:t>Question 2: Relationships between headways and other variables</w:t>
      </w:r>
      <w:r w:rsidR="00843801" w:rsidRPr="00843801">
        <w:rPr>
          <w:noProof/>
        </w:rPr>
        <w:t xml:space="preserve"> </w:t>
      </w:r>
    </w:p>
    <w:p w14:paraId="654AB2A8" w14:textId="77777777" w:rsidR="00843801" w:rsidRDefault="00843801" w:rsidP="00E26928">
      <w:pPr>
        <w:rPr>
          <w:b/>
          <w:bCs/>
        </w:rPr>
      </w:pPr>
    </w:p>
    <w:p w14:paraId="68353072" w14:textId="15A2F876" w:rsidR="00002E09" w:rsidRDefault="00E26928" w:rsidP="00002E09">
      <w:r w:rsidRPr="00843801">
        <w:rPr>
          <w:b/>
          <w:bCs/>
        </w:rPr>
        <w:t xml:space="preserve">Figure 3 </w:t>
      </w:r>
      <w:r w:rsidRPr="00E26928">
        <w:t>shows mean headway by hour for GLX and Green-E non-GLX. Both lines follow the same pattern</w:t>
      </w:r>
      <w:r w:rsidR="00002E09">
        <w:rPr>
          <w:rFonts w:hint="eastAsia"/>
        </w:rPr>
        <w:t>, which is</w:t>
      </w:r>
      <w:r w:rsidRPr="00E26928">
        <w:t xml:space="preserve"> slightly higher headways </w:t>
      </w:r>
      <w:r w:rsidR="00002E09">
        <w:rPr>
          <w:rFonts w:hint="eastAsia"/>
        </w:rPr>
        <w:t xml:space="preserve">on </w:t>
      </w:r>
      <w:r w:rsidRPr="00E26928">
        <w:t xml:space="preserve">early morning (0:00–5:00), dropping to their lowest around 8:00, </w:t>
      </w:r>
      <w:r w:rsidR="00002E09">
        <w:rPr>
          <w:rFonts w:hint="eastAsia"/>
        </w:rPr>
        <w:t xml:space="preserve"> </w:t>
      </w:r>
      <w:r w:rsidRPr="00E26928">
        <w:t>staying stable through midday, then rising sharply after 20:00 and peaking around 22:00 at over 20 minutes before service ends. This pattern reflects scheduled service frequency</w:t>
      </w:r>
      <w:r w:rsidR="00002E09">
        <w:rPr>
          <w:rFonts w:hint="eastAsia"/>
        </w:rPr>
        <w:t>.</w:t>
      </w:r>
      <w:r w:rsidRPr="00E26928">
        <w:t xml:space="preserve"> </w:t>
      </w:r>
      <w:r w:rsidR="00002E09">
        <w:rPr>
          <w:rFonts w:hint="eastAsia"/>
        </w:rPr>
        <w:t>M</w:t>
      </w:r>
      <w:r w:rsidRPr="00E26928">
        <w:t>ore trains run during daytime hours, fewer run late at night. GLX and Green-E non-GLX track each other almost exactly throughout the day, with no divergence at peak hours.</w:t>
      </w:r>
    </w:p>
    <w:p w14:paraId="4FD2FB96" w14:textId="77777777" w:rsidR="00002E09" w:rsidRDefault="00002E09" w:rsidP="00002E09"/>
    <w:p w14:paraId="6A68A508" w14:textId="77777777" w:rsidR="00002E09" w:rsidRDefault="00002E09" w:rsidP="00002E09"/>
    <w:p w14:paraId="714234CF" w14:textId="77777777" w:rsidR="00002E09" w:rsidRDefault="00002E09" w:rsidP="00002E09"/>
    <w:p w14:paraId="3D396B4E" w14:textId="77777777" w:rsidR="00002E09" w:rsidRDefault="00002E09" w:rsidP="00E26928">
      <w:pPr>
        <w:rPr>
          <w:b/>
          <w:bCs/>
        </w:rPr>
      </w:pPr>
    </w:p>
    <w:p w14:paraId="62F5305D" w14:textId="77777777" w:rsidR="00002E09" w:rsidRDefault="00002E09" w:rsidP="00E26928">
      <w:pPr>
        <w:rPr>
          <w:b/>
          <w:bCs/>
        </w:rPr>
      </w:pPr>
    </w:p>
    <w:p w14:paraId="755AB8C7" w14:textId="77777777" w:rsidR="00002E09" w:rsidRDefault="00002E09" w:rsidP="00E26928">
      <w:pPr>
        <w:rPr>
          <w:b/>
          <w:bCs/>
        </w:rPr>
      </w:pPr>
    </w:p>
    <w:p w14:paraId="370FC85F" w14:textId="77777777" w:rsidR="00002E09" w:rsidRDefault="00002E09" w:rsidP="00E26928">
      <w:pPr>
        <w:rPr>
          <w:b/>
          <w:bCs/>
        </w:rPr>
      </w:pPr>
    </w:p>
    <w:p w14:paraId="40FD61DA" w14:textId="1A933AA4" w:rsidR="00002E09" w:rsidRDefault="00000000" w:rsidP="00E26928">
      <w:pPr>
        <w:rPr>
          <w:b/>
          <w:bCs/>
        </w:rPr>
      </w:pPr>
      <w:r>
        <w:rPr>
          <w:noProof/>
        </w:rPr>
        <w:lastRenderedPageBreak/>
        <w:pict w14:anchorId="60D3ADC7">
          <v:shape id="_x0000_s1029" type="#_x0000_t202" style="position:absolute;margin-left:11.5pt;margin-top:290.1pt;width:451.3pt;height:23.55pt;z-index:251669504;mso-position-horizontal-relative:text;mso-position-vertical-relative:text" stroked="f">
            <v:textbox style="mso-fit-shape-to-text:t" inset="0,0,0,0">
              <w:txbxContent>
                <w:p w14:paraId="33BE8309" w14:textId="433EE81C" w:rsidR="00002E09" w:rsidRPr="00002E09" w:rsidRDefault="00002E09" w:rsidP="00002E09">
                  <w:pPr>
                    <w:pStyle w:val="aa"/>
                    <w:jc w:val="center"/>
                    <w:rPr>
                      <w:sz w:val="18"/>
                      <w:szCs w:val="18"/>
                    </w:rPr>
                  </w:pPr>
                  <w:r w:rsidRPr="00002E09">
                    <w:rPr>
                      <w:sz w:val="18"/>
                      <w:szCs w:val="18"/>
                    </w:rPr>
                    <w:t xml:space="preserve">Figure </w:t>
                  </w:r>
                  <w:r w:rsidRPr="00002E09">
                    <w:rPr>
                      <w:sz w:val="18"/>
                      <w:szCs w:val="18"/>
                    </w:rPr>
                    <w:fldChar w:fldCharType="begin"/>
                  </w:r>
                  <w:r w:rsidRPr="00002E09">
                    <w:rPr>
                      <w:sz w:val="18"/>
                      <w:szCs w:val="18"/>
                    </w:rPr>
                    <w:instrText xml:space="preserve"> SEQ Figure \* ARABIC </w:instrText>
                  </w:r>
                  <w:r w:rsidRPr="00002E09">
                    <w:rPr>
                      <w:sz w:val="18"/>
                      <w:szCs w:val="18"/>
                    </w:rPr>
                    <w:fldChar w:fldCharType="separate"/>
                  </w:r>
                  <w:r w:rsidR="00F30B7C">
                    <w:rPr>
                      <w:noProof/>
                      <w:sz w:val="18"/>
                      <w:szCs w:val="18"/>
                    </w:rPr>
                    <w:t>4</w:t>
                  </w:r>
                  <w:r w:rsidRPr="00002E09">
                    <w:rPr>
                      <w:sz w:val="18"/>
                      <w:szCs w:val="18"/>
                    </w:rPr>
                    <w:fldChar w:fldCharType="end"/>
                  </w:r>
                </w:p>
              </w:txbxContent>
            </v:textbox>
            <w10:wrap type="topAndBottom"/>
          </v:shape>
        </w:pict>
      </w:r>
      <w:r w:rsidR="00002E09" w:rsidRPr="00002E09">
        <w:rPr>
          <w:noProof/>
        </w:rPr>
        <w:drawing>
          <wp:anchor distT="0" distB="0" distL="114300" distR="114300" simplePos="0" relativeHeight="251670016" behindDoc="0" locked="0" layoutInCell="1" allowOverlap="1" wp14:anchorId="4D3F7A11" wp14:editId="3AC82171">
            <wp:simplePos x="0" y="0"/>
            <wp:positionH relativeFrom="column">
              <wp:posOffset>-184785</wp:posOffset>
            </wp:positionH>
            <wp:positionV relativeFrom="paragraph">
              <wp:posOffset>208915</wp:posOffset>
            </wp:positionV>
            <wp:extent cx="6285865" cy="3359150"/>
            <wp:effectExtent l="0" t="0" r="0" b="0"/>
            <wp:wrapTopAndBottom/>
            <wp:docPr id="5172851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85112" name=""/>
                    <pic:cNvPicPr/>
                  </pic:nvPicPr>
                  <pic:blipFill>
                    <a:blip r:embed="rId10">
                      <a:extLst>
                        <a:ext uri="{28A0092B-C50C-407E-A947-70E740481C1C}">
                          <a14:useLocalDpi xmlns:a14="http://schemas.microsoft.com/office/drawing/2010/main" val="0"/>
                        </a:ext>
                      </a:extLst>
                    </a:blip>
                    <a:stretch>
                      <a:fillRect/>
                    </a:stretch>
                  </pic:blipFill>
                  <pic:spPr>
                    <a:xfrm>
                      <a:off x="0" y="0"/>
                      <a:ext cx="6285865" cy="3359150"/>
                    </a:xfrm>
                    <a:prstGeom prst="rect">
                      <a:avLst/>
                    </a:prstGeom>
                  </pic:spPr>
                </pic:pic>
              </a:graphicData>
            </a:graphic>
            <wp14:sizeRelH relativeFrom="margin">
              <wp14:pctWidth>0</wp14:pctWidth>
            </wp14:sizeRelH>
            <wp14:sizeRelV relativeFrom="margin">
              <wp14:pctHeight>0</wp14:pctHeight>
            </wp14:sizeRelV>
          </wp:anchor>
        </w:drawing>
      </w:r>
    </w:p>
    <w:p w14:paraId="1AB3517D" w14:textId="0F528431" w:rsidR="00E26928" w:rsidRDefault="00E26928" w:rsidP="00E26928">
      <w:r w:rsidRPr="00843801">
        <w:rPr>
          <w:b/>
          <w:bCs/>
        </w:rPr>
        <w:t>Figure 4</w:t>
      </w:r>
      <w:r w:rsidRPr="00E26928">
        <w:t xml:space="preserve"> shows median headway by month for all line groups. All Green Line groups (GLX, Green-E non-GLX, other branches) move together across the year — slightly higher in winter months, dipping in summer around June–July, then rising again toward December. Orange and Blue lines show similar seasonal patterns but at lower headway levels. This suggests the seasonal variation is a network-wide phenomenon, likely related to service schedules and ridership patterns, rather than anything specific to GLX. Crucially, GLX does not diverge from other Green Line groups at any point during the year.</w:t>
      </w:r>
    </w:p>
    <w:p w14:paraId="57DE651E" w14:textId="77777777" w:rsidR="00002E09" w:rsidRPr="00E26928" w:rsidRDefault="00002E09" w:rsidP="00E26928"/>
    <w:p w14:paraId="6C49E6C0" w14:textId="03F6BAD9" w:rsidR="00E26928" w:rsidRPr="00E26928" w:rsidRDefault="00E26928" w:rsidP="00E26928">
      <w:r w:rsidRPr="00E26928">
        <w:t>The network comparison (</w:t>
      </w:r>
      <w:r w:rsidRPr="00843801">
        <w:rPr>
          <w:b/>
          <w:bCs/>
        </w:rPr>
        <w:t>Figure 1</w:t>
      </w:r>
      <w:r w:rsidRPr="00E26928">
        <w:t xml:space="preserve">) shows that </w:t>
      </w:r>
      <w:proofErr w:type="gramStart"/>
      <w:r w:rsidRPr="00E26928">
        <w:t>Orange and Blue</w:t>
      </w:r>
      <w:proofErr w:type="gramEnd"/>
      <w:r w:rsidRPr="00E26928">
        <w:t xml:space="preserve"> lines have consistently shorter headways than Green Line branches. This is expected</w:t>
      </w:r>
      <w:r w:rsidR="00002E09">
        <w:rPr>
          <w:rFonts w:hint="eastAsia"/>
        </w:rPr>
        <w:t>, since</w:t>
      </w:r>
      <w:r w:rsidRPr="00E26928">
        <w:t xml:space="preserve"> Orange and Blue are dedicated heavy rail lines with no branching, allowing them to run more frequently. The Green Line shares its downtown trunk across four branches, which naturally increases the headway on any individual branch.</w:t>
      </w:r>
    </w:p>
    <w:p w14:paraId="41608F26" w14:textId="77777777" w:rsidR="00843801" w:rsidRDefault="00843801" w:rsidP="00E26928">
      <w:pPr>
        <w:rPr>
          <w:b/>
          <w:bCs/>
        </w:rPr>
      </w:pPr>
    </w:p>
    <w:p w14:paraId="025A20EF" w14:textId="77777777" w:rsidR="00843801" w:rsidRPr="00E26928" w:rsidRDefault="00843801" w:rsidP="00E26928">
      <w:pPr>
        <w:rPr>
          <w:b/>
          <w:bCs/>
        </w:rPr>
      </w:pPr>
    </w:p>
    <w:p w14:paraId="5667C353" w14:textId="77777777" w:rsidR="00E26928" w:rsidRPr="00E26928" w:rsidRDefault="00E26928" w:rsidP="00E26928">
      <w:pPr>
        <w:rPr>
          <w:b/>
          <w:bCs/>
        </w:rPr>
      </w:pPr>
      <w:r w:rsidRPr="00E26928">
        <w:rPr>
          <w:b/>
          <w:bCs/>
        </w:rPr>
        <w:lastRenderedPageBreak/>
        <w:t>Question 3: Data issues and shortcomings</w:t>
      </w:r>
    </w:p>
    <w:p w14:paraId="65BD2C4E" w14:textId="5A4AFD0C" w:rsidR="00E26928" w:rsidRPr="00E26928" w:rsidRDefault="00E26928" w:rsidP="00E26928">
      <w:r w:rsidRPr="00E26928">
        <w:rPr>
          <w:b/>
          <w:bCs/>
        </w:rPr>
        <w:t xml:space="preserve">Terminal stop missingness: </w:t>
      </w:r>
      <w:r w:rsidRPr="00E26928">
        <w:t xml:space="preserve">The most significant structural issue is the near-total null branch-headway at terminal stops. As shown in Figure 2, Medford/Tufts (98.9%) and Heath Street (99.6%) are flagged as terminals with almost no branch-headway data. This occurs because the </w:t>
      </w:r>
      <w:proofErr w:type="gramStart"/>
      <w:r w:rsidRPr="00E26928">
        <w:t>dataset</w:t>
      </w:r>
      <w:proofErr w:type="gramEnd"/>
      <w:r w:rsidRPr="00E26928">
        <w:t xml:space="preserve"> computes headway as the time since the previous departure of the same route from the same stop</w:t>
      </w:r>
      <w:r w:rsidR="00002E09">
        <w:rPr>
          <w:rFonts w:hint="eastAsia"/>
        </w:rPr>
        <w:t>. B</w:t>
      </w:r>
      <w:r w:rsidRPr="00E26928">
        <w:t>ut when a train originates at a terminal, there is no previous departure to reference. This is not a data error but a measurement limitation. Any analysis that naively ranks stops by average headway would incorrectly flag these terminals as outliers.</w:t>
      </w:r>
    </w:p>
    <w:p w14:paraId="09DFB026" w14:textId="7983FA2E" w:rsidR="00F30B7C" w:rsidRDefault="001301AE" w:rsidP="00F30B7C">
      <w:r w:rsidRPr="00F30B7C">
        <w:rPr>
          <w:noProof/>
        </w:rPr>
        <w:drawing>
          <wp:anchor distT="0" distB="0" distL="114300" distR="114300" simplePos="0" relativeHeight="251680256" behindDoc="0" locked="0" layoutInCell="1" allowOverlap="1" wp14:anchorId="27BEF04D" wp14:editId="695580E4">
            <wp:simplePos x="0" y="0"/>
            <wp:positionH relativeFrom="column">
              <wp:posOffset>1009650</wp:posOffset>
            </wp:positionH>
            <wp:positionV relativeFrom="paragraph">
              <wp:posOffset>1616075</wp:posOffset>
            </wp:positionV>
            <wp:extent cx="3517900" cy="2387600"/>
            <wp:effectExtent l="0" t="0" r="0" b="0"/>
            <wp:wrapTopAndBottom/>
            <wp:docPr id="1954964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6441" name=""/>
                    <pic:cNvPicPr/>
                  </pic:nvPicPr>
                  <pic:blipFill>
                    <a:blip r:embed="rId11">
                      <a:extLst>
                        <a:ext uri="{28A0092B-C50C-407E-A947-70E740481C1C}">
                          <a14:useLocalDpi xmlns:a14="http://schemas.microsoft.com/office/drawing/2010/main" val="0"/>
                        </a:ext>
                      </a:extLst>
                    </a:blip>
                    <a:stretch>
                      <a:fillRect/>
                    </a:stretch>
                  </pic:blipFill>
                  <pic:spPr>
                    <a:xfrm>
                      <a:off x="0" y="0"/>
                      <a:ext cx="3517900" cy="2387600"/>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41F0BC6F">
          <v:shape id="_x0000_s1030" type="#_x0000_t202" style="position:absolute;margin-left:41.5pt;margin-top:319pt;width:354pt;height:23.55pt;z-index:251678208;mso-position-horizontal-relative:text;mso-position-vertical-relative:text" stroked="f">
            <v:textbox style="mso-fit-shape-to-text:t" inset="0,0,0,0">
              <w:txbxContent>
                <w:p w14:paraId="4B79C35E" w14:textId="1BFD2AAF" w:rsidR="00F30B7C" w:rsidRPr="00F30B7C" w:rsidRDefault="00F30B7C" w:rsidP="00F30B7C">
                  <w:pPr>
                    <w:pStyle w:val="aa"/>
                    <w:jc w:val="center"/>
                    <w:rPr>
                      <w:sz w:val="18"/>
                      <w:szCs w:val="18"/>
                    </w:rPr>
                  </w:pPr>
                  <w:r w:rsidRPr="00F30B7C">
                    <w:rPr>
                      <w:sz w:val="18"/>
                      <w:szCs w:val="18"/>
                    </w:rPr>
                    <w:t xml:space="preserve">Figure </w:t>
                  </w:r>
                  <w:r w:rsidRPr="00F30B7C">
                    <w:rPr>
                      <w:sz w:val="18"/>
                      <w:szCs w:val="18"/>
                    </w:rPr>
                    <w:fldChar w:fldCharType="begin"/>
                  </w:r>
                  <w:r w:rsidRPr="00F30B7C">
                    <w:rPr>
                      <w:sz w:val="18"/>
                      <w:szCs w:val="18"/>
                    </w:rPr>
                    <w:instrText xml:space="preserve"> SEQ Figure \* ARABIC </w:instrText>
                  </w:r>
                  <w:r w:rsidRPr="00F30B7C">
                    <w:rPr>
                      <w:sz w:val="18"/>
                      <w:szCs w:val="18"/>
                    </w:rPr>
                    <w:fldChar w:fldCharType="separate"/>
                  </w:r>
                  <w:r w:rsidRPr="00F30B7C">
                    <w:rPr>
                      <w:noProof/>
                      <w:sz w:val="18"/>
                      <w:szCs w:val="18"/>
                    </w:rPr>
                    <w:t>5</w:t>
                  </w:r>
                  <w:r w:rsidRPr="00F30B7C">
                    <w:rPr>
                      <w:sz w:val="18"/>
                      <w:szCs w:val="18"/>
                    </w:rPr>
                    <w:fldChar w:fldCharType="end"/>
                  </w:r>
                </w:p>
              </w:txbxContent>
            </v:textbox>
            <w10:wrap type="topAndBottom"/>
          </v:shape>
        </w:pict>
      </w:r>
      <w:r w:rsidR="00E26928" w:rsidRPr="00E26928">
        <w:rPr>
          <w:b/>
          <w:bCs/>
        </w:rPr>
        <w:t xml:space="preserve">Inconsistent branch headway across lines: </w:t>
      </w:r>
      <w:r w:rsidR="00E26928" w:rsidRPr="00E26928">
        <w:t>Orange, Blue, and Mattapan lines have no branch structure, so their branch</w:t>
      </w:r>
      <w:r w:rsidR="00002E09">
        <w:rPr>
          <w:rFonts w:hint="eastAsia"/>
        </w:rPr>
        <w:t xml:space="preserve"> </w:t>
      </w:r>
      <w:r w:rsidR="00E26928" w:rsidRPr="00E26928">
        <w:t xml:space="preserve">headway field is always null. This makes direct branch-level comparisons across all lines impossible. </w:t>
      </w:r>
      <w:r w:rsidR="00A8488E">
        <w:rPr>
          <w:rFonts w:hint="eastAsia"/>
        </w:rPr>
        <w:t>We</w:t>
      </w:r>
      <w:r w:rsidR="00E26928" w:rsidRPr="00E26928">
        <w:t xml:space="preserve"> addressed this by using trunk headway for these lines, but this introduces a slight inconsistency — trunk headway on Green Line counts all </w:t>
      </w:r>
      <w:proofErr w:type="gramStart"/>
      <w:r w:rsidR="00E26928" w:rsidRPr="00E26928">
        <w:t>Green</w:t>
      </w:r>
      <w:proofErr w:type="gramEnd"/>
      <w:r w:rsidR="00E26928" w:rsidRPr="00E26928">
        <w:t xml:space="preserve"> trains, while branch headway counts only one branch's trains. These are not the same metric.</w:t>
      </w:r>
    </w:p>
    <w:p w14:paraId="0CFE22F7" w14:textId="5DE8CC8D" w:rsidR="00002E09" w:rsidRPr="00E26928" w:rsidRDefault="00E26928" w:rsidP="00E26928">
      <w:r w:rsidRPr="00E26928">
        <w:rPr>
          <w:b/>
          <w:bCs/>
        </w:rPr>
        <w:t xml:space="preserve">Data completeness gaps: </w:t>
      </w:r>
      <w:r w:rsidR="00E4263D" w:rsidRPr="00E4263D">
        <w:t>The monthly trend chart (</w:t>
      </w:r>
      <w:r w:rsidR="00E4263D" w:rsidRPr="00E4263D">
        <w:rPr>
          <w:b/>
          <w:bCs/>
        </w:rPr>
        <w:t>Figure 4</w:t>
      </w:r>
      <w:r w:rsidR="00E4263D" w:rsidRPr="00E4263D">
        <w:t>)</w:t>
      </w:r>
      <w:r w:rsidR="00F30B7C">
        <w:rPr>
          <w:rFonts w:hint="eastAsia"/>
        </w:rPr>
        <w:t xml:space="preserve"> and </w:t>
      </w:r>
      <w:r w:rsidR="001301AE">
        <w:rPr>
          <w:rFonts w:hint="eastAsia"/>
        </w:rPr>
        <w:t>monthly record (</w:t>
      </w:r>
      <w:r w:rsidR="001301AE" w:rsidRPr="001301AE">
        <w:rPr>
          <w:rFonts w:hint="eastAsia"/>
          <w:b/>
          <w:bCs/>
        </w:rPr>
        <w:t>Figure 5</w:t>
      </w:r>
      <w:r w:rsidR="001301AE">
        <w:rPr>
          <w:rFonts w:hint="eastAsia"/>
        </w:rPr>
        <w:t>)</w:t>
      </w:r>
      <w:r w:rsidR="00E4263D" w:rsidRPr="00E4263D">
        <w:t xml:space="preserve"> </w:t>
      </w:r>
      <w:proofErr w:type="gramStart"/>
      <w:r w:rsidR="00E4263D" w:rsidRPr="00E4263D">
        <w:t>shows</w:t>
      </w:r>
      <w:proofErr w:type="gramEnd"/>
      <w:r w:rsidR="00E4263D" w:rsidRPr="00E4263D">
        <w:t xml:space="preserve"> a dip across all line groups in June</w:t>
      </w:r>
      <w:r w:rsidR="00995F56">
        <w:rPr>
          <w:rFonts w:hint="eastAsia"/>
        </w:rPr>
        <w:t>, which is a</w:t>
      </w:r>
      <w:r w:rsidR="00023710">
        <w:rPr>
          <w:rFonts w:hint="eastAsia"/>
        </w:rPr>
        <w:t>pproximately</w:t>
      </w:r>
      <w:r w:rsidR="00E4263D" w:rsidRPr="00E4263D">
        <w:t xml:space="preserve"> </w:t>
      </w:r>
      <w:r w:rsidR="00995F56" w:rsidRPr="00995F56">
        <w:t xml:space="preserve">10% fewer records than typical months alongside lower median headways. It is unclear whether this reflects a genuine service improvement, a seasonal schedule change, or a data completeness gap. December shows a similar </w:t>
      </w:r>
      <w:proofErr w:type="gramStart"/>
      <w:r w:rsidR="00995F56" w:rsidRPr="00995F56">
        <w:t>record count</w:t>
      </w:r>
      <w:proofErr w:type="gramEnd"/>
      <w:r w:rsidR="00995F56" w:rsidRPr="00995F56">
        <w:t xml:space="preserve"> drop but higher </w:t>
      </w:r>
      <w:proofErr w:type="gramStart"/>
      <w:r w:rsidR="00995F56" w:rsidRPr="00995F56">
        <w:t>headways</w:t>
      </w:r>
      <w:proofErr w:type="gramEnd"/>
      <w:r w:rsidR="00995F56" w:rsidRPr="00995F56">
        <w:t>, suggesting fewer records don't always indicate missing data. This ambiguity is a limitation of the dataset: without scheduled headway data, we cannot distinguish real service changes from data collection gaps.</w:t>
      </w:r>
    </w:p>
    <w:sectPr w:rsidR="00002E09" w:rsidRPr="00E2692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021E1" w14:textId="77777777" w:rsidR="008A7419" w:rsidRDefault="008A7419" w:rsidP="001301AE">
      <w:pPr>
        <w:spacing w:after="0"/>
      </w:pPr>
      <w:r>
        <w:separator/>
      </w:r>
    </w:p>
  </w:endnote>
  <w:endnote w:type="continuationSeparator" w:id="0">
    <w:p w14:paraId="6A7FB370" w14:textId="77777777" w:rsidR="008A7419" w:rsidRDefault="008A7419" w:rsidP="001301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72BDA" w14:textId="77777777" w:rsidR="008A7419" w:rsidRDefault="008A7419" w:rsidP="001301AE">
      <w:pPr>
        <w:spacing w:after="0"/>
      </w:pPr>
      <w:r>
        <w:separator/>
      </w:r>
    </w:p>
  </w:footnote>
  <w:footnote w:type="continuationSeparator" w:id="0">
    <w:p w14:paraId="432ECCE9" w14:textId="77777777" w:rsidR="008A7419" w:rsidRDefault="008A7419" w:rsidP="001301A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A5DEE"/>
    <w:multiLevelType w:val="multilevel"/>
    <w:tmpl w:val="77B4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6213A"/>
    <w:multiLevelType w:val="multilevel"/>
    <w:tmpl w:val="C652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610269">
    <w:abstractNumId w:val="1"/>
  </w:num>
  <w:num w:numId="2" w16cid:durableId="207870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1080A"/>
    <w:rsid w:val="00002E09"/>
    <w:rsid w:val="00023710"/>
    <w:rsid w:val="000326BF"/>
    <w:rsid w:val="000B2A49"/>
    <w:rsid w:val="000D6BD5"/>
    <w:rsid w:val="001301AE"/>
    <w:rsid w:val="00140E72"/>
    <w:rsid w:val="002634A7"/>
    <w:rsid w:val="0031080A"/>
    <w:rsid w:val="0037233D"/>
    <w:rsid w:val="00432E1E"/>
    <w:rsid w:val="004676BC"/>
    <w:rsid w:val="004B7E8D"/>
    <w:rsid w:val="006065B0"/>
    <w:rsid w:val="0082400A"/>
    <w:rsid w:val="00843801"/>
    <w:rsid w:val="008A7419"/>
    <w:rsid w:val="00986ECA"/>
    <w:rsid w:val="00995F56"/>
    <w:rsid w:val="009F6F59"/>
    <w:rsid w:val="00A8488E"/>
    <w:rsid w:val="00CF643D"/>
    <w:rsid w:val="00D9783A"/>
    <w:rsid w:val="00E26928"/>
    <w:rsid w:val="00E4263D"/>
    <w:rsid w:val="00E46210"/>
    <w:rsid w:val="00F30B7C"/>
    <w:rsid w:val="00F6664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B385320"/>
  <w15:chartTrackingRefBased/>
  <w15:docId w15:val="{B7C7F38E-542D-40E8-91D9-7730777CA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1080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1080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1080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1080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1080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1080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1080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1080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1080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1080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1080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1080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1080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1080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1080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1080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1080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1080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1080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1080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108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1080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1080A"/>
    <w:pPr>
      <w:spacing w:before="160"/>
      <w:jc w:val="center"/>
    </w:pPr>
    <w:rPr>
      <w:i/>
      <w:iCs/>
      <w:color w:val="404040" w:themeColor="text1" w:themeTint="BF"/>
    </w:rPr>
  </w:style>
  <w:style w:type="character" w:customStyle="1" w:styleId="Char1">
    <w:name w:val="인용 Char"/>
    <w:basedOn w:val="a0"/>
    <w:link w:val="a5"/>
    <w:uiPriority w:val="29"/>
    <w:rsid w:val="0031080A"/>
    <w:rPr>
      <w:i/>
      <w:iCs/>
      <w:color w:val="404040" w:themeColor="text1" w:themeTint="BF"/>
    </w:rPr>
  </w:style>
  <w:style w:type="paragraph" w:styleId="a6">
    <w:name w:val="List Paragraph"/>
    <w:basedOn w:val="a"/>
    <w:uiPriority w:val="34"/>
    <w:qFormat/>
    <w:rsid w:val="0031080A"/>
    <w:pPr>
      <w:ind w:left="720"/>
      <w:contextualSpacing/>
    </w:pPr>
  </w:style>
  <w:style w:type="character" w:styleId="a7">
    <w:name w:val="Intense Emphasis"/>
    <w:basedOn w:val="a0"/>
    <w:uiPriority w:val="21"/>
    <w:qFormat/>
    <w:rsid w:val="0031080A"/>
    <w:rPr>
      <w:i/>
      <w:iCs/>
      <w:color w:val="0F4761" w:themeColor="accent1" w:themeShade="BF"/>
    </w:rPr>
  </w:style>
  <w:style w:type="paragraph" w:styleId="a8">
    <w:name w:val="Intense Quote"/>
    <w:basedOn w:val="a"/>
    <w:next w:val="a"/>
    <w:link w:val="Char2"/>
    <w:uiPriority w:val="30"/>
    <w:qFormat/>
    <w:rsid w:val="00310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1080A"/>
    <w:rPr>
      <w:i/>
      <w:iCs/>
      <w:color w:val="0F4761" w:themeColor="accent1" w:themeShade="BF"/>
    </w:rPr>
  </w:style>
  <w:style w:type="character" w:styleId="a9">
    <w:name w:val="Intense Reference"/>
    <w:basedOn w:val="a0"/>
    <w:uiPriority w:val="32"/>
    <w:qFormat/>
    <w:rsid w:val="0031080A"/>
    <w:rPr>
      <w:b/>
      <w:bCs/>
      <w:smallCaps/>
      <w:color w:val="0F4761" w:themeColor="accent1" w:themeShade="BF"/>
      <w:spacing w:val="5"/>
    </w:rPr>
  </w:style>
  <w:style w:type="paragraph" w:styleId="aa">
    <w:name w:val="caption"/>
    <w:basedOn w:val="a"/>
    <w:next w:val="a"/>
    <w:uiPriority w:val="35"/>
    <w:unhideWhenUsed/>
    <w:qFormat/>
    <w:rsid w:val="00E26928"/>
    <w:rPr>
      <w:b/>
      <w:bCs/>
      <w:sz w:val="20"/>
      <w:szCs w:val="20"/>
    </w:rPr>
  </w:style>
  <w:style w:type="paragraph" w:styleId="ab">
    <w:name w:val="header"/>
    <w:basedOn w:val="a"/>
    <w:link w:val="Char3"/>
    <w:uiPriority w:val="99"/>
    <w:unhideWhenUsed/>
    <w:rsid w:val="001301AE"/>
    <w:pPr>
      <w:tabs>
        <w:tab w:val="center" w:pos="4513"/>
        <w:tab w:val="right" w:pos="9026"/>
      </w:tabs>
      <w:snapToGrid w:val="0"/>
    </w:pPr>
  </w:style>
  <w:style w:type="character" w:customStyle="1" w:styleId="Char3">
    <w:name w:val="머리글 Char"/>
    <w:basedOn w:val="a0"/>
    <w:link w:val="ab"/>
    <w:uiPriority w:val="99"/>
    <w:rsid w:val="001301AE"/>
  </w:style>
  <w:style w:type="paragraph" w:styleId="ac">
    <w:name w:val="footer"/>
    <w:basedOn w:val="a"/>
    <w:link w:val="Char4"/>
    <w:uiPriority w:val="99"/>
    <w:unhideWhenUsed/>
    <w:rsid w:val="001301AE"/>
    <w:pPr>
      <w:tabs>
        <w:tab w:val="center" w:pos="4513"/>
        <w:tab w:val="right" w:pos="9026"/>
      </w:tabs>
      <w:snapToGrid w:val="0"/>
    </w:pPr>
  </w:style>
  <w:style w:type="character" w:customStyle="1" w:styleId="Char4">
    <w:name w:val="바닥글 Char"/>
    <w:basedOn w:val="a0"/>
    <w:link w:val="ac"/>
    <w:uiPriority w:val="99"/>
    <w:rsid w:val="001301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5</Pages>
  <Words>854</Words>
  <Characters>4555</Characters>
  <Application>Microsoft Office Word</Application>
  <DocSecurity>0</DocSecurity>
  <Lines>96</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민석 최</dc:creator>
  <cp:keywords/>
  <dc:description/>
  <cp:lastModifiedBy>민석 최</cp:lastModifiedBy>
  <cp:revision>10</cp:revision>
  <dcterms:created xsi:type="dcterms:W3CDTF">2026-05-03T22:13:00Z</dcterms:created>
  <dcterms:modified xsi:type="dcterms:W3CDTF">2026-05-04T17:10:00Z</dcterms:modified>
</cp:coreProperties>
</file>