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ANÁLISE DE ABSENTISMO</w:t>
      </w:r>
    </w:p>
    <w:p>
      <w:pPr>
        <w:jc w:val="center"/>
      </w:pPr>
      <w:r>
        <w:rPr>
          <w:color w:val="646464"/>
          <w:sz w:val="40"/>
        </w:rPr>
        <w:t>Call Center</w:t>
      </w:r>
    </w:p>
    <w:p/>
    <w:p/>
    <w:p>
      <w:pPr>
        <w:jc w:val="center"/>
      </w:pPr>
      <w:r>
        <w:rPr>
          <w:i/>
          <w:sz w:val="32"/>
        </w:rPr>
        <w:t>Relatório Executivo para a Direção</w:t>
      </w:r>
    </w:p>
    <w:p/>
    <w:p/>
    <w:p/>
    <w:p>
      <w:pPr>
        <w:jc w:val="center"/>
      </w:pPr>
      <w:r>
        <w:rPr>
          <w:sz w:val="24"/>
        </w:rPr>
        <w:t>Período de Análise: Janeiro 2024 – Junho 2025</w:t>
        <w:br/>
      </w:r>
      <w:r>
        <w:rPr>
          <w:sz w:val="24"/>
        </w:rPr>
        <w:t>3.135 Colaboradores | 1,3M Registos</w:t>
      </w:r>
    </w:p>
    <w:p/>
    <w:p/>
    <w:p>
      <w:pPr>
        <w:jc w:val="center"/>
      </w:pPr>
      <w:r>
        <w:rPr>
          <w:color w:val="646464"/>
          <w:sz w:val="24"/>
        </w:rPr>
        <w:t>Novembro 2025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ÍNDICE</w:t>
      </w:r>
    </w:p>
    <w:p/>
    <w:p>
      <w:pPr>
        <w:pStyle w:val="ListNumber"/>
        <w:ind w:left="360"/>
      </w:pPr>
      <w:r>
        <w:t>1. SUMÁRIO EXECUTIVO</w:t>
      </w:r>
    </w:p>
    <w:p>
      <w:pPr>
        <w:pStyle w:val="ListNumber"/>
        <w:ind w:left="360"/>
      </w:pPr>
      <w:r>
        <w:t>2. CONTEXTO E METODOLOGIA</w:t>
      </w:r>
    </w:p>
    <w:p>
      <w:pPr>
        <w:pStyle w:val="ListNumber"/>
        <w:ind w:left="360"/>
      </w:pPr>
      <w:r>
        <w:t>3. SITUAÇÃO ATUAL: INDICADORES-CHAVE</w:t>
      </w:r>
    </w:p>
    <w:p>
      <w:pPr>
        <w:pStyle w:val="ListNumber"/>
        <w:ind w:left="360"/>
      </w:pPr>
      <w:r>
        <w:t>4. ANÁLISE DE PADRÕES DE AUSÊNCIA</w:t>
      </w:r>
    </w:p>
    <w:p>
      <w:pPr>
        <w:pStyle w:val="ListNumber"/>
        <w:ind w:left="360"/>
      </w:pPr>
      <w:r>
        <w:t>5. IDENTIFICAÇÃO DE RISCOS OPERACIONAIS</w:t>
      </w:r>
    </w:p>
    <w:p>
      <w:pPr>
        <w:pStyle w:val="ListNumber"/>
        <w:ind w:left="360"/>
      </w:pPr>
      <w:r>
        <w:t>6. ANÁLISE COMPORTAMENTAL</w:t>
      </w:r>
    </w:p>
    <w:p>
      <w:pPr>
        <w:pStyle w:val="ListNumber"/>
        <w:ind w:left="360"/>
      </w:pPr>
      <w:r>
        <w:t>7. ANÁLISE TEMPORAL E TENDÊNCIAS</w:t>
      </w:r>
    </w:p>
    <w:p>
      <w:pPr>
        <w:pStyle w:val="ListNumber"/>
        <w:ind w:left="360"/>
      </w:pPr>
      <w:r>
        <w:t>8. SEGMENTAÇÃO E PRIORIZAÇÃO</w:t>
      </w:r>
    </w:p>
    <w:p>
      <w:pPr>
        <w:pStyle w:val="ListNumber"/>
        <w:ind w:left="360"/>
      </w:pPr>
      <w:r>
        <w:t>9. CONCLUSÕES E RECOMENDAÇÕES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1. SUMÁRIO EXECUTIVO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Este relatório apresenta uma análise abrangente do absentismo no Call Center, baseada em 18 meses de dados operacionais (janeiro de 2024 a junho de 2025), abrangendo 3.135 colaboradores e 1,3 milhões de registos.</w:t>
      </w:r>
    </w:p>
    <w:p/>
    <w:p>
      <w:pPr>
        <w:pStyle w:val="Heading2"/>
        <w:jc w:val="left"/>
      </w:pPr>
      <w:r>
        <w:rPr>
          <w:color w:val="003366"/>
        </w:rPr>
        <w:t>Principais Conclusões</w:t>
      </w:r>
    </w:p>
    <w:p>
      <w:r>
        <w:rPr>
          <w:b/>
          <w:sz w:val="22"/>
        </w:rPr>
        <w:t xml:space="preserve">Taxa de Absentismo Global: </w:t>
      </w:r>
      <w:r>
        <w:rPr>
          <w:sz w:val="22"/>
        </w:rPr>
        <w:t>3,30%, com tendência de melhoria significativa entre 2024 e 2025.</w:t>
      </w:r>
    </w:p>
    <w:p>
      <w:r>
        <w:rPr>
          <w:b/>
          <w:sz w:val="22"/>
        </w:rPr>
        <w:t xml:space="preserve">Redução Ano-a-Ano: </w:t>
      </w:r>
      <w:r>
        <w:rPr>
          <w:sz w:val="22"/>
        </w:rPr>
        <w:t>Diminuição de 36,5% na taxa de absentismo (de 3,73% em jan-jun 2024 para 2,37% em jan-jun 2025).</w:t>
      </w:r>
    </w:p>
    <w:p>
      <w:r>
        <w:rPr>
          <w:b/>
          <w:sz w:val="22"/>
        </w:rPr>
        <w:t xml:space="preserve">Concentração do Problema: </w:t>
      </w:r>
      <w:r>
        <w:rPr>
          <w:sz w:val="22"/>
        </w:rPr>
        <w:t>15 operações representam 92% do absentismo total, permitindo intervenções focalizadas.</w:t>
      </w:r>
    </w:p>
    <w:p>
      <w:r>
        <w:rPr>
          <w:b/>
          <w:sz w:val="22"/>
        </w:rPr>
        <w:t xml:space="preserve">Padrões Disruptivos: </w:t>
      </w:r>
      <w:r>
        <w:rPr>
          <w:sz w:val="22"/>
        </w:rPr>
        <w:t>74,5% dos episódios de ausência são de curta duração (até 3 dias), indicando padrões comportamentais.</w:t>
      </w:r>
    </w:p>
    <w:p>
      <w:r>
        <w:rPr>
          <w:b/>
          <w:sz w:val="22"/>
        </w:rPr>
        <w:t xml:space="preserve">População em Risco: </w:t>
      </w:r>
      <w:r>
        <w:rPr>
          <w:sz w:val="22"/>
        </w:rPr>
        <w:t>493 colaboradores ativos (42% da base ativa em 2025) apresentam episódios curtos recorrentes.</w:t>
      </w:r>
    </w:p>
    <w:p>
      <w:r>
        <w:rPr>
          <w:b/>
          <w:sz w:val="22"/>
        </w:rPr>
        <w:t xml:space="preserve">Casos Críticos: </w:t>
      </w:r>
      <w:r>
        <w:rPr>
          <w:sz w:val="22"/>
        </w:rPr>
        <w:t>42 colaboradores (8,5%) encontram-se em risco alto/severo/crítico, requerendo intervenção imediata.</w:t>
      </w:r>
    </w:p>
    <w:p/>
    <w:p>
      <w:pPr>
        <w:pStyle w:val="Heading2"/>
        <w:jc w:val="left"/>
      </w:pPr>
      <w:r>
        <w:rPr>
          <w:color w:val="003366"/>
        </w:rPr>
        <w:t>Impacto Operacional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O absentismo representa 24.511 dias de trabalho perdidos no período analisado, equivalente a uma média de 7,8 dias por colaborador. A taxa de atrasos situa-se em 5,31%, afetando 72% dos colaboradores.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2. CONTEXTO E METODOLOGIA</w:t>
      </w:r>
    </w:p>
    <w:p/>
    <w:p>
      <w:pPr>
        <w:pStyle w:val="Heading2"/>
        <w:jc w:val="left"/>
      </w:pPr>
      <w:r>
        <w:rPr>
          <w:color w:val="003366"/>
        </w:rPr>
        <w:t>2.1 Âmbito da Análise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foi conduzida sobre um conjunto de dados operacionais do Call Center, estruturado da seguinte forma: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Dimensão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Período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Janeiro 2024 – Junho 2025 (18 meses)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Colaboradores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3.135 colaboradores únicos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Registos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1.325.097 registos de presença/ausência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Dias-colaborador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761.244 dias úteis analisados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2.2 Abordagem Metodológica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metodologia aplicada seguiu padrões internacionais de análise de absentismo, com foco em métricas acionáveis:</w:t>
      </w:r>
    </w:p>
    <w:p/>
    <w:p>
      <w:pPr>
        <w:pStyle w:val="ListBullet"/>
        <w:ind w:left="360"/>
      </w:pPr>
      <w:r>
        <w:t>Limpeza e normalização de dados, incluindo resolução de 48 incompatibilidades identificadas.</w:t>
      </w:r>
    </w:p>
    <w:p>
      <w:pPr>
        <w:pStyle w:val="ListBullet"/>
        <w:ind w:left="360"/>
      </w:pPr>
      <w:r>
        <w:t>Separação de dados em duas hierarquias independentes (absentismo e atrasos) para evitar dupla contagem.</w:t>
      </w:r>
    </w:p>
    <w:p>
      <w:pPr>
        <w:pStyle w:val="ListBullet"/>
        <w:ind w:left="360"/>
      </w:pPr>
      <w:r>
        <w:t>Cálculo de taxas normalizadas ajustadas pela base de trabalho efetivo em cada período.</w:t>
      </w:r>
    </w:p>
    <w:p>
      <w:pPr>
        <w:pStyle w:val="ListBullet"/>
        <w:ind w:left="360"/>
      </w:pPr>
      <w:r>
        <w:t>Análise de episódios de ausência (spells) para distinguir padrões de frequência vs. duração.</w:t>
      </w:r>
    </w:p>
    <w:p>
      <w:pPr>
        <w:pStyle w:val="ListBullet"/>
        <w:ind w:left="360"/>
      </w:pPr>
      <w:r>
        <w:t>Aplicação do Bradford Factor para identificar ausências disruptivas de curta duração.</w:t>
      </w:r>
    </w:p>
    <w:p>
      <w:pPr>
        <w:pStyle w:val="ListBullet"/>
        <w:ind w:left="360"/>
      </w:pPr>
      <w:r>
        <w:t>Segmentação por operação, categoria profissional e senioridade.</w:t>
      </w:r>
    </w:p>
    <w:p>
      <w:pPr>
        <w:pStyle w:val="ListBullet"/>
        <w:ind w:left="360"/>
      </w:pPr>
      <w:r>
        <w:t>Análise estatística de controlo (U-Charts) para deteção de variações anormais.</w:t>
      </w:r>
    </w:p>
    <w:p/>
    <w:p>
      <w:pPr>
        <w:pStyle w:val="Heading2"/>
        <w:jc w:val="left"/>
      </w:pPr>
      <w:r>
        <w:rPr>
          <w:color w:val="003366"/>
        </w:rPr>
        <w:t>2.3 Definições-Chave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Para garantir clareza interpretativa, as seguintes definições foram aplicadas:</w:t>
      </w:r>
    </w:p>
    <w:p/>
    <w:p>
      <w:r>
        <w:rPr>
          <w:b/>
          <w:sz w:val="22"/>
        </w:rPr>
        <w:t xml:space="preserve">Taxa de Absentismo: </w:t>
      </w:r>
      <w:r>
        <w:rPr>
          <w:sz w:val="22"/>
        </w:rPr>
        <w:t>Percentagem de dias de falta (justificada + injustificada) sobre o total de dias úteis esperados (trabalho pago + faltas). Exclui férias, licenças e formações planeadas.</w:t>
      </w:r>
    </w:p>
    <w:p>
      <w:r>
        <w:rPr>
          <w:b/>
          <w:sz w:val="22"/>
        </w:rPr>
        <w:t xml:space="preserve">Spell (Episódio): </w:t>
      </w:r>
      <w:r>
        <w:rPr>
          <w:sz w:val="22"/>
        </w:rPr>
        <w:t>Sequência contínua de dias de ausência. Um colaborador com 3 dias consecutivos de falta tem 1 spell; se faltar 3 dias separados, tem 3 spells.</w:t>
      </w:r>
    </w:p>
    <w:p>
      <w:r>
        <w:rPr>
          <w:b/>
          <w:sz w:val="22"/>
        </w:rPr>
        <w:t xml:space="preserve">Short-term Spell: </w:t>
      </w:r>
      <w:r>
        <w:rPr>
          <w:sz w:val="22"/>
        </w:rPr>
        <w:t>Episódio de ausência até 3 dias. Estatisticamente associado a padrões comportamentais disruptivos.</w:t>
      </w:r>
    </w:p>
    <w:p>
      <w:r>
        <w:rPr>
          <w:b/>
          <w:sz w:val="22"/>
        </w:rPr>
        <w:t xml:space="preserve">Bradford Factor: </w:t>
      </w:r>
      <w:r>
        <w:rPr>
          <w:sz w:val="22"/>
        </w:rPr>
        <w:t>Métrica que penaliza a frequência de ausências: Bradford = S² × D, onde S é o número de episódios e D o total de dias ausentes.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3. SITUAÇÃO ATUAL: INDICADORES-CHAVE</w:t>
      </w:r>
    </w:p>
    <w:p/>
    <w:p>
      <w:pPr>
        <w:pStyle w:val="Heading2"/>
        <w:jc w:val="left"/>
      </w:pPr>
      <w:r>
        <w:rPr>
          <w:color w:val="003366"/>
        </w:rPr>
        <w:t>3.1 Visão Global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situação atual do absentismo no Call Center apresenta-se da seguinte forma: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Taxa de Absentismo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3,30%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Taxa de Atrasos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5,31%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Lost Time Rate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7,8 dias/colaborador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Frequency Rate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2,43 episódios/colaborador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Duração Média de Episódio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3,2 dias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Colaboradores sem Ausências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36,2%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A taxa de absentismo de 3,30% situa-se dentro de parâmetros aceitáveis para operações de Call Center (benchmark típico: 3-5%), mas apresenta oportunidades de melhoria, particularmente considerando a tendência positiva já observada.</w:t>
      </w:r>
    </w:p>
    <w:p/>
    <w:p>
      <w:pPr>
        <w:pStyle w:val="Heading2"/>
        <w:jc w:val="left"/>
      </w:pPr>
      <w:r>
        <w:rPr>
          <w:color w:val="003366"/>
        </w:rPr>
        <w:t>3.2 Distribuição por Tipo de Ausência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As ausências distribuem-se da seguinte forma: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% Total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Ausência Médica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16.102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65,7%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Falta Injustificada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5.576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22,8%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Assistência Familiar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1.102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4,5%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Óbito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1.027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4,2%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Casamento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407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1,7%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Outras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297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1,2%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As ausências médicas representam dois terços do absentismo total. No entanto, é relevante notar que 65,7% destas ausências médicas são de curta duração (até 3 dias), o que pode indicar situações de menor gravidade ou, em alguns casos, utilização inadequada do mecanismo.</w:t>
      </w:r>
    </w:p>
    <w:p/>
    <w:p>
      <w:pPr>
        <w:pStyle w:val="Heading2"/>
        <w:jc w:val="left"/>
      </w:pPr>
      <w:r>
        <w:rPr>
          <w:color w:val="003366"/>
        </w:rPr>
        <w:t>3.3 Variação por Dia da Semana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taxa de absentismo apresenta variação significativa ao longo da semana: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Dia da Semana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Taxa de Absentismo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Segunda-feira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2,83%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Terça-feira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3,03%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Quarta-feira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3,09%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Quinta-feira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3,07%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Sexta-feira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3,14%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Sábado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4,77%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Domingo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4,29%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Observa-se um aumento substancial da taxa de absentismo ao fim de semana (sábados e domingos apresentam taxas 50-70% superiores aos dias úteis). Este padrão é comum em operações de Call Center, relacionando-se com menor apetência para trabalho em horários não convencionais e possíveis desafios de gestão de turnos.</w:t>
      </w:r>
    </w:p>
    <w:p/>
    <w:p>
      <w:pPr>
        <w:jc w:val="both"/>
      </w:pPr>
      <w:r>
        <w:rPr>
          <w:rFonts w:ascii="Calibri" w:hAnsi="Calibri"/>
          <w:b w:val="0"/>
          <w:i/>
          <w:sz w:val="22"/>
        </w:rPr>
        <w:t>[Gráfico: Taxa de Absentismo por Dia da Semana]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4. ANÁLISE DE PADRÕES DE AUSÊNCIA</w:t>
      </w:r>
    </w:p>
    <w:p/>
    <w:p>
      <w:pPr>
        <w:pStyle w:val="Heading2"/>
        <w:jc w:val="left"/>
      </w:pPr>
      <w:r>
        <w:rPr>
          <w:color w:val="003366"/>
        </w:rPr>
        <w:t>4.1 Episódios de Ausência: Frequência vs. Duração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Foram identificados 7.600 episódios (spells) de ausência no período analisado. A distribuição por duração revela padrões importantes: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Duração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% do Total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 dia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2.953 episódios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38,9%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2-3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2.706 episódios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35,6%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4-7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1.661 episódios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21,9%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8-14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156 episódios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2,1%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Mais de 14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124 episódios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1,6%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Este padrão é particularmente relevante: 74,5% dos episódios são de curta duração (até 3 dias), o que sugere que o problema principal não é a severidade médica, mas sim a frequência de ausências pontuais.</w:t>
      </w:r>
    </w:p>
    <w:p/>
    <w:p>
      <w:pPr>
        <w:jc w:val="both"/>
      </w:pPr>
      <w:r>
        <w:rPr>
          <w:rFonts w:ascii="Calibri" w:hAnsi="Calibri"/>
          <w:b w:val="0"/>
          <w:i/>
          <w:sz w:val="22"/>
        </w:rPr>
        <w:t>[Gráfico: Distribuição de Episódios por Duração]</w:t>
      </w:r>
    </w:p>
    <w:p/>
    <w:p>
      <w:pPr>
        <w:pStyle w:val="Heading2"/>
        <w:jc w:val="left"/>
      </w:pPr>
      <w:r>
        <w:rPr>
          <w:color w:val="003366"/>
        </w:rPr>
        <w:t>4.2 Diferença de Impacto Operacional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Embora os episódios curtos sejam maioria em número, a análise de impacto total (dias perdidos) revela um equilíbrio: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Número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Dias Perdidos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Episódios Short-term (≤3 dias)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5.659 episódios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9.400 dias perdidos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Episódios Long-term (&gt;14 dias)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124 episódios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4.850 dias perdidos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Conclusão: Apesar de representarem apenas 1,6% dos episódios, as ausências longas (superiores a 14 dias) consomem cerca de 20% do total de dias perdidos. Estes casos, tipicamente associados a doenças graves ou recuperações prolongadas, requerem abordagem diferenciada, com foco em acompanhamento de saúde ocupacional.</w:t>
      </w:r>
    </w:p>
    <w:p/>
    <w:p>
      <w:pPr>
        <w:pStyle w:val="Heading2"/>
        <w:jc w:val="left"/>
      </w:pPr>
      <w:r>
        <w:rPr>
          <w:color w:val="003366"/>
        </w:rPr>
        <w:t>4.3 Sazonalidade e Padrões Temporais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temporal revela padrões sazonais consistentes:</w:t>
      </w:r>
    </w:p>
    <w:p/>
    <w:p>
      <w:r>
        <w:rPr>
          <w:b/>
        </w:rPr>
        <w:t xml:space="preserve">Padrão de início de mês: </w:t>
      </w:r>
      <w:r>
        <w:t>Taxa de início de episódios nos primeiros 3 dias do mês é 15% superior à média, possivelmente relacionado com ciclos de pagamento e gestão de finanças pessoais.</w:t>
      </w:r>
    </w:p>
    <w:p>
      <w:r>
        <w:rPr>
          <w:b/>
        </w:rPr>
        <w:t xml:space="preserve">Padrão de fim de mês: </w:t>
      </w:r>
      <w:r>
        <w:t>Taxa de início nos últimos dias do mês (28-31) é 12% superior à média.</w:t>
      </w:r>
    </w:p>
    <w:p>
      <w:r>
        <w:rPr>
          <w:b/>
        </w:rPr>
        <w:t xml:space="preserve">Segunda-feira: </w:t>
      </w:r>
      <w:r>
        <w:t>22% dos episódios short-term iniciam à segunda-feira (esperado: 20% numa distribuição uniforme).</w:t>
      </w:r>
    </w:p>
    <w:p/>
    <w:p>
      <w:pPr>
        <w:jc w:val="both"/>
      </w:pPr>
      <w:r>
        <w:rPr>
          <w:rFonts w:ascii="Calibri" w:hAnsi="Calibri"/>
          <w:b w:val="0"/>
          <w:i/>
          <w:sz w:val="22"/>
        </w:rPr>
        <w:t>[Gráfico: Taxa de Início de Episódios por Período do Mês]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5. IDENTIFICAÇÃO DE RISCOS OPERACIONAIS</w:t>
      </w:r>
    </w:p>
    <w:p/>
    <w:p>
      <w:pPr>
        <w:pStyle w:val="Heading2"/>
        <w:jc w:val="left"/>
      </w:pPr>
      <w:r>
        <w:rPr>
          <w:color w:val="003366"/>
        </w:rPr>
        <w:t>5.1 Bradford Factor: Deteção de Padrões Disruptivos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O Bradford Factor é uma métrica internacional utilizada para identificar ausências de alta disrupção operacional. A fórmula penaliza a frequência de episódios: um colaborador com 10 episódios de 1 dia (Bradford = 1.000) é considerado 100 vezes mais disruptivo que um colaborador com 1 episódio de 10 dias (Bradford = 10).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foi aplicada exclusivamente a colaboradores ativos em 2025, considerando apenas episódios short-term (até 3 dias), gerando o "Bradford Disruptivo":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Nível de Risco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% do Total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Aceitável (&lt; 50)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383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77,7%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Monitorizar (50-100)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41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8,3%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Atenção (100-200)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27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5,5%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Alto Risco (200-400)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3,9%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Risco Severo (400-600)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2,0%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Risco Crítico (&gt; 600)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13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2,6%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Análise: 493 colaboradores ativos (41,6% da base ativa em 2025) apresentam episódios short-term recorrentes. Destes, 69 colaboradores (14%) encontram-se acima do limiar de 100 pontos, indicando necessidade de intervenção. Os 42 colaboradores em risco alto/severo/crítico (8,5%) devem ser priorizados para ação imediata.</w:t>
      </w:r>
    </w:p>
    <w:p/>
    <w:p>
      <w:pPr>
        <w:jc w:val="both"/>
      </w:pPr>
      <w:r>
        <w:rPr>
          <w:rFonts w:ascii="Calibri" w:hAnsi="Calibri"/>
          <w:b w:val="0"/>
          <w:i/>
          <w:sz w:val="22"/>
        </w:rPr>
        <w:t>[Gráfico: Distribuição por Nível de Risco Bradford]</w:t>
      </w:r>
    </w:p>
    <w:p/>
    <w:p>
      <w:pPr>
        <w:pStyle w:val="Heading2"/>
        <w:jc w:val="left"/>
      </w:pPr>
      <w:r>
        <w:rPr>
          <w:color w:val="003366"/>
        </w:rPr>
        <w:t>5.2 Segmentação por Operação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Algumas operações apresentam níveis de Bradford Disruptivo significativamente superiores à média (entre operações com mínimo de 20 colaboradores):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Operação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Bradford Médio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 Colaboradores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UNITEL NET CASA 5G (Outsourcing)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200,2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45 colaboradores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Unitel Alpha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97,2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114 colaboradores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Unitel Money - Brigadistas (Outsourcing)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96,9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77 colaboradores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TAAG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70,9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44 colaboradores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Destaque: A operação UNITEL NET CASA 5G (Outsourcing) encontra-se em situação crítica, com Bradford médio de 200,2, o dobro do limiar de atenção e o triplo da média geral.</w:t>
      </w:r>
    </w:p>
    <w:p/>
    <w:p>
      <w:pPr>
        <w:pStyle w:val="Heading2"/>
        <w:jc w:val="left"/>
      </w:pPr>
      <w:r>
        <w:rPr>
          <w:color w:val="003366"/>
        </w:rPr>
        <w:t>5.3 Segmentação por Categoria Profissional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por função revela disparidades significativas: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Bradford Médio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 Colaboradores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Comercial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144,8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79 colaboradores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Brigadista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93,6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81 colaboradores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Assistente de Contact Center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50,7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321 colaboradores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Observação: A função de Comercial apresenta Bradford médio 3 vezes superior à dos Assistentes de Contact Center, apesar de representar um grupo menor. Esta categoria merece atenção específica.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6. ANÁLISE COMPORTAMENTAL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Para além da análise quantitativa, foram aplicadas técnicas de deteção de padrões comportamentais suspeitos, com base em anomalias estatísticas.</w:t>
      </w:r>
    </w:p>
    <w:p/>
    <w:p>
      <w:pPr>
        <w:pStyle w:val="Heading2"/>
        <w:jc w:val="left"/>
      </w:pPr>
      <w:r>
        <w:rPr>
          <w:color w:val="003366"/>
        </w:rPr>
        <w:t>6.1 Padrão Segunda-Feira/Sexta-Feira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Análise estatística identifica concentração anormal de episódios nas extremidades da semana:</w:t>
      </w:r>
    </w:p>
    <w:p/>
    <w:p>
      <w:r>
        <w:rPr>
          <w:b/>
        </w:rPr>
        <w:t xml:space="preserve">Baseline esperado: </w:t>
      </w:r>
      <w:r>
        <w:t>20% dos episódios deveriam iniciar em cada dia útil (distribuição uniforme).</w:t>
      </w:r>
    </w:p>
    <w:p>
      <w:r>
        <w:rPr>
          <w:b/>
        </w:rPr>
        <w:t xml:space="preserve">Observado: </w:t>
      </w:r>
      <w:r>
        <w:t>22% dos episódios short-term iniciam à segunda-feira.</w:t>
      </w:r>
    </w:p>
    <w:p>
      <w:r>
        <w:rPr>
          <w:b/>
        </w:rPr>
        <w:t xml:space="preserve">Colaboradores flagged: </w:t>
      </w:r>
      <w:r>
        <w:t>Identificados colaboradores com mais de 50% dos episódios iniciando à segunda ou terminando à sexta (mínimo 5 episódios para significância estatística).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Este padrão pode indicar extensão não autorizada de fins de semana. Recomenda-se análise individual dos casos flagged.</w:t>
      </w:r>
    </w:p>
    <w:p/>
    <w:p>
      <w:pPr>
        <w:pStyle w:val="Heading2"/>
        <w:jc w:val="left"/>
      </w:pPr>
      <w:r>
        <w:rPr>
          <w:color w:val="003366"/>
        </w:rPr>
        <w:t>6.2 Padrão de Ponte (Adjacente a Feriados)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de 23 feriados nacionais no período revelou:</w:t>
      </w:r>
    </w:p>
    <w:p/>
    <w:p>
      <w:r>
        <w:rPr>
          <w:b/>
        </w:rPr>
        <w:t xml:space="preserve">14,7% </w:t>
      </w:r>
      <w:r>
        <w:t>dos episódios short-term iniciam adjacentes a feriados (±1 dia).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Esta taxa está ligeiramente acima do esperado, mas não foram identificados colaboradores individuais com padrão consistente de "fazer ponte" (critério: &gt;40% dos episódios adjacentes a feriados).</w:t>
      </w:r>
    </w:p>
    <w:p/>
    <w:p>
      <w:pPr>
        <w:pStyle w:val="Heading2"/>
        <w:jc w:val="left"/>
      </w:pPr>
      <w:r>
        <w:rPr>
          <w:color w:val="003366"/>
        </w:rPr>
        <w:t>6.3 Baixas Médicas de Curta Duração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Das 16.102 ausências médicas registadas, uma proporção substancial é de curta duração:</w:t>
      </w:r>
    </w:p>
    <w:p/>
    <w:p>
      <w:r>
        <w:rPr>
          <w:b/>
        </w:rPr>
        <w:t xml:space="preserve">Baixas médicas ≤ 3 dias: </w:t>
      </w:r>
      <w:r>
        <w:t>10.580 episódios (65,7% das ausências médicas).</w:t>
      </w:r>
    </w:p>
    <w:p>
      <w:r>
        <w:rPr>
          <w:b/>
        </w:rPr>
        <w:t xml:space="preserve">Concentração em segundas-feiras: </w:t>
      </w:r>
      <w:r>
        <w:t>23,5% das baixas médicas curtas iniciam à segunda.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Embora baixas médicas curtas sejam legítimas na maioria dos casos (gripe, mal-estar pontual), a concentração ligeiramente acima do esperado em segundas-feiras sugere que uma pequena fração pode representar utilização inadequada. Foram identificados colaboradores com padrão recorrente (≥3 baixas médicas curtas, &gt;60% em segundas) para eventual acompanhamento.</w:t>
      </w:r>
    </w:p>
    <w:p/>
    <w:p>
      <w:pPr>
        <w:pStyle w:val="Heading2"/>
        <w:jc w:val="left"/>
      </w:pPr>
      <w:r>
        <w:rPr>
          <w:color w:val="003366"/>
        </w:rPr>
        <w:t>6.4 Síntese: Colaboradores com Múltiplos Flags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combinação de múltiplos indicadores comportamentais permite priorização: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Número de Flags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Interpretação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Sem flags suspeitos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Maioria dos colaboradores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 flag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Atenção ligeira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 flags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Alta suspeita - revisão recomendada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 flags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Muito suspeito - investigação prioritária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Nota metodológica: Estes indicadores não constituem prova de má conduta, mas sim ferramentas estatísticas de triagem. Qualquer ação individual deve ser precedida de análise contextual e conversa com o colaborador e sua chefia direta.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7. ANÁLISE TEMPORAL E TENDÊNCIAS</w:t>
      </w:r>
    </w:p>
    <w:p/>
    <w:p>
      <w:pPr>
        <w:pStyle w:val="Heading2"/>
        <w:jc w:val="left"/>
      </w:pPr>
      <w:r>
        <w:rPr>
          <w:color w:val="003366"/>
        </w:rPr>
        <w:t>7.1 Comparação Ano-a-Ano: 2024 vs. 2025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Para garantir comparabilidade, foram analisados apenas os primeiros seis meses de cada ano (janeiro a junho):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Taxa Absentismo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Dias Perdidos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 Episódios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2024 (Jan-Jun)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3,73%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8.934 dias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2.610 episódios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2025 (Jan-Jun)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2,37%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6.026 dias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2.185 episódios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Variação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-36,5%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-32,5%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-16,3%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Conclusão principal: Regista-se uma melhoria substancial e consistente em todos os indicadores de absentismo entre 2024 e 2025. A redução de 36,5% na taxa de absentismo é particularmente significativa e sugere que medidas implementadas ao longo de 2024 (se aplicável) estão a produzir resultados positivos.</w:t>
      </w:r>
    </w:p>
    <w:p/>
    <w:p>
      <w:pPr>
        <w:jc w:val="both"/>
      </w:pPr>
      <w:r>
        <w:rPr>
          <w:rFonts w:ascii="Calibri" w:hAnsi="Calibri"/>
          <w:b w:val="0"/>
          <w:i/>
          <w:sz w:val="22"/>
        </w:rPr>
        <w:t>[Gráfico: Evolução Mensal da Taxa de Absentismo - 2024 vs 2025]</w:t>
      </w:r>
    </w:p>
    <w:p/>
    <w:p>
      <w:pPr>
        <w:pStyle w:val="Heading2"/>
        <w:jc w:val="left"/>
      </w:pPr>
      <w:r>
        <w:rPr>
          <w:color w:val="003366"/>
        </w:rPr>
        <w:t>7.2 Tendência Intra-Ano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mês a mês revela consistência na melhoria:</w:t>
      </w:r>
    </w:p>
    <w:p/>
    <w:p>
      <w:r>
        <w:t xml:space="preserve">Todos os meses de 2025 </w:t>
      </w:r>
      <w:r>
        <w:rPr>
          <w:sz w:val="22"/>
        </w:rPr>
        <w:t>apresentam taxas inferiores aos meses equivalentes de 2024.</w:t>
      </w:r>
    </w:p>
    <w:p>
      <w:r>
        <w:rPr>
          <w:b/>
        </w:rPr>
        <w:t xml:space="preserve">Maior redução observada: </w:t>
      </w:r>
      <w:r>
        <w:rPr>
          <w:sz w:val="22"/>
        </w:rPr>
        <w:t>Março (de 4,1% em 2024 para 2,3% em 2025).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Esta consistência reforça a hipótese de que a melhoria não resulta de fatores sazonais ou pontuais, mas sim de mudança estrutural.</w:t>
      </w:r>
    </w:p>
    <w:p/>
    <w:p>
      <w:pPr>
        <w:pStyle w:val="Heading2"/>
        <w:jc w:val="left"/>
      </w:pPr>
      <w:r>
        <w:rPr>
          <w:color w:val="003366"/>
        </w:rPr>
        <w:t>7.3 Duração de Episódios: Evolução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Para além da frequência, também a duração média dos episódios diminuiu: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Duração Média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2024 (Jan-Jun)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3,7 dias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2025 (Jan-Jun)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2,7 dias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Redução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27%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Interpretação: Os colaboradores não apenas faltam menos vezes, mas quando faltam, os episódios são mais curtos. Esta dupla melhoria (frequência + duração) é indicador robusto de progresso.</w:t>
      </w:r>
    </w:p>
    <w:p/>
    <w:p>
      <w:pPr>
        <w:pStyle w:val="Heading2"/>
        <w:jc w:val="left"/>
      </w:pPr>
      <w:r>
        <w:rPr>
          <w:color w:val="003366"/>
        </w:rPr>
        <w:t>7.4 Análise de Controlo Estatístico (U-Chart)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Para monitorizar estabilidade do processo, foi aplicado U-Chart (control chart para dados de contagem) às semanas de 2025:</w:t>
      </w:r>
    </w:p>
    <w:p/>
    <w:p>
      <w:r>
        <w:rPr>
          <w:b/>
        </w:rPr>
        <w:t xml:space="preserve">Semanas fora de controlo estatístico: </w:t>
      </w:r>
      <w:r>
        <w:t>Identificadas semanas com variação anormal (acima do limite superior ou abaixo do limite inferior), requerendo investigação de causas especiais.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Recomendação: Quando uma semana excede os limites de controlo, deve ser realizada análise de root cause (exemplo: surto de gripe, evento específico na operação, problema de transporte coletivo).</w:t>
      </w:r>
    </w:p>
    <w:p/>
    <w:p>
      <w:pPr>
        <w:jc w:val="both"/>
      </w:pPr>
      <w:r>
        <w:rPr>
          <w:rFonts w:ascii="Calibri" w:hAnsi="Calibri"/>
          <w:b w:val="0"/>
          <w:i/>
          <w:sz w:val="22"/>
        </w:rPr>
        <w:t>[Gráfico: U-Chart - Taxa Semanal de Faltas em 2025]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8. SEGMENTAÇÃO E PRIORIZAÇÃO</w:t>
      </w:r>
    </w:p>
    <w:p/>
    <w:p>
      <w:pPr>
        <w:pStyle w:val="Heading2"/>
        <w:jc w:val="left"/>
      </w:pPr>
      <w:r>
        <w:rPr>
          <w:color w:val="003366"/>
        </w:rPr>
        <w:t>8.1 Princípio de Pareto: Concentração do Problema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de contribuição revela concentração significativa do absentismo em poucos segmentos: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Segmento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Contribuição Acumulada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Top 5 operações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76% do absentismo total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Top 10 operações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88% do absentismo total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Top 15 operações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92% do absentismo total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Implicação estratégica: Focar esforços de melhoria em 15 operações permite impactar 92% do problema. Esta concentração facilita intervenções dirigidas e medição de eficácia.</w:t>
      </w:r>
    </w:p>
    <w:p/>
    <w:p>
      <w:pPr>
        <w:pStyle w:val="Heading2"/>
        <w:jc w:val="left"/>
      </w:pPr>
      <w:r>
        <w:rPr>
          <w:color w:val="003366"/>
        </w:rPr>
        <w:t>8.2 Matriz Taxa vs. Contribuição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Para priorização eficaz, é útil distinguir duas dimensões:</w:t>
      </w:r>
    </w:p>
    <w:p/>
    <w:p>
      <w:r>
        <w:rPr>
          <w:b/>
        </w:rPr>
        <w:t xml:space="preserve">Taxa de absentismo: </w:t>
      </w:r>
      <w:r>
        <w:rPr>
          <w:sz w:val="22"/>
        </w:rPr>
        <w:t>Percentagem de ausências no segmento (indicador de severidade do problema).</w:t>
      </w:r>
    </w:p>
    <w:p>
      <w:r>
        <w:rPr>
          <w:b/>
        </w:rPr>
        <w:t xml:space="preserve">Contribuição absoluta: </w:t>
      </w:r>
      <w:r>
        <w:rPr>
          <w:sz w:val="22"/>
        </w:rPr>
        <w:t>Número de dias perdidos (indicador de impacto no negócio).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Operações prioritárias são aquelas que combinam taxa elevada E contribuição elevada: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Operação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Taxa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Contribuição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Unitel Alpha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4,81%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8.716 dias (35,6% do total)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Unitel Money - Brigadistas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4,59%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1.706 dias (7,0%)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ZAP Fibra - BO/SWAT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10,09%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307 dias (1,3%)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Destaque: Unitel Alpha combina taxa acima da média com volume absoluto dominante, representando sozinha mais de um terço do absentismo total da empresa.</w:t>
      </w:r>
    </w:p>
    <w:p/>
    <w:p>
      <w:pPr>
        <w:jc w:val="both"/>
      </w:pPr>
      <w:r>
        <w:rPr>
          <w:rFonts w:ascii="Calibri" w:hAnsi="Calibri"/>
          <w:b w:val="0"/>
          <w:i/>
          <w:sz w:val="22"/>
        </w:rPr>
        <w:t>[Gráfico: Matriz Taxa vs Contribuição - Operações]</w:t>
      </w:r>
    </w:p>
    <w:p/>
    <w:p>
      <w:pPr>
        <w:pStyle w:val="Heading2"/>
        <w:jc w:val="left"/>
      </w:pPr>
      <w:r>
        <w:rPr>
          <w:color w:val="003366"/>
        </w:rPr>
        <w:t>8.3 Clustering: Perfis de Comportamento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Aplicando técnicas de clustering (K-Means) aos colaboradores com episódios short-term, foram identificados 3 perfis distintos: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Características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Cluster 1: Baixo Risco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~350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Bradford &lt; 50, poucos episódios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Cluster 2: Risco Moderado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~70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Bradford 50-150, frequência média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Cluster 3: Alto Risco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~70 colaboradores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Bradford &gt; 150, padrão disruptivo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Esta segmentação permite estratégias diferenciadas: o Cluster 3 requer intervenção individual e acompanhamento próximo; o Cluster 2 beneficia de ações de sensibilização; o Cluster 1 necessita apenas monitorização de rotina.</w:t>
      </w:r>
    </w:p>
    <w:p/>
    <w:p>
      <w:pPr>
        <w:pStyle w:val="Heading2"/>
        <w:jc w:val="left"/>
      </w:pPr>
      <w:r>
        <w:rPr>
          <w:color w:val="003366"/>
        </w:rPr>
        <w:t>8.4 Análise por Senioridade (Cohorts)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segmentação por tempo de casa revela diferenças importantes: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Senioridade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Taxa de Absentismo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&lt; 1 ano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2,95%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1-2 anos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2,48%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2-3 anos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2,31%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3-5 anos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2,18%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&gt; 5 anos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2,85%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Observações: Colaboradores muito novos (&lt;1 ano) e muito antigos (&gt;5 anos) apresentam taxas ligeiramente superiores. Para novos colaboradores, pode relacionar-se com período de adaptação; para veteranos, possível burnout ou questões de saúde acumuladas. A faixa 3-5 anos apresenta o melhor desempenho.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9. CONCLUSÕES E RECOMENDAÇÕES</w:t>
      </w:r>
    </w:p>
    <w:p/>
    <w:p>
      <w:pPr>
        <w:pStyle w:val="Heading2"/>
        <w:jc w:val="left"/>
      </w:pPr>
      <w:r>
        <w:rPr>
          <w:color w:val="003366"/>
        </w:rPr>
        <w:t>9.1 Síntese de Conclusões</w:t>
      </w:r>
    </w:p>
    <w:p>
      <w:r>
        <w:rPr>
          <w:b/>
          <w:sz w:val="22"/>
        </w:rPr>
        <w:t xml:space="preserve">1. Tendência positiva: </w:t>
      </w:r>
      <w:r>
        <w:rPr>
          <w:sz w:val="22"/>
        </w:rPr>
        <w:t>A taxa de absentismo reduziu 36,5% entre 2024 e 2025, sinalizando eficácia de eventuais medidas já implementadas.</w:t>
      </w:r>
    </w:p>
    <w:p>
      <w:r>
        <w:rPr>
          <w:b/>
          <w:sz w:val="22"/>
        </w:rPr>
        <w:t xml:space="preserve">2. Problema concentrado: </w:t>
      </w:r>
      <w:r>
        <w:rPr>
          <w:sz w:val="22"/>
        </w:rPr>
        <w:t>15 operações representam 92% do absentismo, permitindo intervenções focalizadas com alto retorno.</w:t>
      </w:r>
    </w:p>
    <w:p>
      <w:r>
        <w:rPr>
          <w:b/>
          <w:sz w:val="22"/>
        </w:rPr>
        <w:t xml:space="preserve">3. Padrão predominante: </w:t>
      </w:r>
      <w:r>
        <w:rPr>
          <w:sz w:val="22"/>
        </w:rPr>
        <w:t>74,5% dos episódios são short-term (≤3 dias), indicando que o desafio principal é comportamental, não médico.</w:t>
      </w:r>
    </w:p>
    <w:p>
      <w:r>
        <w:rPr>
          <w:b/>
          <w:sz w:val="22"/>
        </w:rPr>
        <w:t xml:space="preserve">4. População em risco identificada: </w:t>
      </w:r>
      <w:r>
        <w:rPr>
          <w:sz w:val="22"/>
        </w:rPr>
        <w:t>493 colaboradores com episódios recorrentes, dos quais 42 em risco crítico.</w:t>
      </w:r>
    </w:p>
    <w:p>
      <w:r>
        <w:rPr>
          <w:b/>
          <w:sz w:val="22"/>
        </w:rPr>
        <w:t xml:space="preserve">5. Variação semanal: </w:t>
      </w:r>
      <w:r>
        <w:rPr>
          <w:sz w:val="22"/>
        </w:rPr>
        <w:t>Fim de semana apresenta taxa 50-70% superior, sugerindo desafios específicos de gestão de turnos.</w:t>
      </w:r>
    </w:p>
    <w:p>
      <w:r>
        <w:rPr>
          <w:b/>
          <w:sz w:val="22"/>
        </w:rPr>
        <w:t xml:space="preserve">6. Oportunidade de melhoria: </w:t>
      </w:r>
      <w:r>
        <w:rPr>
          <w:sz w:val="22"/>
        </w:rPr>
        <w:t>Apesar da tendência positiva, subsistem segmentos e colaboradores com padrões disruptivos corrigíveis.</w:t>
      </w:r>
    </w:p>
    <w:p/>
    <w:p>
      <w:pPr>
        <w:pStyle w:val="Heading2"/>
        <w:jc w:val="left"/>
      </w:pPr>
      <w:r>
        <w:rPr>
          <w:color w:val="003366"/>
        </w:rPr>
        <w:t>9.2 Recomendações Estratégicas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Com base na análise conduzida, recomendam-se as seguintes linhas de ação:</w:t>
      </w:r>
    </w:p>
    <w:p/>
    <w:p>
      <w:pPr>
        <w:pStyle w:val="Heading3"/>
        <w:jc w:val="left"/>
      </w:pPr>
      <w:r>
        <w:rPr>
          <w:color w:val="003366"/>
        </w:rPr>
        <w:t>A. Intervenções Prioritárias (Curto Prazo - 0-3 meses)</w:t>
      </w:r>
    </w:p>
    <w:p>
      <w:pPr>
        <w:ind w:left="360"/>
      </w:pPr>
      <w:r>
        <w:rPr>
          <w:b/>
          <w:sz w:val="22"/>
        </w:rPr>
        <w:t xml:space="preserve">1. </w:t>
      </w:r>
      <w:r>
        <w:rPr>
          <w:sz w:val="22"/>
        </w:rPr>
        <w:t>Revisão individual dos 42 colaboradores em risco crítico (Bradford &gt; 200), com conversas estruturadas envolvendo RH e chefia direta.</w:t>
      </w:r>
    </w:p>
    <w:p>
      <w:pPr>
        <w:ind w:left="360"/>
      </w:pPr>
      <w:r>
        <w:rPr>
          <w:b/>
          <w:sz w:val="22"/>
        </w:rPr>
        <w:t xml:space="preserve">2. </w:t>
      </w:r>
      <w:r>
        <w:rPr>
          <w:sz w:val="22"/>
        </w:rPr>
        <w:t>Análise de root cause na operação UNITEL NET CASA 5G (Outsourcing), cuja taxa é 2x superior à média.</w:t>
      </w:r>
    </w:p>
    <w:p>
      <w:pPr>
        <w:ind w:left="360"/>
      </w:pPr>
      <w:r>
        <w:rPr>
          <w:b/>
          <w:sz w:val="22"/>
        </w:rPr>
        <w:t xml:space="preserve">3. </w:t>
      </w:r>
      <w:r>
        <w:rPr>
          <w:sz w:val="22"/>
        </w:rPr>
        <w:t>Implementação de política clara sobre baixas médicas short-term, incluindo requisitos de certificação médica a partir do 2º episódio num período de 30 dias.</w:t>
      </w:r>
    </w:p>
    <w:p>
      <w:pPr>
        <w:ind w:left="360"/>
      </w:pPr>
      <w:r>
        <w:rPr>
          <w:b/>
          <w:sz w:val="22"/>
        </w:rPr>
        <w:t xml:space="preserve">4. </w:t>
      </w:r>
      <w:r>
        <w:rPr>
          <w:sz w:val="22"/>
        </w:rPr>
        <w:t>Comunicação de política de absentismo atualizada, enfatizando consequências progressivas para padrões recorrentes sem justificação adequada.</w:t>
      </w:r>
    </w:p>
    <w:p/>
    <w:p>
      <w:pPr>
        <w:pStyle w:val="Heading3"/>
        <w:jc w:val="left"/>
      </w:pPr>
      <w:r>
        <w:rPr>
          <w:color w:val="003366"/>
        </w:rPr>
        <w:t>B. Melhorias Estruturais (Médio Prazo - 3-6 meses)</w:t>
      </w:r>
    </w:p>
    <w:p>
      <w:pPr>
        <w:ind w:left="360"/>
      </w:pPr>
      <w:r>
        <w:rPr>
          <w:b/>
          <w:sz w:val="22"/>
        </w:rPr>
        <w:t xml:space="preserve">1. </w:t>
      </w:r>
      <w:r>
        <w:rPr>
          <w:sz w:val="22"/>
        </w:rPr>
        <w:t>Implementação de dashboard de monitorização em tempo real (mensal) do Bradford Factor por operação e colaborador.</w:t>
      </w:r>
    </w:p>
    <w:p>
      <w:pPr>
        <w:ind w:left="360"/>
      </w:pPr>
      <w:r>
        <w:rPr>
          <w:b/>
          <w:sz w:val="22"/>
        </w:rPr>
        <w:t xml:space="preserve">2. </w:t>
      </w:r>
      <w:r>
        <w:rPr>
          <w:sz w:val="22"/>
        </w:rPr>
        <w:t>Programa de reconhecimento para colaboradores com zero ausências ou melhoria significativa face a períodos anteriores.</w:t>
      </w:r>
    </w:p>
    <w:p>
      <w:pPr>
        <w:ind w:left="360"/>
      </w:pPr>
      <w:r>
        <w:rPr>
          <w:b/>
          <w:sz w:val="22"/>
        </w:rPr>
        <w:t xml:space="preserve">3. </w:t>
      </w:r>
      <w:r>
        <w:rPr>
          <w:sz w:val="22"/>
        </w:rPr>
        <w:t>Revisão da gestão de turnos de fim de semana, incluindo análise de incentivos, rotatividade e condições específicas.</w:t>
      </w:r>
    </w:p>
    <w:p>
      <w:pPr>
        <w:ind w:left="360"/>
      </w:pPr>
      <w:r>
        <w:rPr>
          <w:b/>
          <w:sz w:val="22"/>
        </w:rPr>
        <w:t xml:space="preserve">4. </w:t>
      </w:r>
      <w:r>
        <w:rPr>
          <w:sz w:val="22"/>
        </w:rPr>
        <w:t>Formação para chefias de equipa em gestão de absentismo, incluindo conversas difíceis e identificação de padrões.</w:t>
      </w:r>
    </w:p>
    <w:p>
      <w:pPr>
        <w:ind w:left="360"/>
      </w:pPr>
      <w:r>
        <w:rPr>
          <w:b/>
          <w:sz w:val="22"/>
        </w:rPr>
        <w:t xml:space="preserve">5. </w:t>
      </w:r>
      <w:r>
        <w:rPr>
          <w:sz w:val="22"/>
        </w:rPr>
        <w:t>Análise de causas raiz nas operações Top 5 por contribuição, com planos de ação específicos para cada uma.</w:t>
      </w:r>
    </w:p>
    <w:p/>
    <w:p>
      <w:pPr>
        <w:pStyle w:val="Heading3"/>
        <w:jc w:val="left"/>
      </w:pPr>
      <w:r>
        <w:rPr>
          <w:color w:val="003366"/>
        </w:rPr>
        <w:t>C. Iniciativas de Longo Prazo (6-12 meses)</w:t>
      </w:r>
    </w:p>
    <w:p>
      <w:pPr>
        <w:ind w:left="360"/>
      </w:pPr>
      <w:r>
        <w:rPr>
          <w:b/>
          <w:sz w:val="22"/>
        </w:rPr>
        <w:t xml:space="preserve">1. </w:t>
      </w:r>
      <w:r>
        <w:rPr>
          <w:sz w:val="22"/>
        </w:rPr>
        <w:t>Programa de bem-estar e saúde ocupacional, com foco preventivo em doenças recorrentes.</w:t>
      </w:r>
    </w:p>
    <w:p>
      <w:pPr>
        <w:ind w:left="360"/>
      </w:pPr>
      <w:r>
        <w:rPr>
          <w:b/>
          <w:sz w:val="22"/>
        </w:rPr>
        <w:t xml:space="preserve">2. </w:t>
      </w:r>
      <w:r>
        <w:rPr>
          <w:sz w:val="22"/>
        </w:rPr>
        <w:t>Análise de correlação entre absentismo e outras métricas (performance, satisfação, turnover) para identificar padrões preditivos.</w:t>
      </w:r>
    </w:p>
    <w:p>
      <w:pPr>
        <w:ind w:left="360"/>
      </w:pPr>
      <w:r>
        <w:rPr>
          <w:b/>
          <w:sz w:val="22"/>
        </w:rPr>
        <w:t xml:space="preserve">3. </w:t>
      </w:r>
      <w:r>
        <w:rPr>
          <w:sz w:val="22"/>
        </w:rPr>
        <w:t>Implementação de sistema de alerta automático para chefias quando colaborador atinge threshold de Bradford.</w:t>
      </w:r>
    </w:p>
    <w:p>
      <w:pPr>
        <w:ind w:left="360"/>
      </w:pPr>
      <w:r>
        <w:rPr>
          <w:b/>
          <w:sz w:val="22"/>
        </w:rPr>
        <w:t xml:space="preserve">4. </w:t>
      </w:r>
      <w:r>
        <w:rPr>
          <w:sz w:val="22"/>
        </w:rPr>
        <w:t>Revisão de processos de recrutamento e onboarding para reduzir absentismo em colaboradores &lt;1 ano.</w:t>
      </w:r>
    </w:p>
    <w:p>
      <w:pPr>
        <w:ind w:left="360"/>
      </w:pPr>
      <w:r>
        <w:rPr>
          <w:b/>
          <w:sz w:val="22"/>
        </w:rPr>
        <w:t xml:space="preserve">5. </w:t>
      </w:r>
      <w:r>
        <w:rPr>
          <w:sz w:val="22"/>
        </w:rPr>
        <w:t>Benchmark externo com outras operações de Call Center para validar metas de taxa de absentismo.</w:t>
      </w:r>
    </w:p>
    <w:p/>
    <w:p>
      <w:pPr>
        <w:pStyle w:val="Heading2"/>
        <w:jc w:val="left"/>
      </w:pPr>
      <w:r>
        <w:rPr>
          <w:color w:val="003366"/>
        </w:rPr>
        <w:t>9.3 Métricas de Acompanhamento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Para medir o progresso das iniciativas, recomenda-se monitorização trimestral dos seguintes indicadores:</w:t>
      </w:r>
    </w:p>
    <w:p/>
    <w:p>
      <w:pPr>
        <w:pStyle w:val="ListBullet"/>
        <w:ind w:left="360"/>
      </w:pPr>
      <w:r>
        <w:t>Taxa de absentismo global</w:t>
      </w:r>
    </w:p>
    <w:p>
      <w:pPr>
        <w:pStyle w:val="ListBullet"/>
        <w:ind w:left="360"/>
      </w:pPr>
      <w:r>
        <w:t>Número de colaboradores com Bradford &gt; 200</w:t>
      </w:r>
    </w:p>
    <w:p>
      <w:pPr>
        <w:pStyle w:val="ListBullet"/>
        <w:ind w:left="360"/>
      </w:pPr>
      <w:r>
        <w:t>Taxa de absentismo nas Top 5 operações</w:t>
      </w:r>
    </w:p>
    <w:p>
      <w:pPr>
        <w:pStyle w:val="ListBullet"/>
        <w:ind w:left="360"/>
      </w:pPr>
      <w:r>
        <w:t>Percentagem de colaboradores com zero ausências</w:t>
      </w:r>
    </w:p>
    <w:p>
      <w:pPr>
        <w:pStyle w:val="ListBullet"/>
        <w:ind w:left="360"/>
      </w:pPr>
      <w:r>
        <w:t>Número de semanas fora de controlo estatístico (U-Chart)</w:t>
      </w:r>
    </w:p>
    <w:p>
      <w:pPr>
        <w:pStyle w:val="ListBullet"/>
        <w:ind w:left="360"/>
      </w:pPr>
      <w:r>
        <w:t>Taxa de absentismo em fins de semana vs. dias úteis</w:t>
      </w:r>
    </w:p>
    <w:p/>
    <w:p>
      <w:pPr>
        <w:pStyle w:val="Heading2"/>
        <w:jc w:val="left"/>
      </w:pPr>
      <w:r>
        <w:rPr>
          <w:color w:val="003366"/>
        </w:rPr>
        <w:t>9.4 Considerações Finais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 análise demonstra que o absentismo no Call Center, embora dentro de parâmetros aceitáveis e com tendência positiva, apresenta oportunidades claras de melhoria. A concentração do problema em segmentos específicos e a natureza predominantemente comportamental (episódios curtos e frequentes) sugerem que intervenções dirigidas podem produzir resultados significativos.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Recomenda-se abordagem equilibrada, combinando:</w:t>
      </w:r>
    </w:p>
    <w:p/>
    <w:p>
      <w:pPr>
        <w:pStyle w:val="ListBullet"/>
        <w:ind w:left="360"/>
      </w:pPr>
      <w:r>
        <w:t>Ações corretivas para casos críticos identificados</w:t>
      </w:r>
    </w:p>
    <w:p>
      <w:pPr>
        <w:pStyle w:val="ListBullet"/>
        <w:ind w:left="360"/>
      </w:pPr>
      <w:r>
        <w:t>Melhorias estruturais em processos e políticas</w:t>
      </w:r>
    </w:p>
    <w:p>
      <w:pPr>
        <w:pStyle w:val="ListBullet"/>
        <w:ind w:left="360"/>
      </w:pPr>
      <w:r>
        <w:t>Iniciativas preventivas de bem-estar e engagement</w:t>
      </w:r>
    </w:p>
    <w:p>
      <w:pPr>
        <w:pStyle w:val="ListBullet"/>
        <w:ind w:left="360"/>
      </w:pPr>
      <w:r>
        <w:t>Monitorização contínua com dashboards e alertas automáticos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A tendência de melhoria observada entre 2024 e 2025 é encorajadora e deve ser preservada e acelerada através das recomendações apresentadas.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ANEXOS</w:t>
      </w:r>
    </w:p>
    <w:p/>
    <w:p>
      <w:pPr>
        <w:pStyle w:val="Heading2"/>
        <w:jc w:val="left"/>
      </w:pPr>
      <w:r>
        <w:rPr>
          <w:color w:val="003366"/>
        </w:rPr>
        <w:t>Anexo A: Glossário Técnico</w:t>
      </w:r>
    </w:p>
    <w:p>
      <w:r>
        <w:rPr>
          <w:b/>
          <w:sz w:val="20"/>
        </w:rPr>
        <w:t xml:space="preserve">Absentismo: </w:t>
      </w:r>
      <w:r>
        <w:rPr>
          <w:sz w:val="20"/>
        </w:rPr>
        <w:t>Ausência não planeada do local de trabalho durante o horário de trabalho esperado.</w:t>
      </w:r>
    </w:p>
    <w:p>
      <w:r>
        <w:rPr>
          <w:b/>
          <w:sz w:val="20"/>
        </w:rPr>
        <w:t xml:space="preserve">Bradford Factor: </w:t>
      </w:r>
      <w:r>
        <w:rPr>
          <w:sz w:val="20"/>
        </w:rPr>
        <w:t>Métrica de disrupção operacional calculada como S² × D, onde S é o número de episódios e D o total de dias ausentes.</w:t>
      </w:r>
    </w:p>
    <w:p>
      <w:r>
        <w:rPr>
          <w:b/>
          <w:sz w:val="20"/>
        </w:rPr>
        <w:t xml:space="preserve">Spell (Episódio): </w:t>
      </w:r>
      <w:r>
        <w:rPr>
          <w:sz w:val="20"/>
        </w:rPr>
        <w:t>Sequência contínua de dias de ausência, independentemente da duração.</w:t>
      </w:r>
    </w:p>
    <w:p>
      <w:r>
        <w:rPr>
          <w:b/>
          <w:sz w:val="20"/>
        </w:rPr>
        <w:t xml:space="preserve">Short-term Spell: </w:t>
      </w:r>
      <w:r>
        <w:rPr>
          <w:sz w:val="20"/>
        </w:rPr>
        <w:t>Episódio de ausência com duração até 3 dias.</w:t>
      </w:r>
    </w:p>
    <w:p>
      <w:r>
        <w:rPr>
          <w:b/>
          <w:sz w:val="20"/>
        </w:rPr>
        <w:t xml:space="preserve">Long-term Spell: </w:t>
      </w:r>
      <w:r>
        <w:rPr>
          <w:sz w:val="20"/>
        </w:rPr>
        <w:t>Episódio de ausência com duração superior a 14 dias.</w:t>
      </w:r>
    </w:p>
    <w:p>
      <w:r>
        <w:rPr>
          <w:b/>
          <w:sz w:val="20"/>
        </w:rPr>
        <w:t xml:space="preserve">Taxa de Absentismo: </w:t>
      </w:r>
      <w:r>
        <w:rPr>
          <w:sz w:val="20"/>
        </w:rPr>
        <w:t>Percentagem de dias de falta sobre o total de dias úteis esperados (Faltas / (Trabalho Pago + Faltas) × 100).</w:t>
      </w:r>
    </w:p>
    <w:p>
      <w:r>
        <w:rPr>
          <w:b/>
          <w:sz w:val="20"/>
        </w:rPr>
        <w:t xml:space="preserve">Lost Time Rate: </w:t>
      </w:r>
      <w:r>
        <w:rPr>
          <w:sz w:val="20"/>
        </w:rPr>
        <w:t>Média de dias perdidos por colaborador no período.</w:t>
      </w:r>
    </w:p>
    <w:p>
      <w:r>
        <w:rPr>
          <w:b/>
          <w:sz w:val="20"/>
        </w:rPr>
        <w:t xml:space="preserve">Frequency Rate: </w:t>
      </w:r>
      <w:r>
        <w:rPr>
          <w:sz w:val="20"/>
        </w:rPr>
        <w:t>Média de episódios de ausência por colaborador.</w:t>
      </w:r>
    </w:p>
    <w:p>
      <w:r>
        <w:rPr>
          <w:b/>
          <w:sz w:val="20"/>
        </w:rPr>
        <w:t xml:space="preserve">U-Chart: </w:t>
      </w:r>
      <w:r>
        <w:rPr>
          <w:sz w:val="20"/>
        </w:rPr>
        <w:t>Gráfico de controlo estatístico para monitorizar taxas de eventos raros ao longo do tempo.</w:t>
      </w:r>
    </w:p>
    <w:p>
      <w:r>
        <w:rPr>
          <w:b/>
          <w:sz w:val="20"/>
        </w:rPr>
        <w:t xml:space="preserve">Cluster: </w:t>
      </w:r>
      <w:r>
        <w:rPr>
          <w:sz w:val="20"/>
        </w:rPr>
        <w:t>Grupo de colaboradores com perfil similar de absentismo, identificado por análise estatística.</w:t>
      </w:r>
    </w:p>
    <w:p/>
    <w:p>
      <w:pPr>
        <w:pStyle w:val="Heading2"/>
        <w:jc w:val="left"/>
      </w:pPr>
      <w:r>
        <w:rPr>
          <w:color w:val="003366"/>
        </w:rPr>
        <w:t>Anexo B: Metodologia do Bradford Factor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O Bradford Factor foi desenvolvido na década de 1980 na Universidade de Bradford (Reino Unido) e é amplamente utilizado em operações com elevada sensibilidade a ausências pontuais, como Call Centers, hospitais e linhas de produção.</w:t>
      </w:r>
    </w:p>
    <w:p/>
    <w:p>
      <w:pPr>
        <w:jc w:val="both"/>
      </w:pPr>
      <w:r>
        <w:rPr>
          <w:rFonts w:ascii="Calibri" w:hAnsi="Calibri"/>
          <w:b/>
          <w:i w:val="0"/>
          <w:sz w:val="22"/>
        </w:rPr>
        <w:t>Fórmula: Bradford = S² × D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Onde:</w:t>
      </w:r>
    </w:p>
    <w:p>
      <w:r>
        <w:rPr>
          <w:b/>
        </w:rPr>
        <w:t xml:space="preserve">S = </w:t>
      </w:r>
      <w:r>
        <w:rPr>
          <w:sz w:val="22"/>
        </w:rPr>
        <w:t>Número de spells (episódios) num período definido</w:t>
      </w:r>
    </w:p>
    <w:p>
      <w:r>
        <w:rPr>
          <w:b/>
        </w:rPr>
        <w:t xml:space="preserve">D = </w:t>
      </w:r>
      <w:r>
        <w:rPr>
          <w:sz w:val="22"/>
        </w:rPr>
        <w:t>Total de dias ausentes no mesmo período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Exemplo ilustrativo: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Padrão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Bradford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Colaborador 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 episódio de 10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Bradford = 1² × 10 = 10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Colaborador 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 episódios de 2 dias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Bradford = 5² × 10 = 250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Colaborador 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 episódios de 1 dia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Bradford = 10² × 10 = 1.000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Interpretação: Apesar de todos terem 10 dias de ausência, o Colaborador C (10 episódios de 1 dia) tem Bradford 100x superior ao Colaborador A (1 episódio de 10 dias), refletindo a maior disrupção operacional causada por ausências frequentes e imprevisíveis.</w:t>
      </w:r>
    </w:p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Thresholds aplicados neste relatório (baseados em Call Centre Helper UK):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Ação Recomendada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&lt; 50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Aceitável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Monitorização normal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50-100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Monitorizar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Prestar atenção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100-200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Atenção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Conversa informal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200-400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Alto Risco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Reunião formal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400-600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Risco Severo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Aviso formal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&gt; 600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Risco Crítico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Ação disciplinar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Anexo C: Notas Metodológicas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Decisões metodológicas críticas aplicadas nesta análise:</w:t>
      </w:r>
    </w:p>
    <w:p/>
    <w:p>
      <w:r>
        <w:rPr>
          <w:b/>
          <w:sz w:val="20"/>
        </w:rPr>
        <w:t xml:space="preserve">1. </w:t>
      </w:r>
      <w:r>
        <w:rPr>
          <w:sz w:val="20"/>
        </w:rPr>
        <w:t>Separação de hierarquias: Dados de absentismo e atrasos foram tratados separadamente para evitar dupla contagem (um colaborador pode trabalhar E ter atraso no mesmo dia).</w:t>
      </w:r>
    </w:p>
    <w:p>
      <w:r>
        <w:rPr>
          <w:b/>
          <w:sz w:val="20"/>
        </w:rPr>
        <w:t xml:space="preserve">2. </w:t>
      </w:r>
      <w:r>
        <w:rPr>
          <w:sz w:val="20"/>
        </w:rPr>
        <w:t>Normalização temporal: Todas as análises por dia da semana ou período do mês utilizam taxas normalizadas pela base de trabalho, não valores absolutos.</w:t>
      </w:r>
    </w:p>
    <w:p>
      <w:r>
        <w:rPr>
          <w:b/>
          <w:sz w:val="20"/>
        </w:rPr>
        <w:t xml:space="preserve">3. </w:t>
      </w:r>
      <w:r>
        <w:rPr>
          <w:sz w:val="20"/>
        </w:rPr>
        <w:t>Bradford Disruptivo: Aplicado apenas a colaboradores ativos em 2025, considerando exclusivamente spells short-term (≤3 dias) para focar em padrões comportamentais.</w:t>
      </w:r>
    </w:p>
    <w:p>
      <w:r>
        <w:rPr>
          <w:b/>
          <w:sz w:val="20"/>
        </w:rPr>
        <w:t xml:space="preserve">4. </w:t>
      </w:r>
      <w:r>
        <w:rPr>
          <w:sz w:val="20"/>
        </w:rPr>
        <w:t>Filtro de amostra mínima: Rankings por operação ou categoria excluem segmentos com &lt;20 colaboradores para evitar distorções estatísticas.</w:t>
      </w:r>
    </w:p>
    <w:p>
      <w:r>
        <w:rPr>
          <w:b/>
          <w:sz w:val="20"/>
        </w:rPr>
        <w:t xml:space="preserve">5. </w:t>
      </w:r>
      <w:r>
        <w:rPr>
          <w:sz w:val="20"/>
        </w:rPr>
        <w:t>Comparação anual: Comparação 2024 vs 2025 limitada a janeiro-junho de ambos os anos para garantir equivalência.</w:t>
      </w:r>
    </w:p>
    <w:p>
      <w:r>
        <w:rPr>
          <w:b/>
          <w:sz w:val="20"/>
        </w:rPr>
        <w:t xml:space="preserve">6. </w:t>
      </w:r>
      <w:r>
        <w:rPr>
          <w:sz w:val="20"/>
        </w:rPr>
        <w:t>Incompatibilidades: 48 dias com registos contraditórios (ex: presença + ausência médica no mesmo dia) foram excluídos após validação.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