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Un Lindo Reporte Ficticio</w:t>
      </w:r>
    </w:p>
    <w:p>
      <w:pPr>
        <w:pStyle w:val="Author"/>
        <w:rPr/>
      </w:pPr>
      <w:r>
        <w:rPr/>
        <w:t>Renato Vargas</w:t>
      </w:r>
    </w:p>
    <w:sdt>
      <w:sdtPr>
        <w:docPartObj>
          <w:docPartGallery w:val="Table of Contents"/>
          <w:docPartUnique w:val="true"/>
        </w:docPartObj>
      </w:sdtPr>
      <w:sdtContent>
        <w:p>
          <w:pPr>
            <w:pStyle w:val="TOCHeading"/>
            <w:rPr/>
          </w:pPr>
          <w:r>
            <w:rPr/>
            <w:t>Tabla de contenidos</w:t>
          </w:r>
        </w:p>
        <w:p>
          <w:pPr>
            <w:pStyle w:val="TOC1"/>
            <w:tabs>
              <w:tab w:val="clear" w:pos="720"/>
              <w:tab w:val="right" w:pos="9359" w:leader="dot"/>
            </w:tabs>
            <w:rPr/>
          </w:pPr>
          <w:r>
            <w:fldChar w:fldCharType="begin"/>
          </w:r>
          <w:r>
            <w:rPr>
              <w:rStyle w:val="IndexLink"/>
              <w:webHidden/>
            </w:rPr>
            <w:instrText xml:space="preserve"> TOC \z \o "1-3" \u \h</w:instrText>
          </w:r>
          <w:r>
            <w:rPr>
              <w:rStyle w:val="IndexLink"/>
              <w:webHidden/>
            </w:rPr>
            <w:fldChar w:fldCharType="separate"/>
          </w:r>
          <w:hyperlink w:anchor="__RefHeading___Toc161_3134648260" w:tooltip="1. Introducción">
            <w:r>
              <w:rPr>
                <w:rStyle w:val="IndexLink"/>
                <w:webHidden/>
              </w:rPr>
              <w:t>1. Introducción</w:t>
              <w:tab/>
              <w:t>1</w:t>
            </w:r>
          </w:hyperlink>
        </w:p>
        <w:p>
          <w:pPr>
            <w:pStyle w:val="TOC1"/>
            <w:tabs>
              <w:tab w:val="clear" w:pos="720"/>
              <w:tab w:val="right" w:pos="9359" w:leader="dot"/>
            </w:tabs>
            <w:rPr/>
          </w:pPr>
          <w:hyperlink w:anchor="__RefHeading___Toc163_3134648260" w:tooltip="2. Metodología">
            <w:r>
              <w:rPr>
                <w:rStyle w:val="IndexLink"/>
                <w:webHidden/>
              </w:rPr>
              <w:t>2. Metodología</w:t>
              <w:tab/>
              <w:t>1</w:t>
            </w:r>
          </w:hyperlink>
        </w:p>
        <w:p>
          <w:pPr>
            <w:pStyle w:val="TOC1"/>
            <w:tabs>
              <w:tab w:val="clear" w:pos="720"/>
              <w:tab w:val="right" w:pos="9359" w:leader="dot"/>
            </w:tabs>
            <w:rPr/>
          </w:pPr>
          <w:hyperlink w:anchor="__RefHeading___Toc165_3134648260" w:tooltip="3. Resultados">
            <w:r>
              <w:rPr>
                <w:rStyle w:val="IndexLink"/>
                <w:webHidden/>
              </w:rPr>
              <w:t>3. Resultados</w:t>
              <w:tab/>
              <w:t>2</w:t>
            </w:r>
          </w:hyperlink>
        </w:p>
        <w:p>
          <w:pPr>
            <w:pStyle w:val="TOC1"/>
            <w:tabs>
              <w:tab w:val="clear" w:pos="720"/>
              <w:tab w:val="right" w:pos="9359" w:leader="dot"/>
            </w:tabs>
            <w:rPr/>
          </w:pPr>
          <w:hyperlink w:anchor="__RefHeading___Toc167_3134648260" w:tooltip="4. Desempeño económico">
            <w:r>
              <w:rPr>
                <w:rStyle w:val="IndexLink"/>
                <w:webHidden/>
              </w:rPr>
              <w:t>4. Desempeño económico</w:t>
              <w:tab/>
              <w:t>2</w:t>
            </w:r>
          </w:hyperlink>
        </w:p>
        <w:p>
          <w:pPr>
            <w:pStyle w:val="TOC2"/>
            <w:tabs>
              <w:tab w:val="clear" w:pos="720"/>
              <w:tab w:val="right" w:pos="9359" w:leader="dot"/>
            </w:tabs>
            <w:rPr/>
          </w:pPr>
          <w:hyperlink w:anchor="__RefHeading___Toc169_3134648260" w:tooltip="4.1 Una mirada a la naturaleza">
            <w:r>
              <w:rPr>
                <w:rStyle w:val="IndexLink"/>
                <w:webHidden/>
              </w:rPr>
              <w:t>4.1 Una mirada a la naturaleza</w:t>
              <w:tab/>
              <w:t>2</w:t>
            </w:r>
          </w:hyperlink>
        </w:p>
        <w:p>
          <w:pPr>
            <w:pStyle w:val="TOC2"/>
            <w:tabs>
              <w:tab w:val="clear" w:pos="720"/>
              <w:tab w:val="right" w:pos="9359" w:leader="dot"/>
            </w:tabs>
            <w:rPr/>
          </w:pPr>
          <w:hyperlink w:anchor="__RefHeading___Toc171_3134648260" w:tooltip="4.2 La perspectiva geográfica">
            <w:r>
              <w:rPr>
                <w:rStyle w:val="IndexLink"/>
                <w:webHidden/>
              </w:rPr>
              <w:t>4.2 La perspectiva geográfica</w:t>
              <w:tab/>
              <w:t>3</w:t>
            </w:r>
          </w:hyperlink>
        </w:p>
        <w:p>
          <w:pPr>
            <w:pStyle w:val="TOC1"/>
            <w:tabs>
              <w:tab w:val="clear" w:pos="720"/>
              <w:tab w:val="right" w:pos="9359" w:leader="dot"/>
            </w:tabs>
            <w:rPr/>
          </w:pPr>
          <w:hyperlink w:anchor="__RefHeading___Toc173_3134648260" w:tooltip="5. Conclusiones">
            <w:r>
              <w:rPr>
                <w:rStyle w:val="IndexLink"/>
                <w:webHidden/>
              </w:rPr>
              <w:t>5. Conclusiones</w:t>
              <w:tab/>
              <w:t>4</w:t>
            </w:r>
          </w:hyperlink>
        </w:p>
        <w:p>
          <w:pPr>
            <w:pStyle w:val="TOC2"/>
            <w:tabs>
              <w:tab w:val="clear" w:pos="720"/>
              <w:tab w:val="right" w:pos="9359" w:leader="dot"/>
            </w:tabs>
            <w:rPr/>
          </w:pPr>
          <w:hyperlink w:anchor="__RefHeading___Toc175_3134648260" w:tooltip="Referencias">
            <w:r>
              <w:rPr>
                <w:rStyle w:val="IndexLink"/>
                <w:webHidden/>
              </w:rPr>
              <w:t>Referencias</w:t>
              <w:tab/>
              <w:t>4</w:t>
            </w:r>
          </w:hyperlink>
          <w:r>
            <w:rPr>
              <w:rStyle w:val="IndexLink"/>
            </w:rPr>
            <w:fldChar w:fldCharType="end"/>
          </w:r>
        </w:p>
      </w:sdtContent>
    </w:sdt>
    <w:p>
      <w:pPr>
        <w:pStyle w:val="Heading1"/>
        <w:rPr/>
      </w:pPr>
      <w:bookmarkStart w:id="0" w:name="__RefHeading___Toc161_3134648260"/>
      <w:bookmarkStart w:id="1" w:name="introducción"/>
      <w:bookmarkEnd w:id="0"/>
      <w:r>
        <w:rPr/>
        <w:t>1. Introducción</w:t>
      </w:r>
    </w:p>
    <w:p>
      <w:pPr>
        <w:pStyle w:val="FirstParagraph"/>
        <w:rPr/>
      </w:pPr>
      <w:r>
        <w:rPr/>
        <w:t>El crecimiento económico de los países centroamericanos ha estado marcado en los últimos años por una combinación de choques externos y procesos de recuperación pospandemia, lo cual hace relevante contar con ejercicios periódicos de seguimiento estadístico. Panamá en particular ha mostrado un desempeño singular dentro de la región debido a su condición de economía de servicios y centro logístico, por lo que este reporte ficticio ilustra, a manera de ejemplo, cómo se documentaría un análisis reproducible que combina fuentes de datos internacionales, ejercicios de clasificación biológica y datos geoespaciales dentro de un mismo documento de Quarto.</w:t>
      </w:r>
      <w:bookmarkEnd w:id="1"/>
    </w:p>
    <w:p>
      <w:pPr>
        <w:pStyle w:val="Heading1"/>
        <w:rPr/>
      </w:pPr>
      <w:bookmarkStart w:id="2" w:name="__RefHeading___Toc163_3134648260"/>
      <w:bookmarkStart w:id="3" w:name="metodología"/>
      <w:bookmarkEnd w:id="2"/>
      <w:r>
        <w:rPr/>
        <w:t>2. Metodología</w:t>
      </w:r>
    </w:p>
    <w:p>
      <w:pPr>
        <w:pStyle w:val="FirstParagraph"/>
        <w:rPr/>
      </w:pPr>
      <w:r>
        <w:rPr/>
        <w:t>Para efectos de este ejercicio se combinaron tres fuentes de datos de naturaleza distinta con el único propósito de demostrar capacidades de reproducibilidad y no de sustentar un análisis económico real. En primer lugar, se descargaron series del Producto Interno Bruto de Panamá directamente desde la API del Banco Mundial (</w:t>
      </w:r>
      <w:r>
        <w:rPr>
          <w:i/>
          <w:iCs/>
        </w:rPr>
        <w:t>World Development Indicators</w:t>
      </w:r>
      <w:r>
        <w:rPr/>
        <w:t xml:space="preserve">) mediante el paquete de R </w:t>
      </w:r>
      <w:r>
        <w:rPr>
          <w:rStyle w:val="VerbatimChar"/>
        </w:rPr>
        <w:t>WDI</w:t>
      </w:r>
      <w:r>
        <w:rPr/>
        <w:t xml:space="preserve"> (Arel-Bundock, 2026). En segundo lugar, se utilizó la base de datos de pingüinos incluida en el paquete </w:t>
      </w:r>
      <w:r>
        <w:rPr>
          <w:rStyle w:val="VerbatimChar"/>
        </w:rPr>
        <w:t>palmerpenguins</w:t>
      </w:r>
      <w:r>
        <w:rPr/>
        <w:t xml:space="preserve"> (Horst et al., 2020) como un ejemplo didáctico de análisis exploratorio multivariado. Finalmente, se incorporó información geoespacial administrativa de Panamá a nivel de primera división para ilustrar la generación de mapas dentro del mismo flujo de trabajo reproducible.</w:t>
      </w:r>
      <w:bookmarkEnd w:id="3"/>
    </w:p>
    <w:p>
      <w:pPr>
        <w:pStyle w:val="Heading1"/>
        <w:rPr/>
      </w:pPr>
      <w:bookmarkStart w:id="4" w:name="__RefHeading___Toc165_3134648260"/>
      <w:bookmarkStart w:id="5" w:name="resultados"/>
      <w:bookmarkEnd w:id="4"/>
      <w:r>
        <w:rPr/>
        <w:t>3. Resultados</w:t>
      </w:r>
      <w:bookmarkEnd w:id="5"/>
    </w:p>
    <w:p>
      <w:pPr>
        <w:pStyle w:val="Heading1"/>
        <w:rPr/>
      </w:pPr>
      <w:bookmarkStart w:id="6" w:name="__RefHeading___Toc167_3134648260"/>
      <w:bookmarkEnd w:id="6"/>
      <w:r>
        <w:rPr/>
        <w:t>4. Desempeño económico</w:t>
      </w:r>
    </w:p>
    <w:p>
      <w:pPr>
        <w:pStyle w:val="FirstParagraph"/>
        <w:rPr/>
      </w:pPr>
      <w:r>
        <w:rPr/>
        <w:t xml:space="preserve">El primer resultado que se presenta corresponde a la evolución reciente del Producto Interno Bruto de Panamá proveniente de la base de datos de indicadores globales del Banco Mundial (Arel-Bundock, 2026). Como se observa en la </w:t>
      </w:r>
      <w:hyperlink w:anchor="fig-pib">
        <w:r>
          <w:rPr>
            <w:rStyle w:val="Hyperlink"/>
          </w:rPr>
          <w:t>Figura 1</w:t>
        </w:r>
      </w:hyperlink>
      <w:r>
        <w:rPr/>
        <w:t>, el PIB muestra la caída abrupta característica del año 2020 asociada a la pandemia, seguida de una recuperación sostenida en los años posteriores.</w:t>
      </w:r>
    </w:p>
    <w:tbl>
      <w:tblPr>
        <w:tblStyle w:val="Table"/>
        <w:tblW w:w="5000" w:type="pct"/>
        <w:jc w:val="start"/>
        <w:tblInd w:w="0" w:type="dxa"/>
        <w:tblLayout w:type="fixed"/>
        <w:tblCellMar>
          <w:top w:w="0" w:type="dxa"/>
          <w:start w:w="108" w:type="dxa"/>
          <w:bottom w:w="0" w:type="dxa"/>
          <w:end w:w="108" w:type="dxa"/>
        </w:tblCellMar>
        <w:tblLook w:noHBand="0" w:noVBand="0" w:firstColumn="0" w:lastRow="0" w:lastColumn="0" w:firstRow="0" w:val="0000"/>
      </w:tblPr>
      <w:tblGrid>
        <w:gridCol w:w="9360"/>
      </w:tblGrid>
      <w:tr>
        <w:trPr/>
        <w:tc>
          <w:tcPr>
            <w:tcW w:w="9360" w:type="dxa"/>
            <w:tcBorders/>
          </w:tcPr>
          <w:p>
            <w:pPr>
              <w:pStyle w:val="Compact"/>
              <w:suppressAutoHyphens w:val="true"/>
              <w:spacing w:before="36" w:after="36"/>
              <w:jc w:val="center"/>
              <w:rPr/>
            </w:pPr>
            <w:bookmarkStart w:id="7" w:name="fig-pib"/>
            <w:r>
              <w:rPr/>
              <w:drawing>
                <wp:inline distT="0" distB="0" distL="0" distR="0">
                  <wp:extent cx="4620260" cy="369633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4620260" cy="3696335"/>
                          </a:xfrm>
                          <a:prstGeom prst="rect">
                            <a:avLst/>
                          </a:prstGeom>
                          <a:noFill/>
                        </pic:spPr>
                      </pic:pic>
                    </a:graphicData>
                  </a:graphic>
                </wp:inline>
              </w:drawing>
            </w:r>
          </w:p>
          <w:p>
            <w:pPr>
              <w:pStyle w:val="ImageCaption"/>
              <w:suppressAutoHyphens w:val="true"/>
              <w:spacing w:before="200" w:after="120"/>
              <w:jc w:val="start"/>
              <w:rPr/>
            </w:pPr>
            <w:r>
              <w:rPr/>
              <w:t>Figura 1: Producto Interno Bruto de Panamá, 2020-2025</w:t>
            </w:r>
            <w:bookmarkEnd w:id="7"/>
          </w:p>
        </w:tc>
      </w:tr>
    </w:tbl>
    <w:p>
      <w:pPr>
        <w:pStyle w:val="Heading2"/>
        <w:rPr/>
      </w:pPr>
      <w:bookmarkStart w:id="8" w:name="__RefHeading___Toc169_3134648260"/>
      <w:bookmarkEnd w:id="8"/>
      <w:r>
        <w:rPr/>
        <w:t>4.1 Una mirada a la naturaleza</w:t>
      </w:r>
    </w:p>
    <w:p>
      <w:pPr>
        <w:pStyle w:val="FirstParagraph"/>
        <w:rPr/>
      </w:pPr>
      <w:r>
        <w:rPr/>
        <w:t xml:space="preserve">Como segundo ejercicio ilustrativo, se exploró la relación entre el largo y el grosor del pico en la base de datos de pingüinos (Horst et al., 2020), diferenciando por especie. La </w:t>
      </w:r>
      <w:hyperlink w:anchor="fig-pinguinos">
        <w:r>
          <w:rPr>
            <w:rStyle w:val="Hyperlink"/>
          </w:rPr>
          <w:t>Figura 2</w:t>
        </w:r>
      </w:hyperlink>
      <w:r>
        <w:rPr/>
        <w:t xml:space="preserve"> muestra una agrupación relativamente clara de las tres especies en este espacio bivariado, lo cual es consistente con el uso frecuente de este conjunto de datos como ejemplo pedagógico de clasificación.</w:t>
      </w:r>
    </w:p>
    <w:tbl>
      <w:tblPr>
        <w:tblStyle w:val="Table"/>
        <w:tblW w:w="5000" w:type="pct"/>
        <w:jc w:val="start"/>
        <w:tblInd w:w="0" w:type="dxa"/>
        <w:tblLayout w:type="fixed"/>
        <w:tblCellMar>
          <w:top w:w="0" w:type="dxa"/>
          <w:start w:w="108" w:type="dxa"/>
          <w:bottom w:w="0" w:type="dxa"/>
          <w:end w:w="108" w:type="dxa"/>
        </w:tblCellMar>
        <w:tblLook w:noHBand="0" w:noVBand="0" w:firstColumn="0" w:lastRow="0" w:lastColumn="0" w:firstRow="0" w:val="0000"/>
      </w:tblPr>
      <w:tblGrid>
        <w:gridCol w:w="9360"/>
      </w:tblGrid>
      <w:tr>
        <w:trPr/>
        <w:tc>
          <w:tcPr>
            <w:tcW w:w="9360" w:type="dxa"/>
            <w:tcBorders/>
          </w:tcPr>
          <w:p>
            <w:pPr>
              <w:pStyle w:val="Compact"/>
              <w:suppressAutoHyphens w:val="true"/>
              <w:spacing w:before="36" w:after="36"/>
              <w:jc w:val="center"/>
              <w:rPr/>
            </w:pPr>
            <w:bookmarkStart w:id="9" w:name="fig-pinguinos"/>
            <w:r>
              <w:rPr/>
              <w:drawing>
                <wp:inline distT="0" distB="0" distL="0" distR="0">
                  <wp:extent cx="4620260" cy="369633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620260" cy="3696335"/>
                          </a:xfrm>
                          <a:prstGeom prst="rect">
                            <a:avLst/>
                          </a:prstGeom>
                          <a:noFill/>
                        </pic:spPr>
                      </pic:pic>
                    </a:graphicData>
                  </a:graphic>
                </wp:inline>
              </w:drawing>
            </w:r>
          </w:p>
          <w:p>
            <w:pPr>
              <w:pStyle w:val="ImageCaption"/>
              <w:suppressAutoHyphens w:val="true"/>
              <w:spacing w:before="200" w:after="120"/>
              <w:jc w:val="start"/>
              <w:rPr/>
            </w:pPr>
            <w:r>
              <w:rPr/>
              <w:t>Figura 2: Largo y grosor del pico de pingüinos, por especie</w:t>
            </w:r>
            <w:bookmarkEnd w:id="9"/>
          </w:p>
        </w:tc>
      </w:tr>
    </w:tbl>
    <w:p>
      <w:pPr>
        <w:pStyle w:val="Heading2"/>
        <w:rPr/>
      </w:pPr>
      <w:bookmarkStart w:id="10" w:name="__RefHeading___Toc171_3134648260"/>
      <w:bookmarkEnd w:id="10"/>
      <w:r>
        <w:rPr/>
        <w:t>4.2 La perspectiva geográfica</w:t>
      </w:r>
    </w:p>
    <w:p>
      <w:pPr>
        <w:pStyle w:val="FirstParagraph"/>
        <w:rPr/>
      </w:pPr>
      <w:r>
        <w:rPr/>
        <w:t xml:space="preserve">Por último, la </w:t>
      </w:r>
      <w:hyperlink w:anchor="fig-mapa">
        <w:r>
          <w:rPr>
            <w:rStyle w:val="Hyperlink"/>
          </w:rPr>
          <w:t>Figura 3</w:t>
        </w:r>
      </w:hyperlink>
      <w:r>
        <w:rPr/>
        <w:t xml:space="preserve"> presenta la división administrativa de primer nivel de Panamá, generada a partir de datos geoespaciales, la cual serviría como base cartográfica para futuros análisis territoriales.</w:t>
      </w:r>
    </w:p>
    <w:tbl>
      <w:tblPr>
        <w:tblStyle w:val="Table"/>
        <w:tblW w:w="5000" w:type="pct"/>
        <w:jc w:val="start"/>
        <w:tblInd w:w="0" w:type="dxa"/>
        <w:tblLayout w:type="fixed"/>
        <w:tblCellMar>
          <w:top w:w="0" w:type="dxa"/>
          <w:start w:w="108" w:type="dxa"/>
          <w:bottom w:w="0" w:type="dxa"/>
          <w:end w:w="108" w:type="dxa"/>
        </w:tblCellMar>
        <w:tblLook w:noHBand="0" w:noVBand="0" w:firstColumn="0" w:lastRow="0" w:lastColumn="0" w:firstRow="0" w:val="0000"/>
      </w:tblPr>
      <w:tblGrid>
        <w:gridCol w:w="9360"/>
      </w:tblGrid>
      <w:tr>
        <w:trPr/>
        <w:tc>
          <w:tcPr>
            <w:tcW w:w="9360" w:type="dxa"/>
            <w:tcBorders/>
          </w:tcPr>
          <w:p>
            <w:pPr>
              <w:pStyle w:val="Compact"/>
              <w:suppressAutoHyphens w:val="true"/>
              <w:spacing w:before="36" w:after="36"/>
              <w:jc w:val="center"/>
              <w:rPr/>
            </w:pPr>
            <w:bookmarkStart w:id="11" w:name="fig-mapa"/>
            <w:r>
              <w:rPr/>
              <w:drawing>
                <wp:inline distT="0" distB="0" distL="0" distR="0">
                  <wp:extent cx="4620260" cy="369633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620260" cy="3696335"/>
                          </a:xfrm>
                          <a:prstGeom prst="rect">
                            <a:avLst/>
                          </a:prstGeom>
                          <a:noFill/>
                        </pic:spPr>
                      </pic:pic>
                    </a:graphicData>
                  </a:graphic>
                </wp:inline>
              </w:drawing>
            </w:r>
          </w:p>
          <w:p>
            <w:pPr>
              <w:pStyle w:val="ImageCaption"/>
              <w:suppressAutoHyphens w:val="true"/>
              <w:spacing w:before="200" w:after="120"/>
              <w:jc w:val="start"/>
              <w:rPr/>
            </w:pPr>
            <w:r>
              <w:rPr/>
              <w:t>Figura 3: División administrativa de primer nivel de Panamá</w:t>
            </w:r>
            <w:bookmarkStart w:id="12" w:name="desempeño-económico"/>
            <w:bookmarkEnd w:id="11"/>
            <w:bookmarkEnd w:id="12"/>
          </w:p>
        </w:tc>
      </w:tr>
    </w:tbl>
    <w:p>
      <w:pPr>
        <w:pStyle w:val="Heading1"/>
        <w:rPr/>
      </w:pPr>
      <w:bookmarkStart w:id="13" w:name="__RefHeading___Toc173_3134648260"/>
      <w:bookmarkEnd w:id="13"/>
      <w:r>
        <w:rPr/>
        <w:t>5. Conclusiones</w:t>
      </w:r>
    </w:p>
    <w:p>
      <w:pPr>
        <w:pStyle w:val="FirstParagraph"/>
        <w:rPr/>
      </w:pPr>
      <w:r>
        <w:rPr/>
        <w:t xml:space="preserve">Este reporte ficticio ilustra, con fines exclusivamente demostrativos, cómo integrar fuentes de datos heterogéneas (indicadores macroeconómicos obtenidos mediante </w:t>
      </w:r>
      <w:r>
        <w:rPr>
          <w:rStyle w:val="VerbatimChar"/>
        </w:rPr>
        <w:t>WDI</w:t>
      </w:r>
      <w:r>
        <w:rPr/>
        <w:t xml:space="preserve"> (Arel-Bundock, 2026), datos biológicos de ejemplo del paquete </w:t>
      </w:r>
      <w:r>
        <w:rPr>
          <w:rStyle w:val="VerbatimChar"/>
        </w:rPr>
        <w:t>palmerpenguins</w:t>
      </w:r>
      <w:r>
        <w:rPr/>
        <w:t xml:space="preserve"> (Horst et al., 2020) y capas geoespaciales) en un único documento reproducible con referencias cruzadas a figuras y citas bibliográficas.</w:t>
      </w:r>
    </w:p>
    <w:p>
      <w:pPr>
        <w:pStyle w:val="BodyText"/>
        <w:rPr/>
      </w:pPr>
      <w:r>
        <w:rPr/>
        <w:t>Para futuros ejercicios de este tipo se recomienda ampliar el rango temporal de las series económicas y contrastar el desempeño de Panamá con el de otros países de la región centroamericana. También sería conveniente incorporar variables geoespaciales adicionales, como indicadores socioeconómicos a nivel provincial, para enriquecer el análisis territorial. Finalmente, se recomienda documentar de manera explícita las limitaciones de cada fuente de datos utilizada, de forma que quede clara la naturaleza ilustrativa de este tipo de reportes.</w:t>
      </w:r>
    </w:p>
    <w:p>
      <w:pPr>
        <w:pStyle w:val="Heading2"/>
        <w:rPr/>
      </w:pPr>
      <w:bookmarkStart w:id="14" w:name="__RefHeading___Toc175_3134648260"/>
      <w:bookmarkStart w:id="15" w:name="referencias"/>
      <w:bookmarkEnd w:id="14"/>
      <w:r>
        <w:rPr/>
        <w:t>Referencias</w:t>
      </w:r>
    </w:p>
    <w:p>
      <w:pPr>
        <w:pStyle w:val="Bibliography"/>
        <w:rPr/>
      </w:pPr>
      <w:bookmarkStart w:id="16" w:name="refs"/>
      <w:bookmarkStart w:id="17" w:name="ref-arelbundock_wdi_2026"/>
      <w:r>
        <w:rPr/>
        <w:t xml:space="preserve">Arel-Bundock, V. (2026). </w:t>
      </w:r>
      <w:r>
        <w:rPr>
          <w:i/>
          <w:iCs/>
        </w:rPr>
        <w:t>WDI: World Development Indicators and Other World Bank Data</w:t>
      </w:r>
      <w:r>
        <w:rPr/>
        <w:t xml:space="preserve">. </w:t>
      </w:r>
      <w:hyperlink r:id="rId5">
        <w:r>
          <w:rPr>
            <w:rStyle w:val="Hyperlink"/>
          </w:rPr>
          <w:t>https://doi.org/10.32614/CRAN.package.WDI</w:t>
        </w:r>
      </w:hyperlink>
      <w:bookmarkEnd w:id="17"/>
    </w:p>
    <w:p>
      <w:pPr>
        <w:pStyle w:val="Bibliography"/>
        <w:spacing w:before="0" w:after="200"/>
        <w:ind w:hanging="720" w:start="720"/>
        <w:jc w:val="both"/>
        <w:rPr/>
      </w:pPr>
      <w:bookmarkStart w:id="18" w:name="ref-horst_palmerpenguins_2020"/>
      <w:r>
        <w:rPr/>
        <w:t xml:space="preserve">Horst, A. M., Hill, A. P. y Gorman, K. B. (2020). </w:t>
      </w:r>
      <w:r>
        <w:rPr>
          <w:i/>
          <w:iCs/>
        </w:rPr>
        <w:t>palmerpenguins: Palmer Archipelago (Antarctica) penguin data</w:t>
      </w:r>
      <w:r>
        <w:rPr/>
        <w:t xml:space="preserve">. </w:t>
      </w:r>
      <w:hyperlink r:id="rId6">
        <w:r>
          <w:rPr>
            <w:rStyle w:val="Hyperlink"/>
          </w:rPr>
          <w:t>https://doi.org/10.5281/zenodo.3960218</w:t>
        </w:r>
      </w:hyperlink>
      <w:bookmarkEnd w:id="15"/>
      <w:bookmarkEnd w:id="16"/>
      <w:bookmarkEnd w:id="18"/>
    </w:p>
    <w:sectPr>
      <w:footerReference w:type="even" r:id="rId7"/>
      <w:footerReference w:type="default" r:id="rId8"/>
      <w:footerReference w:type="first" r:id="rId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fldChar w:fldCharType="begin"/>
    </w:r>
    <w:r>
      <w:rPr/>
      <w:instrText xml:space="preserve"> PAGE </w:instrText>
    </w:r>
    <w:r>
      <w:rPr/>
      <w:fldChar w:fldCharType="separate"/>
    </w:r>
    <w:r>
      <w:rPr/>
      <w:t>5</w:t>
    </w:r>
    <w:r>
      <w:rPr/>
      <w:fldChar w:fldCharType="end"/>
    </w:r>
  </w:p>
</w:ftr>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s-ES" w:eastAsia="en-US" w:bidi="ar-SA"/>
      </w:rPr>
    </w:rPrDefault>
    <w:pPrDefault>
      <w:pPr>
        <w:suppressAutoHyphens w:val="true"/>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start"/>
    </w:pPr>
    <w:rPr>
      <w:rFonts w:ascii="Aptos" w:hAnsi="Aptos" w:eastAsia="Aptos" w:cs="" w:asciiTheme="minorHAnsi" w:cstheme="minorBidi" w:eastAsiaTheme="minorHAnsi" w:hAnsiTheme="minorHAnsi"/>
      <w:color w:val="auto"/>
      <w:kern w:val="0"/>
      <w:sz w:val="24"/>
      <w:szCs w:val="24"/>
      <w:lang w:val="es-ES" w:eastAsia="en-US" w:bidi="ar-SA"/>
    </w:rPr>
  </w:style>
  <w:style w:type="paragraph" w:styleId="Heading1">
    <w:name w:val="heading 1"/>
    <w:basedOn w:val="Normal"/>
    <w:next w:val="BodyText"/>
    <w:link w:val="Heading1Char"/>
    <w:uiPriority w:val="9"/>
    <w:qFormat/>
    <w:rsid w:val="0003144b"/>
    <w:pPr>
      <w:keepNext w:val="true"/>
      <w:keepLines/>
      <w:spacing w:before="0" w:after="24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0570ce"/>
    <w:pPr>
      <w:keepNext w:val="true"/>
      <w:keepLines/>
      <w:spacing w:before="0" w:after="24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0570ce"/>
    <w:pPr>
      <w:keepNext w:val="true"/>
      <w:keepLines/>
      <w:spacing w:before="0" w:after="24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03144b"/>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0570c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0570c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user">
    <w:name w:val="Footnote Characters (user)"/>
    <w:basedOn w:val="Caption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themeColor="accent1" w:val="156082"/>
    </w:rPr>
  </w:style>
  <w:style w:type="character" w:styleId="KeywordTok" w:customStyle="1">
    <w:name w:val="KeywordTok"/>
    <w:basedOn w:val="VerbatimChar"/>
    <w:qFormat/>
    <w:rPr>
      <w:rFonts w:ascii="Consolas" w:hAnsi="Consolas"/>
      <w:b/>
      <w:color w:val="003B4F"/>
      <w:sz w:val="22"/>
      <w:shd w:fill="F1F3F5" w:val="clear"/>
    </w:rPr>
  </w:style>
  <w:style w:type="character" w:styleId="DataTypeTok" w:customStyle="1">
    <w:name w:val="DataTypeTok"/>
    <w:basedOn w:val="VerbatimChar"/>
    <w:qFormat/>
    <w:rPr>
      <w:rFonts w:ascii="Consolas" w:hAnsi="Consolas"/>
      <w:color w:val="AD0000"/>
      <w:sz w:val="22"/>
      <w:shd w:fill="F1F3F5" w:val="clear"/>
    </w:rPr>
  </w:style>
  <w:style w:type="character" w:styleId="DecValTok" w:customStyle="1">
    <w:name w:val="DecValTok"/>
    <w:basedOn w:val="VerbatimChar"/>
    <w:qFormat/>
    <w:rPr>
      <w:rFonts w:ascii="Consolas" w:hAnsi="Consolas"/>
      <w:color w:val="AD0000"/>
      <w:sz w:val="22"/>
      <w:shd w:fill="F1F3F5" w:val="clear"/>
    </w:rPr>
  </w:style>
  <w:style w:type="character" w:styleId="BaseNTok" w:customStyle="1">
    <w:name w:val="BaseNTok"/>
    <w:basedOn w:val="VerbatimChar"/>
    <w:qFormat/>
    <w:rPr>
      <w:rFonts w:ascii="Consolas" w:hAnsi="Consolas"/>
      <w:color w:val="AD0000"/>
      <w:sz w:val="22"/>
      <w:shd w:fill="F1F3F5" w:val="clear"/>
    </w:rPr>
  </w:style>
  <w:style w:type="character" w:styleId="FloatTok" w:customStyle="1">
    <w:name w:val="FloatTok"/>
    <w:basedOn w:val="VerbatimChar"/>
    <w:qFormat/>
    <w:rPr>
      <w:rFonts w:ascii="Consolas" w:hAnsi="Consolas"/>
      <w:color w:val="AD0000"/>
      <w:sz w:val="22"/>
      <w:shd w:fill="F1F3F5" w:val="clear"/>
    </w:rPr>
  </w:style>
  <w:style w:type="character" w:styleId="ConstantTok" w:customStyle="1">
    <w:name w:val="ConstantTok"/>
    <w:basedOn w:val="VerbatimChar"/>
    <w:qFormat/>
    <w:rPr>
      <w:rFonts w:ascii="Consolas" w:hAnsi="Consolas"/>
      <w:color w:val="8F5902"/>
      <w:sz w:val="22"/>
      <w:shd w:fill="F1F3F5" w:val="clear"/>
    </w:rPr>
  </w:style>
  <w:style w:type="character" w:styleId="CharTok" w:customStyle="1">
    <w:name w:val="CharTok"/>
    <w:basedOn w:val="VerbatimChar"/>
    <w:qFormat/>
    <w:rPr>
      <w:rFonts w:ascii="Consolas" w:hAnsi="Consolas"/>
      <w:color w:val="20794D"/>
      <w:sz w:val="22"/>
      <w:shd w:fill="F1F3F5" w:val="clear"/>
    </w:rPr>
  </w:style>
  <w:style w:type="character" w:styleId="SpecialCharTok" w:customStyle="1">
    <w:name w:val="SpecialCharTok"/>
    <w:basedOn w:val="VerbatimChar"/>
    <w:qFormat/>
    <w:rPr>
      <w:rFonts w:ascii="Consolas" w:hAnsi="Consolas"/>
      <w:color w:val="5E5E5E"/>
      <w:sz w:val="22"/>
      <w:shd w:fill="F1F3F5" w:val="clear"/>
    </w:rPr>
  </w:style>
  <w:style w:type="character" w:styleId="StringTok" w:customStyle="1">
    <w:name w:val="StringTok"/>
    <w:basedOn w:val="VerbatimChar"/>
    <w:qFormat/>
    <w:rPr>
      <w:rFonts w:ascii="Consolas" w:hAnsi="Consolas"/>
      <w:color w:val="20794D"/>
      <w:sz w:val="22"/>
      <w:shd w:fill="F1F3F5" w:val="clear"/>
    </w:rPr>
  </w:style>
  <w:style w:type="character" w:styleId="VerbatimStringTok" w:customStyle="1">
    <w:name w:val="VerbatimStringTok"/>
    <w:basedOn w:val="VerbatimChar"/>
    <w:qFormat/>
    <w:rPr>
      <w:rFonts w:ascii="Consolas" w:hAnsi="Consolas"/>
      <w:color w:val="20794D"/>
      <w:sz w:val="22"/>
      <w:shd w:fill="F1F3F5" w:val="clear"/>
    </w:rPr>
  </w:style>
  <w:style w:type="character" w:styleId="SpecialStringTok" w:customStyle="1">
    <w:name w:val="SpecialStringTok"/>
    <w:basedOn w:val="VerbatimChar"/>
    <w:qFormat/>
    <w:rPr>
      <w:rFonts w:ascii="Consolas" w:hAnsi="Consolas"/>
      <w:color w:val="20794D"/>
      <w:sz w:val="22"/>
      <w:shd w:fill="F1F3F5" w:val="clear"/>
    </w:rPr>
  </w:style>
  <w:style w:type="character" w:styleId="ImportTok" w:customStyle="1">
    <w:name w:val="ImportTok"/>
    <w:basedOn w:val="VerbatimChar"/>
    <w:qFormat/>
    <w:rPr>
      <w:rFonts w:ascii="Consolas" w:hAnsi="Consolas"/>
      <w:color w:val="00769E"/>
      <w:sz w:val="22"/>
      <w:shd w:fill="F1F3F5" w:val="clear"/>
    </w:rPr>
  </w:style>
  <w:style w:type="character" w:styleId="CommentTok" w:customStyle="1">
    <w:name w:val="CommentTok"/>
    <w:basedOn w:val="VerbatimChar"/>
    <w:qFormat/>
    <w:rPr>
      <w:rFonts w:ascii="Consolas" w:hAnsi="Consolas"/>
      <w:color w:val="5E5E5E"/>
      <w:sz w:val="22"/>
      <w:shd w:fill="F1F3F5" w:val="clear"/>
    </w:rPr>
  </w:style>
  <w:style w:type="character" w:styleId="DocumentationTok" w:customStyle="1">
    <w:name w:val="DocumentationTok"/>
    <w:basedOn w:val="VerbatimChar"/>
    <w:qFormat/>
    <w:rPr>
      <w:rFonts w:ascii="Consolas" w:hAnsi="Consolas"/>
      <w:i/>
      <w:color w:val="5E5E5E"/>
      <w:sz w:val="22"/>
      <w:shd w:fill="F1F3F5" w:val="clear"/>
    </w:rPr>
  </w:style>
  <w:style w:type="character" w:styleId="AnnotationTok" w:customStyle="1">
    <w:name w:val="AnnotationTok"/>
    <w:basedOn w:val="VerbatimChar"/>
    <w:qFormat/>
    <w:rPr>
      <w:rFonts w:ascii="Consolas" w:hAnsi="Consolas"/>
      <w:color w:val="5E5E5E"/>
      <w:sz w:val="22"/>
      <w:shd w:fill="F1F3F5" w:val="clear"/>
    </w:rPr>
  </w:style>
  <w:style w:type="character" w:styleId="CommentVarTok" w:customStyle="1">
    <w:name w:val="CommentVarTok"/>
    <w:basedOn w:val="VerbatimChar"/>
    <w:qFormat/>
    <w:rPr>
      <w:rFonts w:ascii="Consolas" w:hAnsi="Consolas"/>
      <w:i/>
      <w:color w:val="5E5E5E"/>
      <w:sz w:val="22"/>
      <w:shd w:fill="F1F3F5" w:val="clear"/>
    </w:rPr>
  </w:style>
  <w:style w:type="character" w:styleId="OtherTok" w:customStyle="1">
    <w:name w:val="OtherTok"/>
    <w:basedOn w:val="VerbatimChar"/>
    <w:qFormat/>
    <w:rPr>
      <w:rFonts w:ascii="Consolas" w:hAnsi="Consolas"/>
      <w:color w:val="003B4F"/>
      <w:sz w:val="22"/>
      <w:shd w:fill="F1F3F5" w:val="clear"/>
    </w:rPr>
  </w:style>
  <w:style w:type="character" w:styleId="FunctionTok" w:customStyle="1">
    <w:name w:val="FunctionTok"/>
    <w:basedOn w:val="VerbatimChar"/>
    <w:qFormat/>
    <w:rPr>
      <w:rFonts w:ascii="Consolas" w:hAnsi="Consolas"/>
      <w:color w:val="4758AB"/>
      <w:sz w:val="22"/>
      <w:shd w:fill="F1F3F5" w:val="clear"/>
    </w:rPr>
  </w:style>
  <w:style w:type="character" w:styleId="VariableTok" w:customStyle="1">
    <w:name w:val="VariableTok"/>
    <w:basedOn w:val="VerbatimChar"/>
    <w:qFormat/>
    <w:rPr>
      <w:rFonts w:ascii="Consolas" w:hAnsi="Consolas"/>
      <w:color w:val="111111"/>
      <w:sz w:val="22"/>
      <w:shd w:fill="F1F3F5" w:val="clear"/>
    </w:rPr>
  </w:style>
  <w:style w:type="character" w:styleId="ControlFlowTok" w:customStyle="1">
    <w:name w:val="ControlFlowTok"/>
    <w:basedOn w:val="VerbatimChar"/>
    <w:qFormat/>
    <w:rPr>
      <w:rFonts w:ascii="Consolas" w:hAnsi="Consolas"/>
      <w:b/>
      <w:color w:val="003B4F"/>
      <w:sz w:val="22"/>
      <w:shd w:fill="F1F3F5" w:val="clear"/>
    </w:rPr>
  </w:style>
  <w:style w:type="character" w:styleId="OperatorTok" w:customStyle="1">
    <w:name w:val="OperatorTok"/>
    <w:basedOn w:val="VerbatimChar"/>
    <w:qFormat/>
    <w:rPr>
      <w:rFonts w:ascii="Consolas" w:hAnsi="Consolas"/>
      <w:color w:val="5E5E5E"/>
      <w:sz w:val="22"/>
      <w:shd w:fill="F1F3F5" w:val="clear"/>
    </w:rPr>
  </w:style>
  <w:style w:type="character" w:styleId="BuiltInTok" w:customStyle="1">
    <w:name w:val="BuiltInTok"/>
    <w:basedOn w:val="VerbatimChar"/>
    <w:qFormat/>
    <w:rPr>
      <w:rFonts w:ascii="Consolas" w:hAnsi="Consolas"/>
      <w:color w:val="003B4F"/>
      <w:sz w:val="22"/>
      <w:shd w:fill="F1F3F5" w:val="clear"/>
    </w:rPr>
  </w:style>
  <w:style w:type="character" w:styleId="ExtensionTok" w:customStyle="1">
    <w:name w:val="ExtensionTok"/>
    <w:basedOn w:val="VerbatimChar"/>
    <w:qFormat/>
    <w:rPr>
      <w:rFonts w:ascii="Consolas" w:hAnsi="Consolas"/>
      <w:color w:val="003B4F"/>
      <w:sz w:val="22"/>
      <w:shd w:fill="F1F3F5" w:val="clear"/>
    </w:rPr>
  </w:style>
  <w:style w:type="character" w:styleId="PreprocessorTok" w:customStyle="1">
    <w:name w:val="PreprocessorTok"/>
    <w:basedOn w:val="VerbatimChar"/>
    <w:qFormat/>
    <w:rPr>
      <w:rFonts w:ascii="Consolas" w:hAnsi="Consolas"/>
      <w:color w:val="AD0000"/>
      <w:sz w:val="22"/>
      <w:shd w:fill="F1F3F5" w:val="clear"/>
    </w:rPr>
  </w:style>
  <w:style w:type="character" w:styleId="AttributeTok" w:customStyle="1">
    <w:name w:val="AttributeTok"/>
    <w:basedOn w:val="VerbatimChar"/>
    <w:qFormat/>
    <w:rPr>
      <w:rFonts w:ascii="Consolas" w:hAnsi="Consolas"/>
      <w:color w:val="657422"/>
      <w:sz w:val="22"/>
      <w:shd w:fill="F1F3F5" w:val="clear"/>
    </w:rPr>
  </w:style>
  <w:style w:type="character" w:styleId="RegionMarkerTok" w:customStyle="1">
    <w:name w:val="RegionMarkerTok"/>
    <w:basedOn w:val="VerbatimChar"/>
    <w:qFormat/>
    <w:rPr>
      <w:rFonts w:ascii="Consolas" w:hAnsi="Consolas"/>
      <w:color w:val="003B4F"/>
      <w:sz w:val="22"/>
      <w:shd w:fill="F1F3F5" w:val="clear"/>
    </w:rPr>
  </w:style>
  <w:style w:type="character" w:styleId="InformationTok" w:customStyle="1">
    <w:name w:val="InformationTok"/>
    <w:basedOn w:val="VerbatimChar"/>
    <w:qFormat/>
    <w:rPr>
      <w:rFonts w:ascii="Consolas" w:hAnsi="Consolas"/>
      <w:color w:val="5E5E5E"/>
      <w:sz w:val="22"/>
      <w:shd w:fill="F1F3F5" w:val="clear"/>
    </w:rPr>
  </w:style>
  <w:style w:type="character" w:styleId="WarningTok" w:customStyle="1">
    <w:name w:val="WarningTok"/>
    <w:basedOn w:val="VerbatimChar"/>
    <w:qFormat/>
    <w:rPr>
      <w:rFonts w:ascii="Consolas" w:hAnsi="Consolas"/>
      <w:i/>
      <w:color w:val="5E5E5E"/>
      <w:sz w:val="22"/>
      <w:shd w:fill="F1F3F5" w:val="clear"/>
    </w:rPr>
  </w:style>
  <w:style w:type="character" w:styleId="AlertTok" w:customStyle="1">
    <w:name w:val="AlertTok"/>
    <w:basedOn w:val="VerbatimChar"/>
    <w:qFormat/>
    <w:rPr>
      <w:rFonts w:ascii="Consolas" w:hAnsi="Consolas"/>
      <w:color w:val="AD0000"/>
      <w:sz w:val="22"/>
      <w:shd w:fill="F1F3F5" w:val="clear"/>
    </w:rPr>
  </w:style>
  <w:style w:type="character" w:styleId="ErrorTok" w:customStyle="1">
    <w:name w:val="ErrorTok"/>
    <w:basedOn w:val="VerbatimChar"/>
    <w:qFormat/>
    <w:rPr>
      <w:rFonts w:ascii="Consolas" w:hAnsi="Consolas"/>
      <w:color w:val="AD0000"/>
      <w:sz w:val="22"/>
      <w:shd w:fill="F1F3F5" w:val="clear"/>
    </w:rPr>
  </w:style>
  <w:style w:type="character" w:styleId="NormalTok" w:customStyle="1">
    <w:name w:val="NormalTok"/>
    <w:basedOn w:val="VerbatimChar"/>
    <w:qFormat/>
    <w:rPr>
      <w:rFonts w:ascii="Consolas" w:hAnsi="Consolas"/>
      <w:color w:val="003B4F"/>
      <w:sz w:val="22"/>
      <w:shd w:fill="F1F3F5" w:val="clear"/>
    </w:rPr>
  </w:style>
  <w:style w:type="character" w:styleId="HeaderChar" w:customStyle="1">
    <w:name w:val="Header Char"/>
    <w:basedOn w:val="DefaultParagraphFont"/>
    <w:link w:val="Header"/>
    <w:qFormat/>
    <w:rsid w:val="00803c7e"/>
    <w:rPr/>
  </w:style>
  <w:style w:type="character" w:styleId="FooterChar" w:customStyle="1">
    <w:name w:val="Footer Char"/>
    <w:basedOn w:val="DefaultParagraphFont"/>
    <w:link w:val="Footer"/>
    <w:qFormat/>
    <w:rsid w:val="00803c7e"/>
    <w:rPr/>
  </w:style>
  <w:style w:type="character" w:styleId="FollowedHyperlink">
    <w:name w:val="FollowedHyperlink"/>
    <w:basedOn w:val="DefaultParagraphFont"/>
    <w:rsid w:val="000570ce"/>
    <w:rPr>
      <w:color w:themeColor="followedHyperlink" w:val="96607D"/>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ucida Sans"/>
      <w:sz w:val="28"/>
      <w:szCs w:val="28"/>
    </w:rPr>
  </w:style>
  <w:style w:type="paragraph" w:styleId="BodyText">
    <w:name w:val="Body Text"/>
    <w:basedOn w:val="Normal"/>
    <w:qFormat/>
    <w:rsid w:val="0003144b"/>
    <w:pPr>
      <w:spacing w:before="0" w:after="240"/>
      <w:jc w:val="both"/>
    </w:pPr>
    <w:rPr/>
  </w:style>
  <w:style w:type="paragraph" w:styleId="List">
    <w:name w:val="List"/>
    <w:basedOn w:val="BodyText"/>
    <w:pPr/>
    <w:rPr>
      <w:rFonts w:cs="Lucida Sans"/>
    </w:rPr>
  </w:style>
  <w:style w:type="paragraph" w:styleId="Caption">
    <w:name w:val="caption"/>
    <w:basedOn w:val="Normal"/>
    <w:link w:val="CaptionChar"/>
    <w:qFormat/>
    <w:pPr>
      <w:spacing w:before="0" w:after="120"/>
    </w:pPr>
    <w:rPr>
      <w:i/>
    </w:rPr>
  </w:style>
  <w:style w:type="paragraph" w:styleId="Index">
    <w:name w:val="Index"/>
    <w:basedOn w:val="Normal"/>
    <w:qFormat/>
    <w:pPr>
      <w:suppressLineNumbers/>
    </w:pPr>
    <w:rPr>
      <w:rFonts w:cs="Lucida Sans"/>
    </w:rPr>
  </w:style>
  <w:style w:type="paragraph" w:styleId="FirstParagraph" w:customStyle="1">
    <w:name w:val="First Paragraph"/>
    <w:basedOn w:val="BodyText"/>
    <w:next w:val="BodyText"/>
    <w:qFormat/>
    <w:rsid w:val="0003144b"/>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rsid w:val="000570ce"/>
    <w:pPr>
      <w:ind w:hanging="720" w:start="720"/>
      <w:jc w:val="both"/>
    </w:pPr>
    <w:rPr/>
  </w:style>
  <w:style w:type="paragraph" w:styleId="BlockText">
    <w:name w:val="Block Text"/>
    <w:basedOn w:val="BodyText"/>
    <w:next w:val="BodyText"/>
    <w:uiPriority w:val="9"/>
    <w:unhideWhenUsed/>
    <w:qFormat/>
    <w:pPr>
      <w:spacing w:before="100" w:after="100"/>
      <w:ind w:start="480" w:end="480"/>
    </w:pPr>
    <w:rPr/>
  </w:style>
  <w:style w:type="paragraph" w:styleId="FootnoteText">
    <w:name w:val="footnote text"/>
    <w:basedOn w:val="Normal"/>
    <w:uiPriority w:val="9"/>
    <w:unhideWhenUsed/>
    <w:qFormat/>
    <w:pPr/>
    <w:rPr/>
  </w:style>
  <w:style w:type="paragraph" w:styleId="FootnoteBlockText" w:customStyle="1">
    <w:name w:val="Footnote Block Text"/>
    <w:basedOn w:val="FootnoteText"/>
    <w:next w:val="FootnoteText"/>
    <w:uiPriority w:val="9"/>
    <w:unhideWhenUsed/>
    <w:qFormat/>
    <w:pPr>
      <w:spacing w:before="100" w:after="100"/>
      <w:ind w:start="480" w:end="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40"/>
      <w:outlineLvl w:val="9"/>
    </w:pPr>
    <w:rPr/>
  </w:style>
  <w:style w:type="paragraph" w:styleId="SourceCode" w:customStyle="1">
    <w:name w:val="Source Code"/>
    <w:basedOn w:val="Normal"/>
    <w:link w:val="VerbatimChar"/>
    <w:qFormat/>
    <w:pPr>
      <w:shd w:val="clear" w:color="auto" w:fill="F1F3F5"/>
    </w:pPr>
    <w:rPr/>
  </w:style>
  <w:style w:type="paragraph" w:styleId="TOC1">
    <w:name w:val="toc 1"/>
    <w:basedOn w:val="Normal"/>
    <w:next w:val="Normal"/>
    <w:autoRedefine/>
    <w:uiPriority w:val="39"/>
    <w:rsid w:val="00fe7c35"/>
    <w:pPr>
      <w:spacing w:before="0" w:after="100"/>
    </w:pPr>
    <w:rPr/>
  </w:style>
  <w:style w:type="paragraph" w:styleId="TOC2">
    <w:name w:val="toc 2"/>
    <w:basedOn w:val="Normal"/>
    <w:next w:val="Normal"/>
    <w:autoRedefine/>
    <w:uiPriority w:val="39"/>
    <w:rsid w:val="00fe7c35"/>
    <w:pPr>
      <w:spacing w:before="0" w:after="100"/>
      <w:ind w:start="240"/>
    </w:pPr>
    <w:rPr/>
  </w:style>
  <w:style w:type="paragraph" w:styleId="TOC3">
    <w:name w:val="toc 3"/>
    <w:basedOn w:val="Normal"/>
    <w:next w:val="Normal"/>
    <w:autoRedefine/>
    <w:uiPriority w:val="39"/>
    <w:rsid w:val="00fe7c35"/>
    <w:pPr>
      <w:spacing w:before="0" w:after="100"/>
      <w:ind w:start="480"/>
    </w:pPr>
    <w:rPr/>
  </w:style>
  <w:style w:type="paragraph" w:styleId="HeaderandFooter">
    <w:name w:val="Header and Footer"/>
    <w:basedOn w:val="Normal"/>
    <w:qFormat/>
    <w:pPr/>
    <w:rPr/>
  </w:style>
  <w:style w:type="paragraph" w:styleId="Header">
    <w:name w:val="header"/>
    <w:basedOn w:val="Normal"/>
    <w:link w:val="HeaderChar"/>
    <w:rsid w:val="00803c7e"/>
    <w:pPr>
      <w:tabs>
        <w:tab w:val="clear" w:pos="720"/>
        <w:tab w:val="center" w:pos="4680" w:leader="none"/>
        <w:tab w:val="right" w:pos="9360" w:leader="none"/>
      </w:tabs>
      <w:spacing w:before="0" w:after="0"/>
    </w:pPr>
    <w:rPr/>
  </w:style>
  <w:style w:type="paragraph" w:styleId="Footer">
    <w:name w:val="footer"/>
    <w:basedOn w:val="Normal"/>
    <w:link w:val="FooterChar"/>
    <w:rsid w:val="00803c7e"/>
    <w:pPr>
      <w:tabs>
        <w:tab w:val="clear" w:pos="720"/>
        <w:tab w:val="center" w:pos="4680" w:leader="none"/>
        <w:tab w:val="right" w:pos="9360" w:leader="none"/>
      </w:tabs>
      <w:spacing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32614/CRAN.package.WDI" TargetMode="External"/><Relationship Id="rId6" Type="http://schemas.openxmlformats.org/officeDocument/2006/relationships/hyperlink" Target="https://doi.org/10.5281/zenodo.3960218"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LibreOffice/26.2.4.2$Linux_X86_64 LibreOffice_project/620$Build-2</Application>
  <AppVersion>15.0000</AppVersion>
  <Pages>5</Pages>
  <Words>613</Words>
  <Characters>3574</Characters>
  <CharactersWithSpaces>4156</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2026-07-24T17:20:31Z</dcterms:created>
  <dc:creator>Renato Vargas</dc:creator>
  <dc:description/>
  <dc:language>es</dc:language>
  <cp:lastModifiedBy/>
  <dcterms:modified xsi:type="dcterms:W3CDTF">2026-07-24T11:22:46Z</dcterms:modified>
  <cp:revision>1</cp:revision>
  <dc:subject/>
  <dc:title>Un Lindo Reporte Ficticio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referencias.bib</vt:lpwstr>
  </property>
  <property fmtid="{D5CDD505-2E9C-101B-9397-08002B2CF9AE}" pid="6" name="by-affiliation">
    <vt:lpwstr/>
  </property>
  <property fmtid="{D5CDD505-2E9C-101B-9397-08002B2CF9AE}" pid="7" name="by-author">
    <vt:lpwstr/>
  </property>
  <property fmtid="{D5CDD505-2E9C-101B-9397-08002B2CF9AE}" pid="8" name="csl">
    <vt:lpwstr>apa-es.csl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Tabla de contenidos</vt:lpwstr>
  </property>
</Properties>
</file>