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65" w:rsidRDefault="00EA435E" w:rsidP="00EA435E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11., Kiegyezés tartalma és kiértékelése</w:t>
      </w:r>
    </w:p>
    <w:p w:rsidR="00EA435E" w:rsidRDefault="00EA435E" w:rsidP="00EA435E">
      <w:pPr>
        <w:jc w:val="center"/>
        <w:rPr>
          <w:sz w:val="36"/>
          <w:szCs w:val="36"/>
          <w:u w:val="single"/>
        </w:rPr>
      </w:pP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EA435E">
        <w:rPr>
          <w:rFonts w:ascii="Calibri" w:eastAsia="Calibri" w:hAnsi="Calibri" w:cs="Times New Roman"/>
        </w:rPr>
        <w:t xml:space="preserve">- 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1867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 xml:space="preserve">: Ausztria és Magyarország = OMM 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1918-ig</w:t>
      </w:r>
      <w:r w:rsidRPr="00EA435E">
        <w:rPr>
          <w:rFonts w:ascii="Calibri" w:eastAsia="Calibri" w:hAnsi="Calibri" w:cs="Times New Roman"/>
          <w:color w:val="FF0000"/>
        </w:rPr>
        <w:t>!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Kétközpontú/dualista állam -&gt; központ: Bécs és Budapest (Pest-Buda)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Rendszer neve: dualizmus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Államforma: alkotmányos monarchia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-&gt; közös uralkodó: Ferenc József 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magyar királlyá koronázzák, Mátyás-templom, esztergomi érsek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Közös ügyek: külügy, hadügy és ezzel kapcsolatos pénzügy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országgyűlés a közös ügyekről törvényt fogad el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Visszaállítják az alkotmányosságot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lesz felelős kormány, országgyűlés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miniszterelnök: Andrássy Gyula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Pragmatica Sanctio: közös védelem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t xml:space="preserve">Menete: </w:t>
      </w:r>
      <w:r w:rsidRPr="00EA435E">
        <w:rPr>
          <w:rFonts w:ascii="Calibri" w:eastAsia="Calibri" w:hAnsi="Calibri" w:cs="Times New Roman"/>
        </w:rPr>
        <w:t xml:space="preserve">- 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1865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: Húsvéti cikk, Deák Ferenc, Pesti Napló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-&gt; közeledés, jogilag elemzi a közös ügyek egyesítését 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alapja lehet a kiegyezésnek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- egyre jobban megbíznak a magyarokban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- osztrák elszigetelődött, kimaradt a német egységből (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1866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: Königgrätz)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- nyit a magyarok felé -&gt; kell a szövetséges, birodalom erősítése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t xml:space="preserve">Tartalma: </w:t>
      </w:r>
      <w:r w:rsidRPr="00EA435E">
        <w:rPr>
          <w:rFonts w:ascii="Calibri" w:eastAsia="Calibri" w:hAnsi="Calibri" w:cs="Times New Roman"/>
        </w:rPr>
        <w:t>- közös ügyekre közös minisztériumok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alkotmányosan felügyelik, 60-60 fős delegáció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- ügyeltek, hogy ne legyen birodalmi gyűlés (magyarok kérik)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- külön üléseznek, levélben egyeztetnek, ha különbség van az uralkodó dönt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t xml:space="preserve">Pénzügy: </w:t>
      </w:r>
      <w:r w:rsidRPr="00EA435E">
        <w:rPr>
          <w:rFonts w:ascii="Calibri" w:eastAsia="Calibri" w:hAnsi="Calibri" w:cs="Times New Roman"/>
        </w:rPr>
        <w:t>- közös ügyekben kvóta -&gt; Ausztria 70%, Magyarország 30% (reális)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- közös pénzügyminiszter, másik ország ügyeibe nem szól bele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3 miniszter közül egy mindig magyar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t xml:space="preserve">Uralkodó joga: </w:t>
      </w:r>
      <w:r w:rsidRPr="00EA435E">
        <w:rPr>
          <w:rFonts w:ascii="Calibri" w:eastAsia="Calibri" w:hAnsi="Calibri" w:cs="Times New Roman"/>
        </w:rPr>
        <w:t>- szentesíti a törvényt, véleménykülönbség esetén dönt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- előszentesítési jog: tárgyalás előtt jóváhagyja az előterjesztett ügyeket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- hadsereg élén ő áll (K und K -&gt; König und Kaiser)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Lesz kis hadseregünk, Honvéd Hadsereget ő ellenőrzi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adóval és újonc létszám megadásával -&gt; vita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Vita = véderő vita (magyar országgyűlésen)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Közös ügyeken kívül, minden más saját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t xml:space="preserve">Gazdaság: </w:t>
      </w:r>
      <w:r w:rsidRPr="00EA435E">
        <w:rPr>
          <w:rFonts w:ascii="Calibri" w:eastAsia="Calibri" w:hAnsi="Calibri" w:cs="Times New Roman"/>
        </w:rPr>
        <w:t>- közös ügyekben kvóta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 - birodalom = egységes piac, vámszövetség, közös vállalatok megmaradnak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 - szabadon áramlik a munka és tőke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 - Magyarországnak jó, sokat fejlődik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 - adó-, mérték-, közlekedési- és hírközlési rendszer összehangolása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 - gazdasági megállapodásokat 10 évre kötötték, majd újratárgyalták</w:t>
      </w:r>
    </w:p>
    <w:p w:rsidR="00EA435E" w:rsidRPr="00EA435E" w:rsidRDefault="00EA435E" w:rsidP="00EA435E">
      <w:pPr>
        <w:spacing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br w:type="page"/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lastRenderedPageBreak/>
        <w:t xml:space="preserve">Értékelés: </w:t>
      </w:r>
      <w:r w:rsidRPr="00EA435E">
        <w:rPr>
          <w:rFonts w:ascii="Calibri" w:eastAsia="Calibri" w:hAnsi="Calibri" w:cs="Times New Roman"/>
        </w:rPr>
        <w:t>- nincs teljes függetlenség, de reális kompromisszum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- magyar vezetői réteg elvárásait kisebb áldozattal nem lehet elérni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 xml:space="preserve">      - külön pártokba szerveződtek azok akik elfogadták és akik nem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sz w:val="24"/>
          <w:szCs w:val="24"/>
        </w:rPr>
        <w:t xml:space="preserve">Horvát kiegyezés: </w:t>
      </w:r>
      <w:r w:rsidRPr="00EA435E">
        <w:rPr>
          <w:rFonts w:ascii="Calibri" w:eastAsia="Calibri" w:hAnsi="Calibri" w:cs="Times New Roman"/>
        </w:rPr>
        <w:t xml:space="preserve">- 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1868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, hosszas huza-vona után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- 3 központú birodalmat akartak = </w:t>
      </w:r>
      <w:r w:rsidRPr="00EA435E">
        <w:rPr>
          <w:rFonts w:ascii="Calibri" w:eastAsia="Calibri" w:hAnsi="Calibri" w:cs="Times New Roman"/>
          <w:color w:val="FF0000"/>
        </w:rPr>
        <w:t>trializmus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  <w:color w:val="FF0000"/>
        </w:rPr>
        <w:tab/>
      </w:r>
      <w:r w:rsidRPr="00EA435E">
        <w:rPr>
          <w:rFonts w:ascii="Calibri" w:eastAsia="Calibri" w:hAnsi="Calibri" w:cs="Times New Roman"/>
          <w:color w:val="FF0000"/>
        </w:rPr>
        <w:tab/>
      </w:r>
      <w:r w:rsidRPr="00EA435E">
        <w:rPr>
          <w:rFonts w:ascii="Calibri" w:eastAsia="Calibri" w:hAnsi="Calibri" w:cs="Times New Roman"/>
          <w:color w:val="FF0000"/>
        </w:rPr>
        <w:tab/>
      </w:r>
      <w:r w:rsidRPr="00EA435E">
        <w:rPr>
          <w:rFonts w:ascii="Calibri" w:eastAsia="Calibri" w:hAnsi="Calibri" w:cs="Times New Roman"/>
        </w:rPr>
        <w:t>-&gt; nem valósul meg, helyette magyar-horvát kiegyezés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personal uniot akartak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magyar országgyűlés nem egyezik bele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de tartományi különállást elfogadja (horvát autonómia)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belső önkormányzat, élén: bán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országgyűlés korlátozott jogkörrel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nemzeti nyelvhasználat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elismerik politikai nemzetnek a horvátokat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magyar országgyűlésben képviselők, 42 fő + bán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védelem, pénzügy közös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 xml:space="preserve">       - Európában ez nagy dolog a nemzetiségi kérdés miatt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 xml:space="preserve">- 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1868</w:t>
      </w:r>
      <w:r w:rsidRPr="00EA435E">
        <w:rPr>
          <w:rFonts w:ascii="Calibri" w:eastAsia="Calibri" w:hAnsi="Calibri" w:cs="Times New Roman"/>
          <w:color w:val="FF0000"/>
        </w:rPr>
        <w:t>!</w:t>
      </w:r>
      <w:r w:rsidRPr="00EA435E">
        <w:rPr>
          <w:rFonts w:ascii="Calibri" w:eastAsia="Calibri" w:hAnsi="Calibri" w:cs="Times New Roman"/>
        </w:rPr>
        <w:t>: Nemzetiségi törvény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Eötvös József (kultuszminiszter)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pozitív, példaként szolgál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továbbra is 1 politikai nemzet a magyar és 1 területi egység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többi nem kapott ilyen jogot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  <w:t>-&gt; széleskörű nyelvhasználat: oktatás, közigazgatás, igazságszolgáltatás</w:t>
      </w:r>
    </w:p>
    <w:p w:rsidR="00EA435E" w:rsidRPr="00EA435E" w:rsidRDefault="00EA435E" w:rsidP="00EA435E">
      <w:pPr>
        <w:spacing w:after="0" w:line="256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ab/>
      </w:r>
      <w:r w:rsidRPr="00EA435E">
        <w:rPr>
          <w:rFonts w:ascii="Calibri" w:eastAsia="Calibri" w:hAnsi="Calibri" w:cs="Times New Roman"/>
        </w:rPr>
        <w:tab/>
        <w:t>-&gt; alsó és középső szinten</w:t>
      </w:r>
    </w:p>
    <w:p w:rsidR="00EA435E" w:rsidRDefault="00EA435E" w:rsidP="00BC6791">
      <w:pPr>
        <w:spacing w:after="0" w:line="257" w:lineRule="auto"/>
        <w:rPr>
          <w:rFonts w:ascii="Calibri" w:eastAsia="Calibri" w:hAnsi="Calibri" w:cs="Times New Roman"/>
        </w:rPr>
      </w:pPr>
      <w:r w:rsidRPr="00EA435E">
        <w:rPr>
          <w:rFonts w:ascii="Calibri" w:eastAsia="Calibri" w:hAnsi="Calibri" w:cs="Times New Roman"/>
        </w:rPr>
        <w:t>- Nemzetiségeknek ez nem lesz elég</w:t>
      </w:r>
    </w:p>
    <w:p w:rsidR="00BC6791" w:rsidRPr="00EA435E" w:rsidRDefault="00BC6791" w:rsidP="00BC6791">
      <w:pPr>
        <w:spacing w:after="0" w:line="257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 Első miniszterelnök: Andrássy Gyula</w:t>
      </w:r>
    </w:p>
    <w:sectPr w:rsidR="00BC6791" w:rsidRPr="00EA4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5E"/>
    <w:rsid w:val="00460F81"/>
    <w:rsid w:val="00500DA8"/>
    <w:rsid w:val="005A2D65"/>
    <w:rsid w:val="00BC6791"/>
    <w:rsid w:val="00E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2022-01-04T23:16:00Z</dcterms:created>
  <dcterms:modified xsi:type="dcterms:W3CDTF">2022-01-04T23:16:00Z</dcterms:modified>
</cp:coreProperties>
</file>