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6" w:rsidRDefault="00164726" w:rsidP="00164726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164726" w:rsidRDefault="00164726" w:rsidP="00164726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:rsidR="00164726" w:rsidRDefault="00164726" w:rsidP="00164726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64726" w:rsidRDefault="00164726" w:rsidP="00164726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64726" w:rsidRDefault="009A4CA0" w:rsidP="00164726">
      <w:pPr>
        <w:ind w:firstLine="0"/>
        <w:jc w:val="center"/>
      </w:pPr>
      <w:r w:rsidRPr="009A4CA0">
        <w:rPr>
          <w:noProof/>
          <w:lang w:eastAsia="ru-RU"/>
        </w:rPr>
        <w:drawing>
          <wp:inline distT="0" distB="0" distL="0" distR="0">
            <wp:extent cx="6120130" cy="944049"/>
            <wp:effectExtent l="0" t="0" r="0" b="8890"/>
            <wp:docPr id="3" name="Рисунок 3" descr="C:\Users\r0bar\Documents\GitHub\MessageDeliveryService\Экономическая часть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0bar\Documents\GitHub\MessageDeliveryService\Экономическая часть\Рол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26" w:rsidRDefault="00164726" w:rsidP="00164726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164726" w:rsidRDefault="00164726" w:rsidP="00164726">
      <w:pPr>
        <w:pStyle w:val="2"/>
      </w:pPr>
      <w:r>
        <w:t>Календарный план проекта</w:t>
      </w:r>
    </w:p>
    <w:p w:rsidR="00164726" w:rsidRPr="001E5905" w:rsidRDefault="00164726" w:rsidP="00164726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>
        <w:rPr>
          <w:rFonts w:eastAsia="Times New Roman"/>
        </w:rPr>
        <w:t>,</w:t>
      </w:r>
      <w:r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Сбор требований Заказчика к разрабатываемому ПО.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Разработка и согласование </w:t>
      </w:r>
      <w:r w:rsidR="003B7302">
        <w:rPr>
          <w:rFonts w:eastAsia="Times New Roman"/>
        </w:rPr>
        <w:t>ТЗ</w:t>
      </w:r>
      <w:r w:rsidRPr="00884CEC">
        <w:rPr>
          <w:rFonts w:eastAsia="Times New Roman"/>
        </w:rPr>
        <w:t>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технического проекта.</w:t>
      </w:r>
    </w:p>
    <w:p w:rsid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моделей бизнес-процессов.</w:t>
      </w:r>
    </w:p>
    <w:p w:rsidR="003B7302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Проектирование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lastRenderedPageBreak/>
        <w:t>Проектирование иерархии пользовательских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Проектирование архитектуры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Определение методов WEB API и их сигнатур. 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взаимодействия серверной части и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работы клиентской части.</w:t>
      </w:r>
    </w:p>
    <w:p w:rsidR="00884CEC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proofErr w:type="spellStart"/>
      <w:r>
        <w:rPr>
          <w:rFonts w:eastAsia="Times New Roman"/>
        </w:rPr>
        <w:t>Кросс</w:t>
      </w:r>
      <w:r w:rsidR="00884CEC" w:rsidRPr="00884CEC">
        <w:rPr>
          <w:rFonts w:eastAsia="Times New Roman"/>
        </w:rPr>
        <w:t>браузерное</w:t>
      </w:r>
      <w:proofErr w:type="spellEnd"/>
      <w:r w:rsidR="00884CEC" w:rsidRPr="00884CEC">
        <w:rPr>
          <w:rFonts w:eastAsia="Times New Roman"/>
        </w:rPr>
        <w:t xml:space="preserve"> тестирование интерфейсов.</w:t>
      </w:r>
    </w:p>
    <w:p w:rsid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 xml:space="preserve">Разработка пользовательской документации. </w:t>
      </w:r>
    </w:p>
    <w:p w:rsidR="00164726" w:rsidRP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>Внедрение ПО.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164726" w:rsidRPr="009E5292" w:rsidRDefault="00164726" w:rsidP="00164726">
      <w:pPr>
        <w:pStyle w:val="a4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9"/>
        <w:gridCol w:w="2213"/>
        <w:gridCol w:w="4569"/>
        <w:gridCol w:w="1829"/>
      </w:tblGrid>
      <w:tr w:rsidR="00164726" w:rsidRPr="00F364AC" w:rsidTr="00B9601F">
        <w:trPr>
          <w:trHeight w:val="83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lastRenderedPageBreak/>
              <w:t>№</w:t>
            </w:r>
          </w:p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164726" w:rsidRPr="00F364AC" w:rsidTr="00B9601F">
        <w:trPr>
          <w:trHeight w:val="29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Сбор требований</w:t>
            </w:r>
          </w:p>
        </w:tc>
        <w:tc>
          <w:tcPr>
            <w:tcW w:w="2428" w:type="pct"/>
            <w:vAlign w:val="center"/>
          </w:tcPr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</w:t>
            </w:r>
            <w:r w:rsidR="0083041C">
              <w:rPr>
                <w:rFonts w:eastAsia="Times New Roman"/>
                <w:sz w:val="24"/>
                <w:szCs w:val="24"/>
              </w:rPr>
              <w:t>4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83041C">
              <w:rPr>
                <w:rFonts w:eastAsia="Times New Roman"/>
                <w:sz w:val="24"/>
                <w:szCs w:val="24"/>
              </w:rPr>
              <w:t xml:space="preserve"> [10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34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и согласование ТЗ</w:t>
            </w:r>
          </w:p>
        </w:tc>
        <w:tc>
          <w:tcPr>
            <w:tcW w:w="2428" w:type="pct"/>
            <w:vAlign w:val="center"/>
          </w:tcPr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[5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</w:t>
            </w:r>
            <w:r w:rsidR="00B9601F">
              <w:rPr>
                <w:rFonts w:eastAsia="Times New Roman"/>
                <w:sz w:val="24"/>
                <w:szCs w:val="24"/>
              </w:rPr>
              <w:t>аналитик [10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422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 [6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4726" w:rsidRPr="00F364AC" w:rsidTr="00B9601F">
        <w:trPr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моделей бизнес-процессов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Проектирование интерфейсов</w:t>
            </w:r>
          </w:p>
        </w:tc>
        <w:tc>
          <w:tcPr>
            <w:tcW w:w="2428" w:type="pct"/>
            <w:vAlign w:val="center"/>
          </w:tcPr>
          <w:p w:rsidR="00164726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B9601F" w:rsidRPr="00B9601F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иерархии пользовательских интерфейсов</w:t>
            </w:r>
          </w:p>
        </w:tc>
        <w:tc>
          <w:tcPr>
            <w:tcW w:w="2428" w:type="pct"/>
            <w:vAlign w:val="center"/>
          </w:tcPr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 w:rsidR="00164726">
              <w:rPr>
                <w:rFonts w:eastAsia="Times New Roman"/>
                <w:sz w:val="24"/>
                <w:szCs w:val="24"/>
              </w:rPr>
              <w:t>%]</w:t>
            </w:r>
          </w:p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164726" w:rsidRPr="00180AE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архитектуры серверной части</w:t>
            </w:r>
          </w:p>
        </w:tc>
        <w:tc>
          <w:tcPr>
            <w:tcW w:w="2428" w:type="pct"/>
            <w:vAlign w:val="center"/>
          </w:tcPr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</w:t>
            </w:r>
            <w:r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[100%]</w:t>
            </w:r>
          </w:p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[40%]</w:t>
            </w:r>
          </w:p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Разработчик [50%]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8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Определение методов WEB API и их сигнатур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9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E544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11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[15%]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[15%]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13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[15%]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14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взаимодействия серверной части и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работы клиентской ча</w:t>
            </w:r>
            <w:bookmarkStart w:id="7" w:name="_GoBack"/>
            <w:bookmarkEnd w:id="7"/>
            <w:r w:rsidRPr="009A4CA0">
              <w:rPr>
                <w:rFonts w:eastAsia="Times New Roman"/>
                <w:sz w:val="24"/>
                <w:szCs w:val="28"/>
              </w:rPr>
              <w:t>сти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lastRenderedPageBreak/>
              <w:t>16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proofErr w:type="spellStart"/>
            <w:r w:rsidRPr="009A4CA0">
              <w:rPr>
                <w:rFonts w:eastAsia="Times New Roman"/>
                <w:sz w:val="24"/>
                <w:szCs w:val="28"/>
              </w:rPr>
              <w:t>Кроссбраузерное</w:t>
            </w:r>
            <w:proofErr w:type="spellEnd"/>
            <w:r w:rsidRPr="009A4CA0">
              <w:rPr>
                <w:rFonts w:eastAsia="Times New Roman"/>
                <w:sz w:val="24"/>
                <w:szCs w:val="28"/>
              </w:rPr>
              <w:t xml:space="preserve"> тестирование интерфейсов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17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18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</w:t>
            </w:r>
          </w:p>
        </w:tc>
      </w:tr>
    </w:tbl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164726" w:rsidRDefault="00B9601F" w:rsidP="00164726">
      <w:pPr>
        <w:ind w:firstLine="0"/>
        <w:contextualSpacing/>
        <w:rPr>
          <w:rFonts w:eastAsia="Times New Roman"/>
          <w:lang w:val="en-US"/>
        </w:rPr>
      </w:pPr>
      <w:r w:rsidRPr="00B9601F">
        <w:rPr>
          <w:rFonts w:eastAsia="Times New Roman"/>
          <w:noProof/>
          <w:lang w:eastAsia="ru-RU"/>
        </w:rPr>
        <w:drawing>
          <wp:inline distT="0" distB="0" distL="0" distR="0" wp14:anchorId="69ACF696" wp14:editId="3451C3F4">
            <wp:extent cx="6120130" cy="5418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1.2. </w:t>
      </w:r>
      <w:r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B9601F" w:rsidP="00164726">
      <w:pPr>
        <w:ind w:firstLine="0"/>
        <w:contextualSpacing/>
        <w:rPr>
          <w:rFonts w:eastAsia="Times New Roman"/>
        </w:rPr>
      </w:pPr>
      <w:r w:rsidRPr="00B9601F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A612999" wp14:editId="73C96860">
            <wp:extent cx="6120130" cy="4116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 (табл. 1.2).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8"/>
        <w:gridCol w:w="5123"/>
        <w:gridCol w:w="3737"/>
      </w:tblGrid>
      <w:tr w:rsidR="00164726" w:rsidTr="00B9601F">
        <w:trPr>
          <w:trHeight w:val="556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vAlign w:val="center"/>
          </w:tcPr>
          <w:p w:rsidR="00164726" w:rsidRPr="00BE349A" w:rsidRDefault="00A445A7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</w:t>
            </w:r>
            <w:r w:rsidR="00164726">
              <w:rPr>
                <w:rFonts w:eastAsia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432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216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C1238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536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vAlign w:val="center"/>
          </w:tcPr>
          <w:p w:rsidR="00164726" w:rsidRPr="0066059B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400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внедрению ПО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200</w:t>
            </w:r>
          </w:p>
        </w:tc>
      </w:tr>
    </w:tbl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1.2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164726" w:rsidRDefault="00164726" w:rsidP="00164726">
      <w:pPr>
        <w:pStyle w:val="2"/>
      </w:pPr>
      <w:bookmarkStart w:id="8" w:name="_Toc322893642"/>
      <w:bookmarkStart w:id="9" w:name="_Toc359344426"/>
      <w:r>
        <w:lastRenderedPageBreak/>
        <w:t>Расчёт затрат на разработку продукта</w:t>
      </w:r>
      <w:bookmarkEnd w:id="8"/>
      <w:bookmarkEnd w:id="9"/>
    </w:p>
    <w:p w:rsidR="00164726" w:rsidRPr="007662B2" w:rsidRDefault="00164726" w:rsidP="00164726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 работ по проекту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8A07F5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  <w:highlight w:val="yellow"/>
        </w:rPr>
      </w:pPr>
      <w:r w:rsidRPr="008A07F5">
        <w:rPr>
          <w:rFonts w:eastAsia="Times New Roman"/>
          <w:szCs w:val="24"/>
          <w:highlight w:val="yellow"/>
        </w:rPr>
        <w:t xml:space="preserve">дополнительная заработная плата </w:t>
      </w:r>
      <w:proofErr w:type="spellStart"/>
      <w:r w:rsidRPr="008A07F5">
        <w:rPr>
          <w:rFonts w:eastAsia="Times New Roman"/>
          <w:i/>
          <w:szCs w:val="24"/>
          <w:highlight w:val="yellow"/>
        </w:rPr>
        <w:t>ЗП</w:t>
      </w:r>
      <w:r w:rsidRPr="008A07F5">
        <w:rPr>
          <w:rFonts w:eastAsia="Times New Roman"/>
          <w:i/>
          <w:szCs w:val="24"/>
          <w:highlight w:val="yellow"/>
          <w:vertAlign w:val="subscript"/>
        </w:rPr>
        <w:t>доп</w:t>
      </w:r>
      <w:proofErr w:type="spellEnd"/>
      <w:r w:rsidRPr="008A07F5">
        <w:rPr>
          <w:rFonts w:eastAsia="Times New Roman"/>
          <w:szCs w:val="24"/>
          <w:highlight w:val="yellow"/>
        </w:rPr>
        <w:t>;</w:t>
      </w:r>
    </w:p>
    <w:p w:rsidR="00164726" w:rsidRPr="008A07F5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  <w:highlight w:val="yellow"/>
        </w:rPr>
      </w:pPr>
      <w:r w:rsidRPr="008A07F5">
        <w:rPr>
          <w:rFonts w:eastAsia="Times New Roman"/>
          <w:szCs w:val="24"/>
          <w:highlight w:val="yellow"/>
        </w:rPr>
        <w:t>заработная плата обслуживающего и административного персонала;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 w:rsidRPr="009E5292">
        <w:rPr>
          <w:rFonts w:eastAsia="Times New Roman"/>
          <w:szCs w:val="24"/>
        </w:rPr>
        <w:t>.</w:t>
      </w:r>
    </w:p>
    <w:p w:rsidR="00164726" w:rsidRPr="007662B2" w:rsidRDefault="00164726" w:rsidP="00164726">
      <w:pPr>
        <w:pStyle w:val="3"/>
        <w:tabs>
          <w:tab w:val="left" w:pos="709"/>
        </w:tabs>
      </w:pPr>
      <w:bookmarkStart w:id="10" w:name="_Toc322893643"/>
      <w:bookmarkStart w:id="11" w:name="_Toc359344427"/>
      <w:r>
        <w:t>Расчёт заработной платы исполнителей работ по созданию программного продукта</w:t>
      </w:r>
      <w:bookmarkEnd w:id="10"/>
      <w:bookmarkEnd w:id="11"/>
    </w:p>
    <w:p w:rsidR="00164726" w:rsidRDefault="00164726" w:rsidP="00164726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164726" w:rsidRPr="00597F0A" w:rsidTr="00B9601F">
        <w:trPr>
          <w:jc w:val="center"/>
        </w:trPr>
        <w:tc>
          <w:tcPr>
            <w:tcW w:w="8647" w:type="dxa"/>
            <w:shd w:val="clear" w:color="auto" w:fill="auto"/>
          </w:tcPr>
          <w:p w:rsidR="00164726" w:rsidRPr="00CF1FD3" w:rsidRDefault="00A445A7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026619" w:rsidRDefault="00164726" w:rsidP="00B9601F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164726" w:rsidRPr="00597F0A" w:rsidRDefault="00164726" w:rsidP="00B9601F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Default="00164726" w:rsidP="00164726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общие трудозатраты (</w:t>
      </w:r>
      <w:r>
        <w:rPr>
          <w:i/>
        </w:rPr>
        <w:t>чел.-ч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>
        <w:t xml:space="preserve">=0. 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(М), суммарные трудозатраты членов, а также рассчитанная по формуле 1.1 основная заработная плата проектной команды приведены в табл. 1.3.</w:t>
      </w:r>
    </w:p>
    <w:p w:rsidR="00164726" w:rsidRDefault="00164726" w:rsidP="0016472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>Таблица 1.3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05"/>
        <w:gridCol w:w="3761"/>
        <w:gridCol w:w="1480"/>
        <w:gridCol w:w="1825"/>
        <w:gridCol w:w="1751"/>
      </w:tblGrid>
      <w:tr w:rsidR="00164726" w:rsidRPr="00B70B40" w:rsidTr="00B9601F">
        <w:trPr>
          <w:trHeight w:val="834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6" w:type="pct"/>
            <w:vAlign w:val="center"/>
          </w:tcPr>
          <w:p w:rsidR="00164726" w:rsidRDefault="00A445A7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164726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432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128 571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216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51 429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C1238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536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121 619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vAlign w:val="center"/>
          </w:tcPr>
          <w:p w:rsidR="00164726" w:rsidRPr="0066059B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66 667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71 429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11 905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внедрению ПО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35 714</w:t>
            </w:r>
          </w:p>
        </w:tc>
      </w:tr>
    </w:tbl>
    <w:p w:rsidR="00164726" w:rsidRPr="00C12383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widowControl w:val="0"/>
        <w:ind w:firstLine="708"/>
      </w:pPr>
      <w:r>
        <w:t>Суммарное значение основной заработной платы проектной команды на период реализации проекта составит 493 333 (руб.).</w:t>
      </w:r>
    </w:p>
    <w:p w:rsidR="00164726" w:rsidRPr="008A07F5" w:rsidRDefault="00164726" w:rsidP="00164726">
      <w:pPr>
        <w:rPr>
          <w:highlight w:val="yellow"/>
        </w:rPr>
      </w:pPr>
      <w:r w:rsidRPr="008A07F5">
        <w:rPr>
          <w:highlight w:val="yellow"/>
        </w:rPr>
        <w:t>Дополнительная заработная плата берется в размере 15% от основной.</w:t>
      </w:r>
    </w:p>
    <w:p w:rsidR="00164726" w:rsidRDefault="00164726" w:rsidP="00164726">
      <w:pPr>
        <w:ind w:firstLine="0"/>
        <w:jc w:val="center"/>
        <w:rPr>
          <w:position w:val="-14"/>
        </w:rPr>
      </w:pPr>
      <w:proofErr w:type="spellStart"/>
      <w:r w:rsidRPr="008A07F5">
        <w:rPr>
          <w:position w:val="-14"/>
          <w:highlight w:val="yellow"/>
        </w:rPr>
        <w:t>ЗП</w:t>
      </w:r>
      <w:r w:rsidRPr="008A07F5">
        <w:rPr>
          <w:position w:val="-14"/>
          <w:highlight w:val="yellow"/>
          <w:vertAlign w:val="subscript"/>
        </w:rPr>
        <w:t>доп</w:t>
      </w:r>
      <w:proofErr w:type="spellEnd"/>
      <w:r w:rsidRPr="008A07F5">
        <w:rPr>
          <w:position w:val="-14"/>
          <w:highlight w:val="yellow"/>
        </w:rPr>
        <w:t>=74 000 (руб.).</w:t>
      </w:r>
    </w:p>
    <w:p w:rsidR="00164726" w:rsidRDefault="00164726" w:rsidP="00164726">
      <w:pPr>
        <w:widowControl w:val="0"/>
        <w:ind w:firstLine="708"/>
      </w:pPr>
      <w:r>
        <w:t>Общая заработная плата составит 567 333 (руб.).</w:t>
      </w:r>
    </w:p>
    <w:p w:rsidR="00164726" w:rsidRPr="00B95FF2" w:rsidRDefault="00164726" w:rsidP="00164726">
      <w:pPr>
        <w:widowControl w:val="0"/>
        <w:ind w:firstLine="708"/>
      </w:pPr>
      <w:r w:rsidRPr="008A07F5">
        <w:rPr>
          <w:highlight w:val="yellow"/>
        </w:rPr>
        <w:t>Проект реализуется в небольшой ИТ-компании, где доля вспомогательного и административного персонала по отношению к основному персоналу не велика. Большая часть административного персонала задействована в проектной деятельности в качестве руководителей проекта. Кадровый учет, бухгалтерский и налоговый учет в Компании отдан на аутсорсинг. Затраты на аутсорсинг войдут в прочие расходы. В связи с этим примем заработную плату обслуживающего персонала равной 0 руб.</w:t>
      </w:r>
    </w:p>
    <w:p w:rsidR="00164726" w:rsidRPr="00162554" w:rsidRDefault="00164726" w:rsidP="00164726">
      <w:pPr>
        <w:pStyle w:val="3"/>
        <w:tabs>
          <w:tab w:val="left" w:pos="709"/>
        </w:tabs>
        <w:ind w:left="0" w:firstLine="0"/>
      </w:pPr>
      <w:bookmarkStart w:id="12" w:name="_Toc322893644"/>
      <w:bookmarkStart w:id="13" w:name="_Toc359344428"/>
      <w:r>
        <w:t xml:space="preserve">Расчёт </w:t>
      </w:r>
      <w:bookmarkEnd w:id="12"/>
      <w:bookmarkEnd w:id="13"/>
      <w:r>
        <w:t>отчислений на социальные нужды (страховые взносы)</w:t>
      </w:r>
    </w:p>
    <w:p w:rsidR="00164726" w:rsidRDefault="00164726" w:rsidP="00164726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201</w:t>
      </w:r>
      <w:r>
        <w:rPr>
          <w:rFonts w:eastAsia="Times New Roman"/>
        </w:rPr>
        <w:t>3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568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>Структура отчислений на социальные нужды (страховые взносы) приведена в табл. 1.4.</w:t>
      </w:r>
      <w:r>
        <w:rPr>
          <w:b/>
          <w:i/>
        </w:rPr>
        <w:br w:type="page"/>
      </w:r>
    </w:p>
    <w:p w:rsidR="00164726" w:rsidRPr="00AB0B20" w:rsidRDefault="00164726" w:rsidP="00164726">
      <w:pPr>
        <w:pStyle w:val="a8"/>
        <w:rPr>
          <w:b/>
          <w:i w:val="0"/>
        </w:rPr>
      </w:pPr>
      <w:r w:rsidRPr="00AB0B20">
        <w:rPr>
          <w:b/>
          <w:i w:val="0"/>
        </w:rPr>
        <w:lastRenderedPageBreak/>
        <w:t>Таблица 1.4</w:t>
      </w:r>
    </w:p>
    <w:p w:rsidR="00164726" w:rsidRPr="00710B33" w:rsidRDefault="00164726" w:rsidP="00164726">
      <w:pPr>
        <w:pStyle w:val="a9"/>
      </w:pPr>
      <w:r w:rsidRPr="00710B33">
        <w:t xml:space="preserve">Структура </w:t>
      </w:r>
      <w:r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5"/>
        <w:gridCol w:w="1895"/>
      </w:tblGrid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164726" w:rsidRDefault="00164726" w:rsidP="00164726">
      <w:pPr>
        <w:widowControl w:val="0"/>
        <w:ind w:firstLine="0"/>
      </w:pPr>
    </w:p>
    <w:p w:rsidR="00164726" w:rsidRPr="00E43FBE" w:rsidRDefault="00164726" w:rsidP="00164726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>
        <w:t xml:space="preserve"> 79 427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164726" w:rsidRDefault="00164726" w:rsidP="00164726">
      <w:pPr>
        <w:pStyle w:val="3"/>
        <w:tabs>
          <w:tab w:val="left" w:pos="709"/>
        </w:tabs>
        <w:ind w:left="0" w:firstLine="0"/>
      </w:pPr>
      <w:bookmarkStart w:id="14" w:name="_Toc322893645"/>
      <w:bookmarkStart w:id="15" w:name="_Toc359344429"/>
      <w:r w:rsidRPr="00AB0B20">
        <w:t>Арендные платежи за производственные (офисные) помещения</w:t>
      </w:r>
      <w:bookmarkEnd w:id="14"/>
      <w:bookmarkEnd w:id="15"/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 по разработке и внедрению ПО для автоматизации внутри складской логистики, арендует офисные помещения в г. Брянск.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700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>/м</w:t>
      </w:r>
      <w:r w:rsidRPr="002C39BA">
        <w:rPr>
          <w:rFonts w:eastAsia="Times New Roman"/>
          <w:vertAlign w:val="superscript"/>
        </w:rPr>
        <w:t>2</w:t>
      </w:r>
      <w:r w:rsidRPr="002C39BA">
        <w:rPr>
          <w:rFonts w:eastAsia="Times New Roman"/>
        </w:rPr>
        <w:t xml:space="preserve"> </w:t>
      </w:r>
      <w:r>
        <w:rPr>
          <w:rFonts w:eastAsia="Times New Roman"/>
        </w:rPr>
        <w:t>в месяц.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proofErr w:type="gramStart"/>
      <w:r>
        <w:rPr>
          <w:rFonts w:eastAsia="Times New Roman"/>
        </w:rPr>
        <w:t>занимаемых  Компанией</w:t>
      </w:r>
      <w:proofErr w:type="gramEnd"/>
      <w:r>
        <w:rPr>
          <w:rFonts w:eastAsia="Times New Roman"/>
        </w:rPr>
        <w:t xml:space="preserve"> помещений, так и электроэнергии, отопления, водоснабжения, кондиционирования и уборки помещений, вывоза и утилизации технико-бытовых отходов, парковочных мест на автостоянке.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Pr="008A07F5">
        <w:rPr>
          <w:rFonts w:eastAsia="Times New Roman"/>
          <w:highlight w:val="yellow"/>
        </w:rPr>
        <w:t>4,5 м</w:t>
      </w:r>
      <w:r w:rsidRPr="008A07F5">
        <w:rPr>
          <w:rFonts w:eastAsia="Times New Roman"/>
          <w:highlight w:val="yellow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Pr="009E5292">
        <w:rPr>
          <w:rFonts w:eastAsia="Times New Roman"/>
          <w:i/>
        </w:rPr>
        <w:t>А</w:t>
      </w:r>
      <w:r w:rsidRPr="009E5292">
        <w:rPr>
          <w:rFonts w:eastAsia="Times New Roman"/>
          <w:i/>
          <w:vertAlign w:val="subscript"/>
        </w:rPr>
        <w:t>пм</w:t>
      </w:r>
      <w:proofErr w:type="spellEnd"/>
      <w:r>
        <w:rPr>
          <w:rFonts w:eastAsia="Times New Roman"/>
        </w:rPr>
        <w:t xml:space="preserve"> = 147 000 (руб.).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задействованы следующие основные средства:</w:t>
      </w:r>
    </w:p>
    <w:p w:rsidR="00164726" w:rsidRDefault="00164726" w:rsidP="001647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6 персональных компьютеров в сборе первоначальной стоимостью 20 000 (руб.) каждый.</w:t>
      </w:r>
    </w:p>
    <w:p w:rsidR="00164726" w:rsidRPr="00B304C6" w:rsidRDefault="00164726" w:rsidP="001647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1 ноутбук первоначальной стоимостью 40 000 (руб.).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164726" w:rsidRDefault="0016472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20 000 / 36 = 555,56 (руб.).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164726" w:rsidRDefault="0016472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40 000 / 36 = 1 111,11 (руб.).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ОС, относящиеся на проект составят:</w:t>
      </w:r>
    </w:p>
    <w:p w:rsidR="00164726" w:rsidRDefault="00A445A7" w:rsidP="00164726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6∙5∙555,56+1111,11∙5=22222,22</m:t>
        </m:r>
      </m:oMath>
      <w:r w:rsidR="00164726">
        <w:rPr>
          <w:i/>
        </w:rPr>
        <w:t xml:space="preserve"> (руб.).</w:t>
      </w:r>
    </w:p>
    <w:p w:rsidR="00164726" w:rsidRDefault="00164726" w:rsidP="00164726">
      <w:pPr>
        <w:contextualSpacing/>
        <w:rPr>
          <w:rFonts w:eastAsia="Times New Roman"/>
        </w:rPr>
      </w:pPr>
      <w:r w:rsidRPr="008A5A95">
        <w:rPr>
          <w:rFonts w:eastAsia="Times New Roman"/>
        </w:rPr>
        <w:t>Ранее</w:t>
      </w:r>
      <w:r>
        <w:rPr>
          <w:rFonts w:eastAsia="Times New Roman"/>
        </w:rPr>
        <w:t xml:space="preserve"> (до начала проекта)</w:t>
      </w:r>
      <w:r w:rsidRPr="008A5A95">
        <w:rPr>
          <w:rFonts w:eastAsia="Times New Roman"/>
        </w:rPr>
        <w:t xml:space="preserve"> Компанией были приобретены:</w:t>
      </w:r>
    </w:p>
    <w:p w:rsidR="00164726" w:rsidRDefault="00164726" w:rsidP="00164726">
      <w:pPr>
        <w:pStyle w:val="a4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1</w:t>
      </w:r>
      <w:proofErr w:type="gramStart"/>
      <w:r>
        <w:rPr>
          <w:rFonts w:eastAsia="Times New Roman"/>
        </w:rPr>
        <w:t>С:Управление</w:t>
      </w:r>
      <w:proofErr w:type="gramEnd"/>
      <w:r>
        <w:rPr>
          <w:rFonts w:eastAsia="Times New Roman"/>
        </w:rPr>
        <w:t xml:space="preserve"> торговлей 8 стоимостью 14 600 (руб.).</w:t>
      </w:r>
    </w:p>
    <w:p w:rsidR="00164726" w:rsidRDefault="00164726" w:rsidP="00164726">
      <w:pPr>
        <w:pStyle w:val="a4"/>
        <w:numPr>
          <w:ilvl w:val="0"/>
          <w:numId w:val="4"/>
        </w:numPr>
        <w:rPr>
          <w:rFonts w:eastAsia="Times New Roman"/>
        </w:rPr>
      </w:pPr>
      <w:r w:rsidRPr="008A5A95">
        <w:rPr>
          <w:rFonts w:eastAsia="Times New Roman"/>
        </w:rPr>
        <w:t>1</w:t>
      </w:r>
      <w:proofErr w:type="gramStart"/>
      <w:r w:rsidRPr="008A5A95">
        <w:rPr>
          <w:rFonts w:eastAsia="Times New Roman"/>
        </w:rPr>
        <w:t>С:Предприятие</w:t>
      </w:r>
      <w:proofErr w:type="gramEnd"/>
      <w:r w:rsidRPr="008A5A95">
        <w:rPr>
          <w:rFonts w:eastAsia="Times New Roman"/>
        </w:rPr>
        <w:t xml:space="preserve"> 8. Клиентская лицензия на 5 рабочих мест</w:t>
      </w:r>
      <w:r>
        <w:rPr>
          <w:rFonts w:eastAsia="Times New Roman"/>
        </w:rPr>
        <w:t xml:space="preserve"> стоимостью 23 400 (руб.).</w:t>
      </w:r>
    </w:p>
    <w:p w:rsidR="00164726" w:rsidRDefault="00164726" w:rsidP="00164726">
      <w:pPr>
        <w:pStyle w:val="a4"/>
        <w:numPr>
          <w:ilvl w:val="0"/>
          <w:numId w:val="4"/>
        </w:numPr>
        <w:rPr>
          <w:rFonts w:eastAsia="Times New Roman"/>
        </w:rPr>
      </w:pPr>
      <w:r w:rsidRPr="008A5A95">
        <w:rPr>
          <w:rFonts w:eastAsia="Times New Roman"/>
        </w:rPr>
        <w:t>1</w:t>
      </w:r>
      <w:proofErr w:type="gramStart"/>
      <w:r w:rsidRPr="008A5A95">
        <w:rPr>
          <w:rFonts w:eastAsia="Times New Roman"/>
        </w:rPr>
        <w:t>С:Предприятие</w:t>
      </w:r>
      <w:proofErr w:type="gramEnd"/>
      <w:r w:rsidRPr="008A5A95">
        <w:rPr>
          <w:rFonts w:eastAsia="Times New Roman"/>
        </w:rPr>
        <w:t xml:space="preserve"> 8.3. Лицензия на сервер</w:t>
      </w:r>
      <w:r>
        <w:rPr>
          <w:rFonts w:eastAsia="Times New Roman"/>
        </w:rPr>
        <w:t xml:space="preserve"> стоимостью 42 000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Данное ПО принимается Компанией к учету как расходы будущих периодов со сроком списания 3 года. Метод списания – линейный.</w:t>
      </w:r>
    </w:p>
    <w:p w:rsidR="00164726" w:rsidRPr="000A02DA" w:rsidRDefault="00164726" w:rsidP="00164726">
      <w:pPr>
        <w:rPr>
          <w:rFonts w:eastAsia="Times New Roman"/>
        </w:rPr>
      </w:pPr>
      <w:r>
        <w:rPr>
          <w:rFonts w:eastAsia="Times New Roman"/>
        </w:rPr>
        <w:t xml:space="preserve">В качестве ОС используется свободно распространяемое ПО </w:t>
      </w:r>
      <w:r>
        <w:rPr>
          <w:rFonts w:eastAsia="Times New Roman"/>
          <w:lang w:val="en-US"/>
        </w:rPr>
        <w:t>Linux</w:t>
      </w:r>
      <w:r>
        <w:rPr>
          <w:rFonts w:eastAsia="Times New Roman"/>
        </w:rPr>
        <w:t xml:space="preserve">. В качестве сервера БД используется свободно распространяемое ПО – </w:t>
      </w:r>
      <w:r>
        <w:rPr>
          <w:rFonts w:eastAsia="Times New Roman"/>
          <w:lang w:val="en-US"/>
        </w:rPr>
        <w:t>P</w:t>
      </w:r>
      <w:proofErr w:type="spellStart"/>
      <w:r w:rsidRPr="000A02DA">
        <w:rPr>
          <w:rFonts w:eastAsia="Times New Roman"/>
        </w:rPr>
        <w:t>ostgre</w:t>
      </w:r>
      <w:proofErr w:type="spellEnd"/>
      <w:r>
        <w:rPr>
          <w:rFonts w:eastAsia="Times New Roman"/>
          <w:lang w:val="en-US"/>
        </w:rPr>
        <w:t>SQL</w:t>
      </w:r>
      <w:r>
        <w:rPr>
          <w:rFonts w:eastAsia="Times New Roman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164726" w:rsidRDefault="00A445A7" w:rsidP="00164726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80000∙5/36=11111,11</m:t>
        </m:r>
      </m:oMath>
      <w:r w:rsidR="00164726">
        <w:rPr>
          <w:i/>
        </w:rPr>
        <w:t xml:space="preserve">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А=33333,33 руб.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не планируется приобретение новых и модернизация существующих основных средств.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lastRenderedPageBreak/>
        <w:t>Расходы на интернет и связь</w:t>
      </w:r>
    </w:p>
    <w:p w:rsidR="00164726" w:rsidRPr="00D60DA1" w:rsidRDefault="00164726" w:rsidP="00164726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164726" w:rsidRPr="0048268B" w:rsidRDefault="00164726" w:rsidP="00164726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 3 500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Прочие расходы</w:t>
      </w:r>
    </w:p>
    <w:p w:rsidR="00164726" w:rsidRPr="002C54D5" w:rsidRDefault="00164726" w:rsidP="00164726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164726" w:rsidRPr="00597F0A" w:rsidTr="00B9601F">
        <w:tc>
          <w:tcPr>
            <w:tcW w:w="8539" w:type="dxa"/>
            <w:shd w:val="clear" w:color="auto" w:fill="auto"/>
          </w:tcPr>
          <w:p w:rsidR="00164726" w:rsidRPr="009E5292" w:rsidRDefault="00A445A7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597F0A" w:rsidRDefault="00164726" w:rsidP="00B9601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Pr="00803A87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 xml:space="preserve">= </w:t>
      </w:r>
      <w:r>
        <w:rPr>
          <w:rFonts w:eastAsia="Times New Roman"/>
        </w:rPr>
        <w:t>223 870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164726" w:rsidRDefault="00164726" w:rsidP="00164726">
      <w:pPr>
        <w:pStyle w:val="3"/>
      </w:pPr>
      <w:bookmarkStart w:id="16" w:name="_Toc322893646"/>
      <w:bookmarkStart w:id="17" w:name="_Toc359344430"/>
      <w:r>
        <w:t>Расчёт себестоимости программного продукта</w:t>
      </w:r>
      <w:bookmarkEnd w:id="16"/>
      <w:bookmarkEnd w:id="17"/>
    </w:p>
    <w:p w:rsidR="00164726" w:rsidRPr="00803A87" w:rsidRDefault="00164726" w:rsidP="00164726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>
        <w:rPr>
          <w:rFonts w:eastAsia="Times New Roman"/>
        </w:rPr>
        <w:t xml:space="preserve">: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  <w:i/>
          <w:szCs w:val="24"/>
          <w:vertAlign w:val="subscript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>
        <w:rPr>
          <w:rFonts w:eastAsia="Times New Roman"/>
          <w:szCs w:val="24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>= 970 103,33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164726" w:rsidRPr="00F41E0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>рис. 1.4</w:t>
      </w:r>
      <w:r w:rsidRPr="00F41E06">
        <w:rPr>
          <w:rFonts w:eastAsia="Times New Roman"/>
        </w:rPr>
        <w:t>.</w:t>
      </w:r>
    </w:p>
    <w:p w:rsidR="00164726" w:rsidRPr="00990DF1" w:rsidRDefault="00164726" w:rsidP="00164726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t>Таблица 1.</w:t>
      </w:r>
      <w:bookmarkEnd w:id="18"/>
      <w:r w:rsidRPr="00990DF1">
        <w:rPr>
          <w:rFonts w:eastAsia="Times New Roman"/>
          <w:b/>
        </w:rPr>
        <w:t>5</w:t>
      </w:r>
    </w:p>
    <w:p w:rsidR="00164726" w:rsidRPr="00F41E06" w:rsidRDefault="00164726" w:rsidP="00164726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4915"/>
        <w:gridCol w:w="1739"/>
        <w:gridCol w:w="2188"/>
      </w:tblGrid>
      <w:tr w:rsidR="00164726" w:rsidRPr="00F41E06" w:rsidTr="00B9601F">
        <w:trPr>
          <w:jc w:val="center"/>
        </w:trPr>
        <w:tc>
          <w:tcPr>
            <w:tcW w:w="633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493 333</w:t>
            </w:r>
          </w:p>
        </w:tc>
        <w:tc>
          <w:tcPr>
            <w:tcW w:w="2240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45,69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8A07F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040" w:type="dxa"/>
          </w:tcPr>
          <w:p w:rsidR="00164726" w:rsidRPr="008A07F5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164726" w:rsidRPr="008A07F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74 000</w:t>
            </w:r>
          </w:p>
        </w:tc>
        <w:tc>
          <w:tcPr>
            <w:tcW w:w="2240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6,85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 w:rsidRPr="00154087">
              <w:rPr>
                <w:rFonts w:eastAsia="Times New Roman"/>
                <w:sz w:val="24"/>
                <w:szCs w:val="24"/>
              </w:rPr>
              <w:t xml:space="preserve">9 </w:t>
            </w:r>
            <w:r>
              <w:rPr>
                <w:rFonts w:eastAsia="Times New Roman"/>
                <w:sz w:val="24"/>
                <w:szCs w:val="24"/>
              </w:rPr>
              <w:t>42</w:t>
            </w:r>
            <w:r w:rsidRPr="0015408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240" w:type="dxa"/>
            <w:vAlign w:val="center"/>
          </w:tcPr>
          <w:p w:rsidR="00164726" w:rsidRPr="000340E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7,36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147 000</w:t>
            </w:r>
          </w:p>
        </w:tc>
        <w:tc>
          <w:tcPr>
            <w:tcW w:w="2240" w:type="dxa"/>
            <w:vAlign w:val="center"/>
          </w:tcPr>
          <w:p w:rsidR="00164726" w:rsidRPr="000340E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13,61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vAlign w:val="center"/>
          </w:tcPr>
          <w:p w:rsidR="00164726" w:rsidRPr="00B105A9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33 333,33</w:t>
            </w:r>
          </w:p>
        </w:tc>
        <w:tc>
          <w:tcPr>
            <w:tcW w:w="2240" w:type="dxa"/>
            <w:vAlign w:val="center"/>
          </w:tcPr>
          <w:p w:rsidR="00164726" w:rsidRPr="0015408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3,09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vAlign w:val="center"/>
          </w:tcPr>
          <w:p w:rsidR="00164726" w:rsidRPr="00B105A9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64726" w:rsidRPr="0015408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vAlign w:val="center"/>
          </w:tcPr>
          <w:p w:rsidR="00164726" w:rsidRPr="00B105A9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64726" w:rsidRPr="006711C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64726" w:rsidRPr="00193CB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3 500</w:t>
            </w:r>
          </w:p>
        </w:tc>
        <w:tc>
          <w:tcPr>
            <w:tcW w:w="2240" w:type="dxa"/>
            <w:vAlign w:val="center"/>
          </w:tcPr>
          <w:p w:rsidR="00164726" w:rsidRPr="00193CB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0,32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245 845</w:t>
            </w:r>
          </w:p>
        </w:tc>
        <w:tc>
          <w:tcPr>
            <w:tcW w:w="2240" w:type="dxa"/>
            <w:vAlign w:val="center"/>
          </w:tcPr>
          <w:p w:rsidR="00164726" w:rsidRPr="000340E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23,08</w:t>
            </w:r>
          </w:p>
        </w:tc>
      </w:tr>
      <w:tr w:rsidR="00164726" w:rsidRPr="00F41E06" w:rsidTr="00B9601F">
        <w:trPr>
          <w:jc w:val="center"/>
        </w:trPr>
        <w:tc>
          <w:tcPr>
            <w:tcW w:w="5673" w:type="dxa"/>
            <w:gridSpan w:val="2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1 079 771</w:t>
            </w:r>
          </w:p>
        </w:tc>
        <w:tc>
          <w:tcPr>
            <w:tcW w:w="2240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164726" w:rsidRPr="00955DA0" w:rsidRDefault="00164726" w:rsidP="00164726"/>
    <w:p w:rsidR="00164726" w:rsidRDefault="00164726" w:rsidP="001647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80E4FC" wp14:editId="4DDD72E2">
            <wp:extent cx="5638801" cy="4257676"/>
            <wp:effectExtent l="0" t="0" r="1905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64726" w:rsidRPr="00D0163F" w:rsidRDefault="00164726" w:rsidP="00164726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p w:rsidR="006871CE" w:rsidRDefault="006871CE"/>
    <w:sectPr w:rsidR="006871CE" w:rsidSect="00B9601F">
      <w:headerReference w:type="default" r:id="rId11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D21" w:rsidRDefault="00D52D21">
      <w:pPr>
        <w:spacing w:line="240" w:lineRule="auto"/>
      </w:pPr>
      <w:r>
        <w:separator/>
      </w:r>
    </w:p>
  </w:endnote>
  <w:endnote w:type="continuationSeparator" w:id="0">
    <w:p w:rsidR="00D52D21" w:rsidRDefault="00D52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D21" w:rsidRDefault="00D52D21">
      <w:pPr>
        <w:spacing w:line="240" w:lineRule="auto"/>
      </w:pPr>
      <w:r>
        <w:separator/>
      </w:r>
    </w:p>
  </w:footnote>
  <w:footnote w:type="continuationSeparator" w:id="0">
    <w:p w:rsidR="00D52D21" w:rsidRDefault="00D52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A445A7" w:rsidRPr="0071314C" w:rsidRDefault="00A445A7" w:rsidP="00B9601F">
        <w:pPr>
          <w:pStyle w:val="a6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A02C62">
          <w:rPr>
            <w:noProof/>
            <w:sz w:val="24"/>
            <w:szCs w:val="24"/>
          </w:rPr>
          <w:t>12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F427D2"/>
    <w:multiLevelType w:val="hybridMultilevel"/>
    <w:tmpl w:val="B6EC2A6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E"/>
    <w:rsid w:val="00164726"/>
    <w:rsid w:val="003B7302"/>
    <w:rsid w:val="006871CE"/>
    <w:rsid w:val="0071393E"/>
    <w:rsid w:val="0083041C"/>
    <w:rsid w:val="00884CEC"/>
    <w:rsid w:val="008D1902"/>
    <w:rsid w:val="009A4CA0"/>
    <w:rsid w:val="00A02C62"/>
    <w:rsid w:val="00A445A7"/>
    <w:rsid w:val="00A4752C"/>
    <w:rsid w:val="00B6368D"/>
    <w:rsid w:val="00B9601F"/>
    <w:rsid w:val="00D52D21"/>
    <w:rsid w:val="00E5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FE26"/>
  <w15:chartTrackingRefBased/>
  <w15:docId w15:val="{6170A3C0-34E0-4526-8BAC-63B9F26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4726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64726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4726"/>
    <w:pPr>
      <w:keepNext/>
      <w:keepLines/>
      <w:numPr>
        <w:ilvl w:val="1"/>
        <w:numId w:val="1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64726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4726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47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64726"/>
    <w:rPr>
      <w:rFonts w:ascii="Times New Roman" w:eastAsiaTheme="majorEastAsia" w:hAnsi="Times New Roman" w:cstheme="majorBidi"/>
      <w:b/>
      <w:bCs/>
      <w:i/>
      <w:sz w:val="28"/>
    </w:rPr>
  </w:style>
  <w:style w:type="paragraph" w:styleId="a4">
    <w:name w:val="List Paragraph"/>
    <w:basedOn w:val="a0"/>
    <w:link w:val="a5"/>
    <w:uiPriority w:val="99"/>
    <w:qFormat/>
    <w:rsid w:val="00164726"/>
    <w:pPr>
      <w:ind w:left="720"/>
      <w:contextualSpacing/>
    </w:pPr>
    <w:rPr>
      <w:rFonts w:eastAsiaTheme="minorHAnsi"/>
    </w:rPr>
  </w:style>
  <w:style w:type="character" w:customStyle="1" w:styleId="a5">
    <w:name w:val="Абзац списка Знак"/>
    <w:basedOn w:val="a1"/>
    <w:link w:val="a4"/>
    <w:uiPriority w:val="99"/>
    <w:rsid w:val="0016472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1647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4726"/>
    <w:rPr>
      <w:rFonts w:ascii="Times New Roman" w:eastAsia="Calibri" w:hAnsi="Times New Roman"/>
      <w:sz w:val="28"/>
    </w:rPr>
  </w:style>
  <w:style w:type="numbering" w:customStyle="1" w:styleId="a">
    <w:name w:val="Нумерация заголовков"/>
    <w:uiPriority w:val="99"/>
    <w:rsid w:val="00164726"/>
    <w:pPr>
      <w:numPr>
        <w:numId w:val="1"/>
      </w:numPr>
    </w:pPr>
  </w:style>
  <w:style w:type="paragraph" w:customStyle="1" w:styleId="a8">
    <w:name w:val="Номер таблицы"/>
    <w:basedOn w:val="a0"/>
    <w:qFormat/>
    <w:rsid w:val="00164726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9">
    <w:name w:val="Название таблицы"/>
    <w:basedOn w:val="a8"/>
    <w:qFormat/>
    <w:rsid w:val="00164726"/>
    <w:pPr>
      <w:jc w:val="center"/>
    </w:pPr>
    <w:rPr>
      <w:b/>
    </w:rPr>
  </w:style>
  <w:style w:type="paragraph" w:styleId="aa">
    <w:name w:val="footer"/>
    <w:basedOn w:val="a0"/>
    <w:link w:val="ab"/>
    <w:uiPriority w:val="99"/>
    <w:unhideWhenUsed/>
    <w:rsid w:val="008D19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1902"/>
    <w:rPr>
      <w:rFonts w:ascii="Times New Roman" w:eastAsia="Calibr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tarev\Desktop\&#1089;&#1081;&#1091;&#1094;&#1089;&#1091;&#1081;&#10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multiLvlStrRef>
              <c:f>Лист1!$B$25:$E$31</c:f>
              <c:multiLvlStrCache>
                <c:ptCount val="7"/>
                <c:lvl>
                  <c:pt idx="0">
                    <c:v>45,69%</c:v>
                  </c:pt>
                  <c:pt idx="1">
                    <c:v>6,85%</c:v>
                  </c:pt>
                  <c:pt idx="2">
                    <c:v>7,36%</c:v>
                  </c:pt>
                  <c:pt idx="3">
                    <c:v>13,61%</c:v>
                  </c:pt>
                  <c:pt idx="4">
                    <c:v>3,09%</c:v>
                  </c:pt>
                  <c:pt idx="5">
                    <c:v>0,32%</c:v>
                  </c:pt>
                  <c:pt idx="6">
                    <c:v>23,08%</c:v>
                  </c:pt>
                </c:lvl>
                <c:lvl>
                  <c:pt idx="0">
                    <c:v>, </c:v>
                  </c:pt>
                  <c:pt idx="1">
                    <c:v>,</c:v>
                  </c:pt>
                  <c:pt idx="2">
                    <c:v>, </c:v>
                  </c:pt>
                  <c:pt idx="3">
                    <c:v>, </c:v>
                  </c:pt>
                  <c:pt idx="4">
                    <c:v>, </c:v>
                  </c:pt>
                  <c:pt idx="5">
                    <c:v>, </c:v>
                  </c:pt>
                  <c:pt idx="6">
                    <c:v>, </c:v>
                  </c:pt>
                </c:lvl>
                <c:lvl>
                  <c:pt idx="0">
                    <c:v> 493 333,00р. </c:v>
                  </c:pt>
                  <c:pt idx="1">
                    <c:v> 74 000,00р. </c:v>
                  </c:pt>
                  <c:pt idx="2">
                    <c:v> 79 427,00р. </c:v>
                  </c:pt>
                  <c:pt idx="3">
                    <c:v> 147 000,00р. </c:v>
                  </c:pt>
                  <c:pt idx="4">
                    <c:v> 33 333,33р. </c:v>
                  </c:pt>
                  <c:pt idx="5">
                    <c:v> 3 500,00р. </c:v>
                  </c:pt>
                  <c:pt idx="6">
                    <c:v> 249 178,00р. </c:v>
                  </c:pt>
                </c:lvl>
                <c:lvl>
                  <c:pt idx="0">
                    <c:v>Основная заработная плата</c:v>
                  </c:pt>
                  <c:pt idx="1">
                    <c:v>Дополнительная заработная плата</c:v>
                  </c:pt>
                  <c:pt idx="2">
                    <c:v>Отчисления на социальные нужды</c:v>
                  </c:pt>
                  <c:pt idx="3">
                    <c:v>Арендные платежи</c:v>
                  </c:pt>
                  <c:pt idx="4">
                    <c:v>Амортизация ОС и списание РБП</c:v>
                  </c:pt>
                  <c:pt idx="5">
                    <c:v>Расходные материалы</c:v>
                  </c:pt>
                  <c:pt idx="6">
                    <c:v>Прочие расходы</c:v>
                  </c:pt>
                </c:lvl>
              </c:multiLvlStrCache>
            </c:multiLvlStrRef>
          </c:cat>
          <c:val>
            <c:numRef>
              <c:f>Лист1!$C$25:$C$31</c:f>
              <c:numCache>
                <c:formatCode>_("р."* #,##0.00_);_("р."* \(#,##0.00\);_("р."* "-"??_);_(@_)</c:formatCode>
                <c:ptCount val="7"/>
                <c:pt idx="0">
                  <c:v>493333</c:v>
                </c:pt>
                <c:pt idx="1">
                  <c:v>74000</c:v>
                </c:pt>
                <c:pt idx="2">
                  <c:v>79427</c:v>
                </c:pt>
                <c:pt idx="3">
                  <c:v>147000</c:v>
                </c:pt>
                <c:pt idx="4">
                  <c:v>33333.33</c:v>
                </c:pt>
                <c:pt idx="5">
                  <c:v>3500</c:v>
                </c:pt>
                <c:pt idx="6">
                  <c:v>249178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52-4AED-93A9-78EFE3E9D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8</cp:revision>
  <dcterms:created xsi:type="dcterms:W3CDTF">2021-03-14T23:00:00Z</dcterms:created>
  <dcterms:modified xsi:type="dcterms:W3CDTF">2021-03-15T14:05:00Z</dcterms:modified>
</cp:coreProperties>
</file>