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60" w:before="0"/>
        <w:jc w:val="center"/>
      </w:pPr>
      <w:r>
        <w:rPr>
          <w:rFonts w:ascii="Arial" w:cs="Arial" w:eastAsia="Arial" w:hAnsi="Arial"/>
          <w:b/>
          <w:bCs/>
          <w:color w:val="1F3864"/>
          <w:sz w:val="26"/>
          <w:szCs w:val="26"/>
        </w:rPr>
        <w:t xml:space="preserve">UNIVERSIDADE FEDERAL DE SERGIPE</w:t>
      </w:r>
    </w:p>
    <w:p>
      <w:pPr>
        <w:spacing w:after="60" w:before="0"/>
        <w:jc w:val="center"/>
      </w:pPr>
      <w:r>
        <w:rPr>
          <w:rFonts w:ascii="Arial" w:cs="Arial" w:eastAsia="Arial" w:hAnsi="Arial"/>
          <w:color w:val="595959"/>
          <w:sz w:val="22"/>
          <w:szCs w:val="22"/>
        </w:rPr>
        <w:t xml:space="preserve">Departamento de Computação  —  COMP0503 Engenharia de Software</w:t>
      </w:r>
    </w:p>
    <w:p>
      <w:pPr>
        <w:spacing w:after="0" w:before="500"/>
      </w:pPr>
      <w:r>
        <w:t xml:space="preserve"/>
      </w:r>
    </w:p>
    <w:p>
      <w:pPr>
        <w:spacing w:after="60" w:before="0"/>
        <w:jc w:val="center"/>
      </w:pPr>
      <w:r>
        <w:rPr>
          <w:rFonts w:ascii="Arial" w:cs="Arial" w:eastAsia="Arial" w:hAnsi="Arial"/>
          <w:color w:val="2E75B6"/>
          <w:sz w:val="144"/>
          <w:szCs w:val="144"/>
        </w:rPr>
        <w:t xml:space="preserve">✈</w:t>
      </w:r>
    </w:p>
    <w:p>
      <w:pPr>
        <w:spacing w:after="40" w:before="0"/>
        <w:jc w:val="center"/>
      </w:pPr>
      <w:r>
        <w:rPr>
          <w:rFonts w:ascii="Arial" w:cs="Arial" w:eastAsia="Arial" w:hAnsi="Arial"/>
          <w:b/>
          <w:bCs/>
          <w:color w:val="1F3864"/>
          <w:sz w:val="80"/>
          <w:szCs w:val="80"/>
        </w:rPr>
        <w:t xml:space="preserve">SkyPass</w:t>
      </w:r>
    </w:p>
    <w:p>
      <w:pPr>
        <w:spacing w:after="400" w:before="0"/>
        <w:jc w:val="center"/>
      </w:pPr>
      <w:r>
        <w:rPr>
          <w:rFonts w:ascii="Arial" w:cs="Arial" w:eastAsia="Arial" w:hAnsi="Arial"/>
          <w:color w:val="2E75B6"/>
          <w:sz w:val="32"/>
          <w:szCs w:val="32"/>
        </w:rPr>
        <w:t xml:space="preserve">Sistema de Venda de Passagens Aéreas</w:t>
      </w:r>
    </w:p>
    <w:p>
      <w:pPr>
        <w:spacing w:after="80" w:before="0"/>
        <w:jc w:val="center"/>
      </w:pPr>
      <w:r>
        <w:rPr>
          <w:rFonts w:ascii="Arial" w:cs="Arial" w:eastAsia="Arial" w:hAnsi="Arial"/>
          <w:b/>
          <w:bCs/>
          <w:color w:val="595959"/>
          <w:sz w:val="30"/>
          <w:szCs w:val="30"/>
        </w:rPr>
        <w:t xml:space="preserve">Descrição de Arquitetura de Software</w:t>
      </w:r>
    </w:p>
    <w:p>
      <w:pPr>
        <w:spacing w:after="300" w:before="0"/>
        <w:jc w:val="center"/>
      </w:pPr>
      <w:r>
        <w:rPr>
          <w:rFonts w:ascii="Arial" w:cs="Arial" w:eastAsia="Arial" w:hAnsi="Arial"/>
          <w:color w:val="595959"/>
          <w:sz w:val="24"/>
          <w:szCs w:val="24"/>
        </w:rPr>
        <w:t xml:space="preserve">Conforme ISO/IEC/IEEE 42010:2011  —  Parte P3</w:t>
      </w:r>
    </w:p>
    <w:p>
      <w:pPr>
        <w:spacing w:after="40" w:before="40"/>
        <w:jc w:val="center"/>
      </w:pPr>
      <w:r>
        <w:rPr>
          <w:rFonts w:ascii="Arial" w:cs="Arial" w:eastAsia="Arial" w:hAnsi="Arial"/>
          <w:color w:val="595959"/>
          <w:sz w:val="22"/>
          <w:szCs w:val="22"/>
        </w:rPr>
        <w:t xml:space="preserve">Discentes: [Nome dos integrantes do grupo]</w:t>
      </w:r>
    </w:p>
    <w:p>
      <w:pPr>
        <w:spacing w:after="40" w:before="40"/>
        <w:jc w:val="center"/>
      </w:pPr>
      <w:r>
        <w:rPr>
          <w:rFonts w:ascii="Arial" w:cs="Arial" w:eastAsia="Arial" w:hAnsi="Arial"/>
          <w:color w:val="595959"/>
          <w:sz w:val="22"/>
          <w:szCs w:val="22"/>
        </w:rPr>
        <w:t xml:space="preserve">Docente: Prof. Dr. Michel dos Santos Soares</w:t>
      </w:r>
    </w:p>
    <w:p>
      <w:pPr>
        <w:spacing w:after="40" w:before="40"/>
        <w:jc w:val="center"/>
      </w:pPr>
      <w:r>
        <w:rPr>
          <w:rFonts w:ascii="Arial" w:cs="Arial" w:eastAsia="Arial" w:hAnsi="Arial"/>
          <w:color w:val="595959"/>
          <w:sz w:val="22"/>
          <w:szCs w:val="22"/>
        </w:rPr>
        <w:t xml:space="preserve">Junho de 2026</w:t>
      </w:r>
    </w:p>
    <w:p>
      <w:pPr>
        <w:spacing w:after="40" w:before="40"/>
        <w:jc w:val="center"/>
      </w:pPr>
      <w:r>
        <w:rPr>
          <w:rFonts w:ascii="Arial" w:cs="Arial" w:eastAsia="Arial" w:hAnsi="Arial"/>
          <w:color w:val="595959"/>
          <w:sz w:val="22"/>
          <w:szCs w:val="22"/>
        </w:rPr>
        <w:t xml:space="preserve">Versão: 1.0  —  Status: Rascunho para entrega P3</w:t>
      </w:r>
    </w:p>
    <w:p>
      <w:pPr>
        <w:pageBreakBefore/>
      </w:pPr>
    </w:p>
    <w:p>
      <w:pPr>
        <w:pStyle w:val="Heading1"/>
        <w:pBdr>
          <w:bottom w:val="single" w:color="2E75B6" w:sz="8" w:space="4"/>
        </w:pBdr>
        <w:spacing w:after="180" w:before="520"/>
      </w:pPr>
      <w:r>
        <w:rPr>
          <w:rFonts w:ascii="Arial" w:cs="Arial" w:eastAsia="Arial" w:hAnsi="Arial"/>
          <w:b/>
          <w:bCs/>
          <w:color w:val="1F3864"/>
          <w:sz w:val="36"/>
          <w:szCs w:val="36"/>
        </w:rPr>
        <w:t xml:space="preserve">1  Identificação e Visão Geral da Arquitetura</w:t>
      </w:r>
    </w:p>
    <w:p>
      <w:pPr>
        <w:spacing w:after="80" w:before="80"/>
        <w:jc w:val="both"/>
      </w:pPr>
      <w:r>
        <w:rPr>
          <w:rFonts w:ascii="Arial" w:cs="Arial" w:eastAsia="Arial" w:hAnsi="Arial"/>
          <w:b w:val="false"/>
          <w:bCs w:val="false"/>
          <w:i w:val="false"/>
          <w:iCs w:val="false"/>
          <w:color w:val="000000"/>
          <w:sz w:val="22"/>
          <w:szCs w:val="22"/>
        </w:rPr>
        <w:t xml:space="preserve">Conforme a seção 5.2 da norma ISO/IEC/IEEE 42010:2011, este capítulo identifica o sistema de interesse e fornece as informações suplementares necessárias para contextualizar esta Descrição de Arquitetura (AD — Architecture Description).</w:t>
      </w:r>
    </w:p>
    <w:p>
      <w:pPr>
        <w:spacing w:after="0" w:before="8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200"/>
        <w:gridCol w:w="5692"/>
      </w:tblGrid>
      <w:tr>
        <w:trPr>
          <w:tblHeader/>
        </w:trPr>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Campo</w:t>
            </w:r>
          </w:p>
        </w:tc>
        <w:tc>
          <w:tcPr>
            <w:tcW w:type="dxa" w:w="56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Conteúdo</w:t>
            </w:r>
          </w:p>
        </w:tc>
      </w:tr>
      <w:tr>
        <w:tc>
          <w:tcPr>
            <w:tcW w:type="dxa" w:w="2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Sistema de Interesse</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SkyPass — Sistema Web de Venda de Passagens Aéreas</w:t>
            </w:r>
          </w:p>
        </w:tc>
      </w:tr>
      <w:tr>
        <w:tc>
          <w:tcPr>
            <w:tcW w:type="dxa" w:w="2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Identificador do Documento</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SkyPass-AD-v1.0</w:t>
            </w:r>
          </w:p>
        </w:tc>
      </w:tr>
      <w:tr>
        <w:tc>
          <w:tcPr>
            <w:tcW w:type="dxa" w:w="2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Versão / Status</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 Rascunho para entrega P3 (23/06/2026)</w:t>
            </w:r>
          </w:p>
        </w:tc>
      </w:tr>
      <w:tr>
        <w:tc>
          <w:tcPr>
            <w:tcW w:type="dxa" w:w="2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Autores</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Equipe SkyPass — [Nomes dos integrantes]</w:t>
            </w:r>
          </w:p>
        </w:tc>
      </w:tr>
      <w:tr>
        <w:tc>
          <w:tcPr>
            <w:tcW w:type="dxa" w:w="2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Revisor / Aprovação</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Prof. Dr. Michel dos Santos Soares — UFS</w:t>
            </w:r>
          </w:p>
        </w:tc>
      </w:tr>
      <w:tr>
        <w:tc>
          <w:tcPr>
            <w:tcW w:type="dxa" w:w="2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Organização</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Universidade Federal de Sergipe — Departamento de Computação</w:t>
            </w:r>
          </w:p>
        </w:tc>
      </w:tr>
      <w:tr>
        <w:tc>
          <w:tcPr>
            <w:tcW w:type="dxa" w:w="2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Contexto</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Projeto acadêmico da disciplina COMP0503 — Engenharia de Software, 2026.1</w:t>
            </w:r>
          </w:p>
        </w:tc>
      </w:tr>
      <w:tr>
        <w:tc>
          <w:tcPr>
            <w:tcW w:type="dxa" w:w="2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Escopo</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Arquitetura do sistema SkyPass, cobrindo os módulos M1–M7, as decisões de design, os viewpoints definidos e as views produzidas para a entrega P3.</w:t>
            </w:r>
          </w:p>
        </w:tc>
      </w:tr>
      <w:tr>
        <w:tc>
          <w:tcPr>
            <w:tcW w:type="dxa" w:w="2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Documentos relacionados</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SkyPass_Requisitos_IEEE830_P2.docx (SRS); [2] SkyPass_Casos_de_Uso_P2.docx; [3] SkyPass_Classes_e_MOR_P2.docx; [4] SkyPass_Plano_de_Projeto_P1.docx</w:t>
            </w:r>
          </w:p>
        </w:tc>
      </w:tr>
      <w:tr>
        <w:tc>
          <w:tcPr>
            <w:tcW w:type="dxa" w:w="2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Histórico de mudanças</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v1.0 (06/2026): versão inicial para P3.</w:t>
            </w:r>
          </w:p>
        </w:tc>
      </w:tr>
      <w:tr>
        <w:tc>
          <w:tcPr>
            <w:tcW w:type="dxa" w:w="2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Resultados de avaliação</w:t>
            </w:r>
          </w:p>
        </w:tc>
        <w:tc>
          <w:tcPr>
            <w:tcW w:type="dxa" w:w="5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Nenhuma avaliação formal da arquitetura foi realizada até esta versão. Avaliação informal via inspeção da equipe: nenhuma inconsistência crítica identificada.</w:t>
            </w:r>
          </w:p>
        </w:tc>
      </w:tr>
    </w:tbl>
    <w:p>
      <w:pPr>
        <w:pStyle w:val="Heading2"/>
        <w:spacing w:after="120" w:before="320"/>
      </w:pPr>
      <w:r>
        <w:rPr>
          <w:rFonts w:ascii="Arial" w:cs="Arial" w:eastAsia="Arial" w:hAnsi="Arial"/>
          <w:b/>
          <w:bCs/>
          <w:color w:val="2E75B6"/>
          <w:sz w:val="28"/>
          <w:szCs w:val="28"/>
        </w:rPr>
        <w:t xml:space="preserve">1.1  Visão Geral do Sistema</w:t>
      </w:r>
    </w:p>
    <w:p>
      <w:pPr>
        <w:spacing w:after="80" w:before="80"/>
        <w:jc w:val="both"/>
      </w:pPr>
      <w:r>
        <w:rPr>
          <w:rFonts w:ascii="Arial" w:cs="Arial" w:eastAsia="Arial" w:hAnsi="Arial"/>
          <w:b w:val="false"/>
          <w:bCs w:val="false"/>
          <w:i w:val="false"/>
          <w:iCs w:val="false"/>
          <w:color w:val="000000"/>
          <w:sz w:val="22"/>
          <w:szCs w:val="22"/>
        </w:rPr>
        <w:t xml:space="preserve">O SkyPass é um sistema web de venda de passagens aéreas que cobre o ciclo completo de jornada do passageiro — da busca e reserva de voos ao check-in online e emissão de cartão de embarque digital. O sistema é desenvolvido com Java 17 + Spring Boot 3 no backend, PostgreSQL 16 como banco de dados relacional e frontend HTML5/CSS3/JavaScript, servido por API REST documentada com Swagger/OpenAPI.</w:t>
      </w:r>
    </w:p>
    <w:p>
      <w:pPr>
        <w:spacing w:after="80" w:before="80"/>
        <w:jc w:val="both"/>
      </w:pPr>
      <w:r>
        <w:rPr>
          <w:rFonts w:ascii="Arial" w:cs="Arial" w:eastAsia="Arial" w:hAnsi="Arial"/>
          <w:b w:val="false"/>
          <w:bCs w:val="false"/>
          <w:i w:val="false"/>
          <w:iCs w:val="false"/>
          <w:color w:val="000000"/>
          <w:sz w:val="22"/>
          <w:szCs w:val="22"/>
        </w:rPr>
        <w:t xml:space="preserve">A arquitetura do SkyPass é baseada em três camadas (MVC), com separação clara entre apresentação, lógica de negócio e persistência de dados. O sistema integra-se com dois sistemas externos: um gateway de pagamento (simulado no MVP acadêmico) e um serviço de e-mail (SMTP/SendGrid). O ambiente de execução acadêmico utiliza Railway para o backend e Supabase para o banco de dados PostgreSQL em nuvem.</w:t>
      </w:r>
    </w:p>
    <w:p>
      <w:pPr>
        <w:pStyle w:val="Heading2"/>
        <w:spacing w:after="120" w:before="320"/>
      </w:pPr>
      <w:r>
        <w:rPr>
          <w:rFonts w:ascii="Arial" w:cs="Arial" w:eastAsia="Arial" w:hAnsi="Arial"/>
          <w:b/>
          <w:bCs/>
          <w:color w:val="2E75B6"/>
          <w:sz w:val="28"/>
          <w:szCs w:val="28"/>
        </w:rPr>
        <w:t xml:space="preserve">1.2  Abreviações e Acrônimos</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1600"/>
        <w:gridCol w:w="6292"/>
      </w:tblGrid>
      <w:tr>
        <w:trPr>
          <w:tblHeader/>
        </w:trPr>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Sigla / Termo</w:t>
            </w:r>
          </w:p>
        </w:tc>
        <w:tc>
          <w:tcPr>
            <w:tcW w:type="dxa" w:w="62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Definição</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Architecture Description — Descrição de Arquitetura</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Architecture Viewpoint — Ponto de Vista de Arquitetura</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Architecture View — Vista de Arquitetura</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AD-XX</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Architecture Decision — Decisão de Arquitetura</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CR-XX</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Correspondence Rule — Regra de Correspondência</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M-XX</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Architecture Model — Modelo de Arquitetura</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MVC</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Model-View-Controller — padrão arquitetural de separação de camadas</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JWT</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JSON Web Token — padrão de autenticação stateless</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JPA</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Jakarta Persistence API — especificação de ORM para Java</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MOR</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Mapeamento Objeto-Relacional</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CI/CD</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Continuous Integration / Continuous Delivery</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SRS</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Software Requirements Specification (documento P2)</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Requisito Funcional (SRS, Seção 3.1)</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RNF</w:t>
            </w:r>
          </w:p>
        </w:tc>
        <w:tc>
          <w:tcPr>
            <w:tcW w:type="dxa" w:w="62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Requisito Não Funcional (SRS, Seção 3.2)</w:t>
            </w:r>
          </w:p>
        </w:tc>
      </w:tr>
    </w:tbl>
    <w:p>
      <w:pPr>
        <w:pStyle w:val="Heading1"/>
        <w:pBdr>
          <w:bottom w:val="single" w:color="2E75B6" w:sz="8" w:space="4"/>
        </w:pBdr>
        <w:spacing w:after="180" w:before="520"/>
      </w:pPr>
      <w:r>
        <w:rPr>
          <w:rFonts w:ascii="Arial" w:cs="Arial" w:eastAsia="Arial" w:hAnsi="Arial"/>
          <w:b/>
          <w:bCs/>
          <w:color w:val="1F3864"/>
          <w:sz w:val="36"/>
          <w:szCs w:val="36"/>
        </w:rPr>
        <w:t xml:space="preserve">2  Stakeholders e Concerns</w:t>
      </w:r>
    </w:p>
    <w:p>
      <w:pPr>
        <w:spacing w:after="80" w:before="80"/>
        <w:jc w:val="both"/>
      </w:pPr>
      <w:r>
        <w:rPr>
          <w:rFonts w:ascii="Arial" w:cs="Arial" w:eastAsia="Arial" w:hAnsi="Arial"/>
          <w:b w:val="false"/>
          <w:bCs w:val="false"/>
          <w:i w:val="false"/>
          <w:iCs w:val="false"/>
          <w:color w:val="000000"/>
          <w:sz w:val="22"/>
          <w:szCs w:val="22"/>
        </w:rPr>
        <w:t xml:space="preserve">Conforme a seção 5.3 da norma ISO/IEC/IEEE 42010:2011, esta seção identifica os stakeholders do sistema cujos interesses são arquiteturalmente significativos, e os concerns (interesses) que cada um deles tem em relação à arquitetura do SkyPass.</w:t>
      </w:r>
    </w:p>
    <w:p>
      <w:pPr>
        <w:pStyle w:val="Heading2"/>
        <w:spacing w:after="120" w:before="320"/>
      </w:pPr>
      <w:r>
        <w:rPr>
          <w:rFonts w:ascii="Arial" w:cs="Arial" w:eastAsia="Arial" w:hAnsi="Arial"/>
          <w:b/>
          <w:bCs/>
          <w:color w:val="2E75B6"/>
          <w:sz w:val="28"/>
          <w:szCs w:val="28"/>
        </w:rPr>
        <w:t xml:space="preserve">2.1  Identificação dos Stakeholders</w:t>
      </w:r>
    </w:p>
    <w:p>
      <w:pPr>
        <w:spacing w:after="80" w:before="80"/>
        <w:jc w:val="both"/>
      </w:pPr>
      <w:r>
        <w:rPr>
          <w:rFonts w:ascii="Arial" w:cs="Arial" w:eastAsia="Arial" w:hAnsi="Arial"/>
          <w:b w:val="false"/>
          <w:bCs w:val="false"/>
          <w:i w:val="false"/>
          <w:iCs w:val="false"/>
          <w:color w:val="000000"/>
          <w:sz w:val="22"/>
          <w:szCs w:val="22"/>
        </w:rPr>
        <w:t xml:space="preserve">A norma ISO/IEC/IEEE 42010:2011 §5.3 requer que os seguintes tipos de stakeholders sejam considerados: usuários, operadores, adquirentes, proprietários, fornecedores, desenvolvedores, construtores e mantenedores. A tabela abaixo identifica cada stakeholder aplicável ao SkyPass.</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692"/>
      </w:tblGrid>
      <w:tr>
        <w:trPr>
          <w:tblHeader/>
        </w:trP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Stakeholder</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Tipo (ISO 42010 §5.3)</w:t>
            </w:r>
          </w:p>
        </w:tc>
        <w:tc>
          <w:tcPr>
            <w:tcW w:type="dxa" w:w="36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Descrição</w:t>
            </w:r>
          </w:p>
        </w:tc>
      </w:tr>
      <w:tr>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Passageiro</w:t>
            </w:r>
          </w:p>
        </w:tc>
        <w:tc>
          <w:tcPr>
            <w:tcW w:type="dxa" w:w="24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Usuário (user)</w:t>
            </w:r>
          </w:p>
        </w:tc>
        <w:tc>
          <w:tcPr>
            <w:tcW w:type="dxa" w:w="36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Pessoa física que utiliza o sistema para buscar, reservar, pagar e fazer check-in em voos. Interação via interface web do SkyPass.</w:t>
            </w:r>
          </w:p>
        </w:tc>
      </w:tr>
      <w:tr>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Administrador</w:t>
            </w:r>
          </w:p>
        </w:tc>
        <w:tc>
          <w:tcPr>
            <w:tcW w:type="dxa" w:w="24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Operador (operator)</w:t>
            </w:r>
          </w:p>
        </w:tc>
        <w:tc>
          <w:tcPr>
            <w:tcW w:type="dxa" w:w="3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Funcionário da companhia aérea que gerencia voos, tarifas, relatórios e notificações operacionais via painel administrativo.</w:t>
            </w:r>
          </w:p>
        </w:tc>
      </w:tr>
      <w:tr>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Companhia Aérea Contratante</w:t>
            </w:r>
          </w:p>
        </w:tc>
        <w:tc>
          <w:tcPr>
            <w:tcW w:type="dxa" w:w="24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Adquirente / Proprietário (acquirer / owner)</w:t>
            </w:r>
          </w:p>
        </w:tc>
        <w:tc>
          <w:tcPr>
            <w:tcW w:type="dxa" w:w="36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Organização que adquire o SkyPass e o opera. Define os requisitos de negócio e é responsável pela implantação em produção.</w:t>
            </w:r>
          </w:p>
        </w:tc>
      </w:tr>
      <w:tr>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Equipe de Desenvolvimento</w:t>
            </w:r>
          </w:p>
        </w:tc>
        <w:tc>
          <w:tcPr>
            <w:tcW w:type="dxa" w:w="24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Fornecedor / Construtor (supplier / builder)</w:t>
            </w:r>
          </w:p>
        </w:tc>
        <w:tc>
          <w:tcPr>
            <w:tcW w:type="dxa" w:w="3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Os 7 alunos responsáveis pelo projeto, design, codificação, testes e entrega do sistema.</w:t>
            </w:r>
          </w:p>
        </w:tc>
      </w:tr>
      <w:tr>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Professor (Dr. Michel Soares)</w:t>
            </w:r>
          </w:p>
        </w:tc>
        <w:tc>
          <w:tcPr>
            <w:tcW w:type="dxa" w:w="24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Adquirente / Avaliador</w:t>
            </w:r>
          </w:p>
        </w:tc>
        <w:tc>
          <w:tcPr>
            <w:tcW w:type="dxa" w:w="36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Avalia a conformidade técnica e acadêmica do sistema. Define os requisitos e padrões que a arquitetura deve satisfazer.</w:t>
            </w:r>
          </w:p>
        </w:tc>
      </w:tr>
      <w:tr>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Sistema de Pagamento</w:t>
            </w:r>
          </w:p>
        </w:tc>
        <w:tc>
          <w:tcPr>
            <w:tcW w:type="dxa" w:w="24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Sistema externo (fornecedor de serviço)</w:t>
            </w:r>
          </w:p>
        </w:tc>
        <w:tc>
          <w:tcPr>
            <w:tcW w:type="dxa" w:w="3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Gateway de pagamento responsável por processar transações financeiras. Simulado no MVP; Stripe/PagSeguro em produção.</w:t>
            </w:r>
          </w:p>
        </w:tc>
      </w:tr>
      <w:tr>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Sistema de E-mail (SMTP)</w:t>
            </w:r>
          </w:p>
        </w:tc>
        <w:tc>
          <w:tcPr>
            <w:tcW w:type="dxa" w:w="24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Sistema externo (fornecedor de serviço)</w:t>
            </w:r>
          </w:p>
        </w:tc>
        <w:tc>
          <w:tcPr>
            <w:tcW w:type="dxa" w:w="36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Serviço de envio de e-mails transacionais (confirmações, bilhetes, notificações). SendGrid ou SMTP nativo.</w:t>
            </w:r>
          </w:p>
        </w:tc>
      </w:tr>
      <w:tr>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Equipe de Manutenção (futura)</w:t>
            </w:r>
          </w:p>
        </w:tc>
        <w:tc>
          <w:tcPr>
            <w:tcW w:type="dxa" w:w="24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Mantenedor (maintainer)</w:t>
            </w:r>
          </w:p>
        </w:tc>
        <w:tc>
          <w:tcPr>
            <w:tcW w:type="dxa" w:w="36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Profissionais que realizarão manutenção evolutiva e corretiva após a entrega. A arquitetura deve facilitar a compreensão e modificação do sistema.</w:t>
            </w:r>
          </w:p>
        </w:tc>
      </w:tr>
    </w:tbl>
    <w:p>
      <w:pPr>
        <w:pStyle w:val="Heading2"/>
        <w:spacing w:after="120" w:before="320"/>
      </w:pPr>
      <w:r>
        <w:rPr>
          <w:rFonts w:ascii="Arial" w:cs="Arial" w:eastAsia="Arial" w:hAnsi="Arial"/>
          <w:b/>
          <w:bCs/>
          <w:color w:val="2E75B6"/>
          <w:sz w:val="28"/>
          <w:szCs w:val="28"/>
        </w:rPr>
        <w:t xml:space="preserve">2.2  Concerns Arquiteturalmente Significativos</w:t>
      </w:r>
    </w:p>
    <w:p>
      <w:pPr>
        <w:spacing w:after="80" w:before="80"/>
        <w:jc w:val="both"/>
      </w:pPr>
      <w:r>
        <w:rPr>
          <w:rFonts w:ascii="Arial" w:cs="Arial" w:eastAsia="Arial" w:hAnsi="Arial"/>
          <w:b w:val="false"/>
          <w:bCs w:val="false"/>
          <w:i w:val="false"/>
          <w:iCs w:val="false"/>
          <w:color w:val="000000"/>
          <w:sz w:val="22"/>
          <w:szCs w:val="22"/>
        </w:rPr>
        <w:t xml:space="preserve">Conforme ISO/IEC/IEEE 42010:2011 §5.3, os concerns a seguir foram identificados como fundamentais para a arquitetura do SkyPass. A norma exige que ao menos os seguintes concerns sejam considerados: propósito do sistema, adequação da arquitetura, viabilidade de construção, riscos e manutenibilidade/evolucionabilidade.</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4992"/>
      </w:tblGrid>
      <w:tr>
        <w:trPr>
          <w:tblHeader/>
        </w:trPr>
        <w:tc>
          <w:tcPr>
            <w:tcW w:type="dxa" w:w="13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ID</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Concern</w:t>
            </w:r>
          </w:p>
        </w:tc>
        <w:tc>
          <w:tcPr>
            <w:tcW w:type="dxa" w:w="49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Descrição e Stakeholders Associados</w:t>
            </w:r>
          </w:p>
        </w:tc>
      </w:tr>
      <w:tr>
        <w:tc>
          <w:tcPr>
            <w:tcW w:type="dxa" w:w="13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C-01</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Propósito do sistema</w:t>
            </w:r>
          </w:p>
        </w:tc>
        <w:tc>
          <w:tcPr>
            <w:tcW w:type="dxa" w:w="4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 SkyPass deve cobrir o ciclo completo de jornada do passageiro (busca → reserva → pagamento → check-in). Stakeholders: Passageiro, Administrador, Companhia Aérea.</w:t>
            </w:r>
          </w:p>
        </w:tc>
      </w:tr>
      <w:tr>
        <w:tc>
          <w:tcPr>
            <w:tcW w:type="dxa" w:w="13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C-02</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Adequação da arquitetura</w:t>
            </w:r>
          </w:p>
        </w:tc>
        <w:tc>
          <w:tcPr>
            <w:tcW w:type="dxa" w:w="4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 arquitetura deve satisfazer os RF-01 a RF-25 e os RNF-01 a RNF-16 do SRS. Stakeholders: Equipe de Desenvolvimento, Professor.</w:t>
            </w:r>
          </w:p>
        </w:tc>
      </w:tr>
      <w:tr>
        <w:tc>
          <w:tcPr>
            <w:tcW w:type="dxa" w:w="13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C-03</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Viabilidade de construção</w:t>
            </w:r>
          </w:p>
        </w:tc>
        <w:tc>
          <w:tcPr>
            <w:tcW w:type="dxa" w:w="4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 sistema deve ser implementável por 7 alunos em 18 semanas, usando o stack Java 17 + Spring Boot 3 já dominado pela equipe. Stakeholders: Equipe de Desenvolvimento, Professor.</w:t>
            </w:r>
          </w:p>
        </w:tc>
      </w:tr>
      <w:tr>
        <w:tc>
          <w:tcPr>
            <w:tcW w:type="dxa" w:w="13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C-04</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Segurança e privacidade</w:t>
            </w:r>
          </w:p>
        </w:tc>
        <w:tc>
          <w:tcPr>
            <w:tcW w:type="dxa" w:w="4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Autenticação JWT, senhas com BCrypt, HTTPS obrigatório, conformidade com LGPD. Stakeholders: Passageiro, Companhia Aérea, Sistema de Pagamento.</w:t>
            </w:r>
          </w:p>
        </w:tc>
      </w:tr>
      <w:tr>
        <w:tc>
          <w:tcPr>
            <w:tcW w:type="dxa" w:w="13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C-05</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Desempenho e escalabilidade</w:t>
            </w:r>
          </w:p>
        </w:tc>
        <w:tc>
          <w:tcPr>
            <w:tcW w:type="dxa" w:w="4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Tempo de resposta ≤ 5 s em 90% das requisições; suporte a ≥ 100 usuários simultâneos; arquitetura stateless para escalabilidade horizontal. Stakeholders: Passageiro, Companhia Aérea.</w:t>
            </w:r>
          </w:p>
        </w:tc>
      </w:tr>
      <w:tr>
        <w:tc>
          <w:tcPr>
            <w:tcW w:type="dxa" w:w="13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C-06</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Integridade e consistência dos dados</w:t>
            </w:r>
          </w:p>
        </w:tc>
        <w:tc>
          <w:tcPr>
            <w:tcW w:type="dxa" w:w="4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Transações ACID no banco; bloqueio de assento por 15 min durante pagamento; exclusão lógica de registros. Stakeholders: Companhia Aérea, Passageiro.</w:t>
            </w:r>
          </w:p>
        </w:tc>
      </w:tr>
      <w:tr>
        <w:tc>
          <w:tcPr>
            <w:tcW w:type="dxa" w:w="13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C-07</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Manutenibilidade e evolucionabilidade</w:t>
            </w:r>
          </w:p>
        </w:tc>
        <w:tc>
          <w:tcPr>
            <w:tcW w:type="dxa" w:w="4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Cobertura de testes ≥ 70% nas classes de serviço; migrations versionadas via Flyway; endpoints documentados via Swagger; separação de camadas facilita evolução. Stakeholders: Equipe de Manutenção, Equipe de Desenvolvimento.</w:t>
            </w:r>
          </w:p>
        </w:tc>
      </w:tr>
      <w:tr>
        <w:tc>
          <w:tcPr>
            <w:tcW w:type="dxa" w:w="13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C-08</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Disponibilidade e recuperação</w:t>
            </w:r>
          </w:p>
        </w:tc>
        <w:tc>
          <w:tcPr>
            <w:tcW w:type="dxa" w:w="4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SLA ≥ 99% mensal; backup diário com RPO ≤ 24 h e RTO ≤ 4 h. Stakeholders: Companhia Aérea, Passageiro.</w:t>
            </w:r>
          </w:p>
        </w:tc>
      </w:tr>
      <w:tr>
        <w:tc>
          <w:tcPr>
            <w:tcW w:type="dxa" w:w="13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C-09</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Conformidade legal e regulatória</w:t>
            </w:r>
          </w:p>
        </w:tc>
        <w:tc>
          <w:tcPr>
            <w:tcW w:type="dxa" w:w="4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Observância da Resolução ANAC 400/2016, LGPD, formato IATA BCBP para cartões de embarque. Stakeholders: Companhia Aérea, Passageiro.</w:t>
            </w:r>
          </w:p>
        </w:tc>
      </w:tr>
      <w:tr>
        <w:tc>
          <w:tcPr>
            <w:tcW w:type="dxa" w:w="13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C-10</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Capacidade de teste e entrega</w:t>
            </w:r>
          </w:p>
        </w:tc>
        <w:tc>
          <w:tcPr>
            <w:tcW w:type="dxa" w:w="4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Sistema executável disponível para demonstração até 10/07/2026, com testes automatizados passando (mvn test). Stakeholders: Professor, Equipe de Desenvolvimento.</w:t>
            </w:r>
          </w:p>
        </w:tc>
      </w:tr>
    </w:tbl>
    <w:p>
      <w:pPr>
        <w:pStyle w:val="Heading2"/>
        <w:spacing w:after="120" w:before="320"/>
      </w:pPr>
      <w:r>
        <w:rPr>
          <w:rFonts w:ascii="Arial" w:cs="Arial" w:eastAsia="Arial" w:hAnsi="Arial"/>
          <w:b/>
          <w:bCs/>
          <w:color w:val="2E75B6"/>
          <w:sz w:val="28"/>
          <w:szCs w:val="28"/>
        </w:rPr>
        <w:t xml:space="preserve">2.3  Matriz de Stakeholders × Concerns</w:t>
      </w:r>
    </w:p>
    <w:p>
      <w:pPr>
        <w:spacing w:after="80" w:before="80"/>
        <w:jc w:val="both"/>
      </w:pPr>
      <w:r>
        <w:rPr>
          <w:rFonts w:ascii="Arial" w:cs="Arial" w:eastAsia="Arial" w:hAnsi="Arial"/>
          <w:b w:val="false"/>
          <w:bCs w:val="false"/>
          <w:i w:val="false"/>
          <w:iCs w:val="false"/>
          <w:color w:val="000000"/>
          <w:sz w:val="22"/>
          <w:szCs w:val="22"/>
        </w:rPr>
        <w:t xml:space="preserve">A tabela abaixo associa cada stakeholder identificado (§5.3) aos concerns que lhe são relevantes, conforme exigido pela norma ISO/IEC/IEEE 42010:2011.</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700"/>
        <w:gridCol w:w="700"/>
        <w:gridCol w:w="700"/>
        <w:gridCol w:w="700"/>
        <w:gridCol w:w="700"/>
        <w:gridCol w:w="700"/>
        <w:gridCol w:w="700"/>
        <w:gridCol w:w="700"/>
      </w:tblGrid>
      <w:tr>
        <w:trPr>
          <w:tblHeader/>
        </w:trPr>
        <w:tc>
          <w:tcPr>
            <w:tcW w:type="dxa" w:w="1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18"/>
                <w:szCs w:val="18"/>
              </w:rPr>
              <w:t xml:space="preserve">Stakeholder</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C-01</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C-02</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C-03</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C-04</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C-05</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C-06</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C-07</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C-08</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C-09</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C-10</w:t>
            </w:r>
          </w:p>
        </w:tc>
      </w:tr>
      <w:tr>
        <w:tc>
          <w:tcPr>
            <w:tcW w:type="dxa" w:w="1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18"/>
                <w:szCs w:val="18"/>
              </w:rPr>
              <w:t xml:space="preserve">Passageiro</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r>
      <w:tr>
        <w:tc>
          <w:tcPr>
            <w:tcW w:type="dxa" w:w="1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Administrador</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r>
      <w:tr>
        <w:tc>
          <w:tcPr>
            <w:tcW w:type="dxa" w:w="1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18"/>
                <w:szCs w:val="18"/>
              </w:rPr>
              <w:t xml:space="preserve">Companhia Aérea</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r>
      <w:tr>
        <w:tc>
          <w:tcPr>
            <w:tcW w:type="dxa" w:w="1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Equipe Desenvolvimento</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r>
      <w:tr>
        <w:tc>
          <w:tcPr>
            <w:tcW w:type="dxa" w:w="1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18"/>
                <w:szCs w:val="18"/>
              </w:rPr>
              <w:t xml:space="preserve">Professor</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r>
      <w:tr>
        <w:tc>
          <w:tcPr>
            <w:tcW w:type="dxa" w:w="1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Sistema de Pagamento</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r>
      <w:tr>
        <w:tc>
          <w:tcPr>
            <w:tcW w:type="dxa" w:w="1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18"/>
                <w:szCs w:val="18"/>
              </w:rPr>
              <w:t xml:space="preserve">Sistema de E-mail</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r>
      <w:tr>
        <w:tc>
          <w:tcPr>
            <w:tcW w:type="dxa" w:w="1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Equipe de Manutenção</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BBBBBB"/>
                <w:sz w:val="20"/>
                <w:szCs w:val="20"/>
              </w:rPr>
              <w:t xml:space="preserve"/>
            </w:r>
          </w:p>
        </w:tc>
      </w:tr>
    </w:tbl>
    <w:p>
      <w:pPr>
        <w:pStyle w:val="Heading1"/>
        <w:pBdr>
          <w:bottom w:val="single" w:color="2E75B6" w:sz="8" w:space="4"/>
        </w:pBdr>
        <w:spacing w:after="180" w:before="520"/>
      </w:pPr>
      <w:r>
        <w:rPr>
          <w:rFonts w:ascii="Arial" w:cs="Arial" w:eastAsia="Arial" w:hAnsi="Arial"/>
          <w:b/>
          <w:bCs/>
          <w:color w:val="1F3864"/>
          <w:sz w:val="36"/>
          <w:szCs w:val="36"/>
        </w:rPr>
        <w:t xml:space="preserve">3  Architecture Viewpoints</w:t>
      </w:r>
    </w:p>
    <w:p>
      <w:pPr>
        <w:spacing w:after="80" w:before="80"/>
        <w:jc w:val="both"/>
      </w:pPr>
      <w:r>
        <w:rPr>
          <w:rFonts w:ascii="Arial" w:cs="Arial" w:eastAsia="Arial" w:hAnsi="Arial"/>
          <w:b w:val="false"/>
          <w:bCs w:val="false"/>
          <w:i w:val="false"/>
          <w:iCs w:val="false"/>
          <w:color w:val="000000"/>
          <w:sz w:val="22"/>
          <w:szCs w:val="22"/>
        </w:rPr>
        <w:t xml:space="preserve">Conforme as seções 5.4 e 7 da norma ISO/IEC/IEEE 42010:2011, esta seção define os cinco Architecture Viewpoints utilizados nesta Descrição de Arquitetura. Cada viewpoint especifica: os concerns que enquadra, os stakeholders típicos, os model kinds utilizados, a linguagem/notação, os métodos de análise e as regras de correspondência. Todo concern identificado na Seção 2.2 é enquadrado por ao menos um viewpoint.</w:t>
      </w:r>
    </w:p>
    <w:p>
      <w:pPr>
        <w:spacing w:after="0" w:before="80"/>
      </w:pPr>
      <w:r>
        <w:t xml:space="preserve"/>
      </w:r>
    </w:p>
    <w:p>
      <w:pPr>
        <w:pStyle w:val="Heading2"/>
        <w:spacing w:after="120" w:before="320"/>
      </w:pPr>
      <w:r>
        <w:rPr>
          <w:rFonts w:ascii="Arial" w:cs="Arial" w:eastAsia="Arial" w:hAnsi="Arial"/>
          <w:b/>
          <w:bCs/>
          <w:color w:val="2E75B6"/>
          <w:sz w:val="28"/>
          <w:szCs w:val="28"/>
        </w:rPr>
        <w:t xml:space="preserve">3.1  VP-01 — Viewpoint de Contexto e Stakeholders</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1F5C5C" w:val="clear"/>
            <w:tcMar>
              <w:top w:type="dxa" w:w="100"/>
              <w:left w:type="dxa" w:w="180"/>
              <w:bottom w:type="dxa" w:w="100"/>
              <w:right w:type="dxa" w:w="180"/>
            </w:tcMar>
          </w:tcPr>
          <w:p>
            <w:r>
              <w:rPr>
                <w:rFonts w:ascii="Arial" w:cs="Arial" w:eastAsia="Arial" w:hAnsi="Arial"/>
                <w:b/>
                <w:bCs/>
                <w:color w:val="BDD7EE"/>
                <w:sz w:val="24"/>
                <w:szCs w:val="24"/>
              </w:rPr>
              <w:t xml:space="preserve">VP-01  —  </w:t>
            </w:r>
          </w:p>
          <w:p>
            <w:pPr>
              <w:spacing w:after="0" w:before="30"/>
            </w:pPr>
            <w:r>
              <w:rPr>
                <w:rFonts w:ascii="Arial" w:cs="Arial" w:eastAsia="Arial" w:hAnsi="Arial"/>
                <w:b/>
                <w:bCs/>
                <w:color w:val="FFFFFF"/>
                <w:sz w:val="28"/>
                <w:szCs w:val="28"/>
              </w:rPr>
              <w:t xml:space="preserve">Viewpoint de Contexto e Stakeholders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(VP-ID)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VP-01</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do Viewpoint</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Viewpoint de Contexto e Stakeholders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Fonte / Referência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ISO/IEC/IEEE 42010:2011, §5.3; Rozanski &amp; Woods (2005) — Functional Viewpoint</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endereçados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Propósito e escopo do sistema (o que o SkyPass faz e não faz);</w:t>
            </w:r>
          </w:p>
          <w:p>
            <w:pPr>
              <w:pStyle w:val="ListParagraph"/>
              <w:numPr>
                <w:ilvl w:val="0"/>
                <w:numId w:val="2"/>
              </w:numPr>
              <w:spacing w:after="40" w:before="40"/>
            </w:pPr>
            <w:r>
              <w:rPr>
                <w:rFonts w:ascii="Arial" w:cs="Arial" w:eastAsia="Arial" w:hAnsi="Arial"/>
                <w:sz w:val="20"/>
                <w:szCs w:val="20"/>
              </w:rPr>
              <w:t xml:space="preserve">Ambiente externo: sistemas com os quais o SkyPass se integra (gateway de pagamento, serviço de e-mail, navegadores web);</w:t>
            </w:r>
          </w:p>
          <w:p>
            <w:pPr>
              <w:pStyle w:val="ListParagraph"/>
              <w:numPr>
                <w:ilvl w:val="0"/>
                <w:numId w:val="2"/>
              </w:numPr>
              <w:spacing w:after="40" w:before="40"/>
            </w:pPr>
            <w:r>
              <w:rPr>
                <w:rFonts w:ascii="Arial" w:cs="Arial" w:eastAsia="Arial" w:hAnsi="Arial"/>
                <w:sz w:val="20"/>
                <w:szCs w:val="20"/>
              </w:rPr>
              <w:t xml:space="preserve">Atores e papéis que interagem com o sistema (passageiro, administrador, sistemas externos);</w:t>
            </w:r>
          </w:p>
          <w:p>
            <w:pPr>
              <w:pStyle w:val="ListParagraph"/>
              <w:numPr>
                <w:ilvl w:val="0"/>
                <w:numId w:val="2"/>
              </w:numPr>
              <w:spacing w:after="40" w:before="40"/>
            </w:pPr>
            <w:r>
              <w:rPr>
                <w:rFonts w:ascii="Arial" w:cs="Arial" w:eastAsia="Arial" w:hAnsi="Arial"/>
                <w:sz w:val="20"/>
                <w:szCs w:val="20"/>
              </w:rPr>
              <w:t xml:space="preserve">Viabilidade de construção e implantação do sistema no prazo acadêmico.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Stakeholders típicos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Passageiro: usuário final que reserva, paga e faz check-in;</w:t>
            </w:r>
          </w:p>
          <w:p>
            <w:pPr>
              <w:pStyle w:val="ListParagraph"/>
              <w:numPr>
                <w:ilvl w:val="0"/>
                <w:numId w:val="2"/>
              </w:numPr>
              <w:spacing w:after="40" w:before="40"/>
            </w:pPr>
            <w:r>
              <w:rPr>
                <w:rFonts w:ascii="Arial" w:cs="Arial" w:eastAsia="Arial" w:hAnsi="Arial"/>
                <w:sz w:val="20"/>
                <w:szCs w:val="20"/>
              </w:rPr>
              <w:t xml:space="preserve">Administrador: operador da companhia aérea que gerencia voos, tarifas e relatórios;</w:t>
            </w:r>
          </w:p>
          <w:p>
            <w:pPr>
              <w:pStyle w:val="ListParagraph"/>
              <w:numPr>
                <w:ilvl w:val="0"/>
                <w:numId w:val="2"/>
              </w:numPr>
              <w:spacing w:after="40" w:before="40"/>
            </w:pPr>
            <w:r>
              <w:rPr>
                <w:rFonts w:ascii="Arial" w:cs="Arial" w:eastAsia="Arial" w:hAnsi="Arial"/>
                <w:sz w:val="20"/>
                <w:szCs w:val="20"/>
              </w:rPr>
              <w:t xml:space="preserve">Equipe de desenvolvimento: todos os 7 membros da equipe;</w:t>
            </w:r>
          </w:p>
          <w:p>
            <w:pPr>
              <w:pStyle w:val="ListParagraph"/>
              <w:numPr>
                <w:ilvl w:val="0"/>
                <w:numId w:val="2"/>
              </w:numPr>
              <w:spacing w:after="40" w:before="40"/>
            </w:pPr>
            <w:r>
              <w:rPr>
                <w:rFonts w:ascii="Arial" w:cs="Arial" w:eastAsia="Arial" w:hAnsi="Arial"/>
                <w:sz w:val="20"/>
                <w:szCs w:val="20"/>
              </w:rPr>
              <w:t xml:space="preserve">Professor (avaliador): verifica conformidade com os requisitos da disciplina;</w:t>
            </w:r>
          </w:p>
          <w:p>
            <w:pPr>
              <w:pStyle w:val="ListParagraph"/>
              <w:numPr>
                <w:ilvl w:val="0"/>
                <w:numId w:val="2"/>
              </w:numPr>
              <w:spacing w:after="40" w:before="40"/>
            </w:pPr>
            <w:r>
              <w:rPr>
                <w:rFonts w:ascii="Arial" w:cs="Arial" w:eastAsia="Arial" w:hAnsi="Arial"/>
                <w:sz w:val="20"/>
                <w:szCs w:val="20"/>
              </w:rPr>
              <w:t xml:space="preserve">Companhia aérea contratante: adquirente do sistema no contexto comercial.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 Kinds utilizados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Diagrama de contexto (context diagram): caixa central = SkyPass, caixas externas = atores e sistemas externos, setas = fluxos de dados;</w:t>
            </w:r>
          </w:p>
          <w:p>
            <w:pPr>
              <w:pStyle w:val="ListParagraph"/>
              <w:numPr>
                <w:ilvl w:val="0"/>
                <w:numId w:val="2"/>
              </w:numPr>
              <w:spacing w:after="40" w:before="40"/>
            </w:pPr>
            <w:r>
              <w:rPr>
                <w:rFonts w:ascii="Arial" w:cs="Arial" w:eastAsia="Arial" w:hAnsi="Arial"/>
                <w:sz w:val="20"/>
                <w:szCs w:val="20"/>
              </w:rPr>
              <w:t xml:space="preserve">Tabela de stakeholders × concerns: matriz relacionando cada stakeholder aos seus interesses no sistema.</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Linguagem / Notação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UML — Diagrama de Casos de Uso (nível de contexto); linguagem natural estruturada para a tabela de stakeholders × concerns.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Métodos de análise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Revisão estática da tabela de stakeholders × concerns contra os documentos de requisitos (IEEE 830 SRS) para verificar completude.</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Regras de correspondência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CR-01: Todo stakeholder identificado nesta view deve ter pelo menos um concern associado na tabela de stakeholders × concerns.</w:t>
            </w:r>
          </w:p>
          <w:p>
            <w:pPr>
              <w:pStyle w:val="ListParagraph"/>
              <w:numPr>
                <w:ilvl w:val="0"/>
                <w:numId w:val="2"/>
              </w:numPr>
              <w:spacing w:after="40" w:before="40"/>
            </w:pPr>
            <w:r>
              <w:rPr>
                <w:rFonts w:ascii="Arial" w:cs="Arial" w:eastAsia="Arial" w:hAnsi="Arial"/>
                <w:sz w:val="20"/>
                <w:szCs w:val="20"/>
              </w:rPr>
              <w:t xml:space="preserve">CR-02: Todo ator do Diagrama de Casos de Uso deve aparecer na lista de stakeholders desta view.</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3.2  VP-02 — Viewpoint Funcional</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1F5C5C" w:val="clear"/>
            <w:tcMar>
              <w:top w:type="dxa" w:w="100"/>
              <w:left w:type="dxa" w:w="180"/>
              <w:bottom w:type="dxa" w:w="100"/>
              <w:right w:type="dxa" w:w="180"/>
            </w:tcMar>
          </w:tcPr>
          <w:p>
            <w:r>
              <w:rPr>
                <w:rFonts w:ascii="Arial" w:cs="Arial" w:eastAsia="Arial" w:hAnsi="Arial"/>
                <w:b/>
                <w:bCs/>
                <w:color w:val="BDD7EE"/>
                <w:sz w:val="24"/>
                <w:szCs w:val="24"/>
              </w:rPr>
              <w:t xml:space="preserve">VP-02  —  </w:t>
            </w:r>
          </w:p>
          <w:p>
            <w:pPr>
              <w:spacing w:after="0" w:before="30"/>
            </w:pPr>
            <w:r>
              <w:rPr>
                <w:rFonts w:ascii="Arial" w:cs="Arial" w:eastAsia="Arial" w:hAnsi="Arial"/>
                <w:b/>
                <w:bCs/>
                <w:color w:val="FFFFFF"/>
                <w:sz w:val="28"/>
                <w:szCs w:val="28"/>
              </w:rPr>
              <w:t xml:space="preserve">Viewpoint Funcional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(VP-ID)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VP-02</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do Viewpoint</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Viewpoint Funcional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Fonte / Referência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Rozanski &amp; Woods (2005) — Functional Viewpoint; Kruchten (1995) — Logical View</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endereçados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Quais funcionalidades o sistema oferece a cada ator (RF-01 a RF-25);</w:t>
            </w:r>
          </w:p>
          <w:p>
            <w:pPr>
              <w:pStyle w:val="ListParagraph"/>
              <w:numPr>
                <w:ilvl w:val="0"/>
                <w:numId w:val="2"/>
              </w:numPr>
              <w:spacing w:after="40" w:before="40"/>
            </w:pPr>
            <w:r>
              <w:rPr>
                <w:rFonts w:ascii="Arial" w:cs="Arial" w:eastAsia="Arial" w:hAnsi="Arial"/>
                <w:sz w:val="20"/>
                <w:szCs w:val="20"/>
              </w:rPr>
              <w:t xml:space="preserve">Como as funções do sistema se decompõem em módulos responsáveis;</w:t>
            </w:r>
          </w:p>
          <w:p>
            <w:pPr>
              <w:pStyle w:val="ListParagraph"/>
              <w:numPr>
                <w:ilvl w:val="0"/>
                <w:numId w:val="2"/>
              </w:numPr>
              <w:spacing w:after="40" w:before="40"/>
            </w:pPr>
            <w:r>
              <w:rPr>
                <w:rFonts w:ascii="Arial" w:cs="Arial" w:eastAsia="Arial" w:hAnsi="Arial"/>
                <w:sz w:val="20"/>
                <w:szCs w:val="20"/>
              </w:rPr>
              <w:t xml:space="preserve">Quais interfaces existem entre os módulos internos;</w:t>
            </w:r>
          </w:p>
          <w:p>
            <w:pPr>
              <w:pStyle w:val="ListParagraph"/>
              <w:numPr>
                <w:ilvl w:val="0"/>
                <w:numId w:val="2"/>
              </w:numPr>
              <w:spacing w:after="40" w:before="40"/>
            </w:pPr>
            <w:r>
              <w:rPr>
                <w:rFonts w:ascii="Arial" w:cs="Arial" w:eastAsia="Arial" w:hAnsi="Arial"/>
                <w:sz w:val="20"/>
                <w:szCs w:val="20"/>
              </w:rPr>
              <w:t xml:space="preserve">Adequação da arquitetura para satisfazer os requisitos funcionais levantados no IEEE 830 SRS.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Stakeholders típicos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Passageiro e Administrador: interessados nas funcionalidades disponíveis;</w:t>
            </w:r>
          </w:p>
          <w:p>
            <w:pPr>
              <w:pStyle w:val="ListParagraph"/>
              <w:numPr>
                <w:ilvl w:val="0"/>
                <w:numId w:val="2"/>
              </w:numPr>
              <w:spacing w:after="40" w:before="40"/>
            </w:pPr>
            <w:r>
              <w:rPr>
                <w:rFonts w:ascii="Arial" w:cs="Arial" w:eastAsia="Arial" w:hAnsi="Arial"/>
                <w:sz w:val="20"/>
                <w:szCs w:val="20"/>
              </w:rPr>
              <w:t xml:space="preserve">Desenvolvedores: interessados na decomposição funcional para implementação;</w:t>
            </w:r>
          </w:p>
          <w:p>
            <w:pPr>
              <w:pStyle w:val="ListParagraph"/>
              <w:numPr>
                <w:ilvl w:val="0"/>
                <w:numId w:val="2"/>
              </w:numPr>
              <w:spacing w:after="40" w:before="40"/>
            </w:pPr>
            <w:r>
              <w:rPr>
                <w:rFonts w:ascii="Arial" w:cs="Arial" w:eastAsia="Arial" w:hAnsi="Arial"/>
                <w:sz w:val="20"/>
                <w:szCs w:val="20"/>
              </w:rPr>
              <w:t xml:space="preserve">Testadores: interessados nas interfaces entre módulos para elaborar casos de teste de integração.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 Kinds utilizados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Diagrama de Classes UML (nível de análise): entidades do domínio, atributos e relacionamentos;</w:t>
            </w:r>
          </w:p>
          <w:p>
            <w:pPr>
              <w:pStyle w:val="ListParagraph"/>
              <w:numPr>
                <w:ilvl w:val="0"/>
                <w:numId w:val="2"/>
              </w:numPr>
              <w:spacing w:after="40" w:before="40"/>
            </w:pPr>
            <w:r>
              <w:rPr>
                <w:rFonts w:ascii="Arial" w:cs="Arial" w:eastAsia="Arial" w:hAnsi="Arial"/>
                <w:sz w:val="20"/>
                <w:szCs w:val="20"/>
              </w:rPr>
              <w:t xml:space="preserve">Diagrama de Casos de Uso UML: atores, casos de uso e relacionamentos include/extend;</w:t>
            </w:r>
          </w:p>
          <w:p>
            <w:pPr>
              <w:pStyle w:val="ListParagraph"/>
              <w:numPr>
                <w:ilvl w:val="0"/>
                <w:numId w:val="2"/>
              </w:numPr>
              <w:spacing w:after="40" w:before="40"/>
            </w:pPr>
            <w:r>
              <w:rPr>
                <w:rFonts w:ascii="Arial" w:cs="Arial" w:eastAsia="Arial" w:hAnsi="Arial"/>
                <w:sz w:val="20"/>
                <w:szCs w:val="20"/>
              </w:rPr>
              <w:t xml:space="preserve">Tabela de decomposição funcional: módulos, responsabilidades e RF associados.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Linguagem / Notação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UML 2.5 — Diagrama de Classes e Diagrama de Casos de Uso, modelados em StarUML.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Métodos de análise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Rastreabilidade bidirecional entre os RFs do SRS e os módulos desta view; revisão de completude via tabela RF × Módulo.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Regras de correspondência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CR-03: Todo RF identificado no SRS deve estar alocado a exatamente um módulo da tabela de decomposição funcional.</w:t>
            </w:r>
          </w:p>
          <w:p>
            <w:pPr>
              <w:pStyle w:val="ListParagraph"/>
              <w:numPr>
                <w:ilvl w:val="0"/>
                <w:numId w:val="2"/>
              </w:numPr>
              <w:spacing w:after="40" w:before="40"/>
            </w:pPr>
            <w:r>
              <w:rPr>
                <w:rFonts w:ascii="Arial" w:cs="Arial" w:eastAsia="Arial" w:hAnsi="Arial"/>
                <w:sz w:val="20"/>
                <w:szCs w:val="20"/>
              </w:rPr>
              <w:t xml:space="preserve">CR-04: Todo módulo deve corresponder a exatamente um desenvolvedor responsável (rastreabilidade com o Plano de Projeto P1).</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3.3  VP-03 — Viewpoint de Informação (Dados)</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1F5C5C" w:val="clear"/>
            <w:tcMar>
              <w:top w:type="dxa" w:w="100"/>
              <w:left w:type="dxa" w:w="180"/>
              <w:bottom w:type="dxa" w:w="100"/>
              <w:right w:type="dxa" w:w="180"/>
            </w:tcMar>
          </w:tcPr>
          <w:p>
            <w:r>
              <w:rPr>
                <w:rFonts w:ascii="Arial" w:cs="Arial" w:eastAsia="Arial" w:hAnsi="Arial"/>
                <w:b/>
                <w:bCs/>
                <w:color w:val="BDD7EE"/>
                <w:sz w:val="24"/>
                <w:szCs w:val="24"/>
              </w:rPr>
              <w:t xml:space="preserve">VP-03  —  </w:t>
            </w:r>
          </w:p>
          <w:p>
            <w:pPr>
              <w:spacing w:after="0" w:before="30"/>
            </w:pPr>
            <w:r>
              <w:rPr>
                <w:rFonts w:ascii="Arial" w:cs="Arial" w:eastAsia="Arial" w:hAnsi="Arial"/>
                <w:b/>
                <w:bCs/>
                <w:color w:val="FFFFFF"/>
                <w:sz w:val="28"/>
                <w:szCs w:val="28"/>
              </w:rPr>
              <w:t xml:space="preserve">Viewpoint de Informação (Dados)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(VP-ID)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VP-03</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do Viewpoint</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Viewpoint de Informação (Dados)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Fonte / Referência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Rozanski &amp; Woods (2005) — Information Viewpoint; ISO/IEC/IEEE 42010:2011, §5.3 e Annex C.4.3</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endereçados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Quais entidades de dados existem no sistema e como se relacionam (modelo de domínio);</w:t>
            </w:r>
          </w:p>
          <w:p>
            <w:pPr>
              <w:pStyle w:val="ListParagraph"/>
              <w:numPr>
                <w:ilvl w:val="0"/>
                <w:numId w:val="2"/>
              </w:numPr>
              <w:spacing w:after="40" w:before="40"/>
            </w:pPr>
            <w:r>
              <w:rPr>
                <w:rFonts w:ascii="Arial" w:cs="Arial" w:eastAsia="Arial" w:hAnsi="Arial"/>
                <w:sz w:val="20"/>
                <w:szCs w:val="20"/>
              </w:rPr>
              <w:t xml:space="preserve">Restrições de integridade sobre os dados (unicidade, FK, estados válidos);</w:t>
            </w:r>
          </w:p>
          <w:p>
            <w:pPr>
              <w:pStyle w:val="ListParagraph"/>
              <w:numPr>
                <w:ilvl w:val="0"/>
                <w:numId w:val="2"/>
              </w:numPr>
              <w:spacing w:after="40" w:before="40"/>
            </w:pPr>
            <w:r>
              <w:rPr>
                <w:rFonts w:ascii="Arial" w:cs="Arial" w:eastAsia="Arial" w:hAnsi="Arial"/>
                <w:sz w:val="20"/>
                <w:szCs w:val="20"/>
              </w:rPr>
              <w:t xml:space="preserve">Ciclo de vida dos dados: como entidades são criadas, lidas, atualizadas e (logicamente) excluídas;</w:t>
            </w:r>
          </w:p>
          <w:p>
            <w:pPr>
              <w:pStyle w:val="ListParagraph"/>
              <w:numPr>
                <w:ilvl w:val="0"/>
                <w:numId w:val="2"/>
              </w:numPr>
              <w:spacing w:after="40" w:before="40"/>
            </w:pPr>
            <w:r>
              <w:rPr>
                <w:rFonts w:ascii="Arial" w:cs="Arial" w:eastAsia="Arial" w:hAnsi="Arial"/>
                <w:sz w:val="20"/>
                <w:szCs w:val="20"/>
              </w:rPr>
              <w:t xml:space="preserve">Requisitos de retenção, backup e conformidade com a LGPD.</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Stakeholders típicos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Desenvolvedores: precisam do esquema para implementar o ORM (Hibernate) e as migrations (Flyway);</w:t>
            </w:r>
          </w:p>
          <w:p>
            <w:pPr>
              <w:pStyle w:val="ListParagraph"/>
              <w:numPr>
                <w:ilvl w:val="0"/>
                <w:numId w:val="2"/>
              </w:numPr>
              <w:spacing w:after="40" w:before="40"/>
            </w:pPr>
            <w:r>
              <w:rPr>
                <w:rFonts w:ascii="Arial" w:cs="Arial" w:eastAsia="Arial" w:hAnsi="Arial"/>
                <w:sz w:val="20"/>
                <w:szCs w:val="20"/>
              </w:rPr>
              <w:t xml:space="preserve">Administrador da companhia: interessado na integridade e retenção dos dados de reservas e pagamentos;</w:t>
            </w:r>
          </w:p>
          <w:p>
            <w:pPr>
              <w:pStyle w:val="ListParagraph"/>
              <w:numPr>
                <w:ilvl w:val="0"/>
                <w:numId w:val="2"/>
              </w:numPr>
              <w:spacing w:after="40" w:before="40"/>
            </w:pPr>
            <w:r>
              <w:rPr>
                <w:rFonts w:ascii="Arial" w:cs="Arial" w:eastAsia="Arial" w:hAnsi="Arial"/>
                <w:sz w:val="20"/>
                <w:szCs w:val="20"/>
              </w:rPr>
              <w:t xml:space="preserve">Equipe de segurança / conformidade: verifica tratamento de dados pessoais (LGPD).</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 Kinds utilizados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Diagrama de Classes UML (nível de projeto): modelo lógico de entidades persistentes com tipos de dados;</w:t>
            </w:r>
          </w:p>
          <w:p>
            <w:pPr>
              <w:pStyle w:val="ListParagraph"/>
              <w:numPr>
                <w:ilvl w:val="0"/>
                <w:numId w:val="2"/>
              </w:numPr>
              <w:spacing w:after="40" w:before="40"/>
            </w:pPr>
            <w:r>
              <w:rPr>
                <w:rFonts w:ascii="Arial" w:cs="Arial" w:eastAsia="Arial" w:hAnsi="Arial"/>
                <w:sz w:val="20"/>
                <w:szCs w:val="20"/>
              </w:rPr>
              <w:t xml:space="preserve">Tabela de Mapeamento Objeto-Relacional (MOR): entidades → tabelas PostgreSQL, com colunas, tipos e restrições;</w:t>
            </w:r>
          </w:p>
          <w:p>
            <w:pPr>
              <w:pStyle w:val="ListParagraph"/>
              <w:numPr>
                <w:ilvl w:val="0"/>
                <w:numId w:val="2"/>
              </w:numPr>
              <w:spacing w:after="40" w:before="40"/>
            </w:pPr>
            <w:r>
              <w:rPr>
                <w:rFonts w:ascii="Arial" w:cs="Arial" w:eastAsia="Arial" w:hAnsi="Arial"/>
                <w:sz w:val="20"/>
                <w:szCs w:val="20"/>
              </w:rPr>
              <w:t xml:space="preserve">Diagrama de máquina de estados UML: ciclo de vida da entidade Reserva (PENDING → CONFIRMED → CHECKED_IN → COMPLETED/CANCELLED).</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Linguagem / Notação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UML 2.5 — Diagrama de Classes e Diagrama de Estados; SQL DDL para as restrições de integridade.</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Métodos de análise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Verificação de normalização (3FN) do esquema relacional; análise de cobertura dos RDs (Requisitos de Domínio) do SRS.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Regras de correspondência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CR-05: Toda entidade do Diagrama de Classes deve ter uma tabela correspondente no MOR.</w:t>
            </w:r>
          </w:p>
          <w:p>
            <w:pPr>
              <w:pStyle w:val="ListParagraph"/>
              <w:numPr>
                <w:ilvl w:val="0"/>
                <w:numId w:val="2"/>
              </w:numPr>
              <w:spacing w:after="40" w:before="40"/>
            </w:pPr>
            <w:r>
              <w:rPr>
                <w:rFonts w:ascii="Arial" w:cs="Arial" w:eastAsia="Arial" w:hAnsi="Arial"/>
                <w:sz w:val="20"/>
                <w:szCs w:val="20"/>
              </w:rPr>
              <w:t xml:space="preserve">CR-06: Todo estado listado no diagrama de máquina de estados da Reserva deve corresponder a um valor do ENUM reserva_status_enum no banco de dados.</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3.4  VP-04 — Viewpoint de Concorrência e Processo</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1F5C5C" w:val="clear"/>
            <w:tcMar>
              <w:top w:type="dxa" w:w="100"/>
              <w:left w:type="dxa" w:w="180"/>
              <w:bottom w:type="dxa" w:w="100"/>
              <w:right w:type="dxa" w:w="180"/>
            </w:tcMar>
          </w:tcPr>
          <w:p>
            <w:r>
              <w:rPr>
                <w:rFonts w:ascii="Arial" w:cs="Arial" w:eastAsia="Arial" w:hAnsi="Arial"/>
                <w:b/>
                <w:bCs/>
                <w:color w:val="BDD7EE"/>
                <w:sz w:val="24"/>
                <w:szCs w:val="24"/>
              </w:rPr>
              <w:t xml:space="preserve">VP-04  —  </w:t>
            </w:r>
          </w:p>
          <w:p>
            <w:pPr>
              <w:spacing w:after="0" w:before="30"/>
            </w:pPr>
            <w:r>
              <w:rPr>
                <w:rFonts w:ascii="Arial" w:cs="Arial" w:eastAsia="Arial" w:hAnsi="Arial"/>
                <w:b/>
                <w:bCs/>
                <w:color w:val="FFFFFF"/>
                <w:sz w:val="28"/>
                <w:szCs w:val="28"/>
              </w:rPr>
              <w:t xml:space="preserve">Viewpoint de Concorrência e Processo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(VP-ID)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VP-04</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do Viewpoint</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Viewpoint de Concorrência e Processo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Fonte / Referência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Rozanski &amp; Woods (2005) — Concurrency Viewpoint; Kruchten (1995) — Process View</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endereçados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Como o sistema gerencia operações simultâneas sem inconsistência de dados (ex.: dois passageiros reservando o mesmo assento ao mesmo tempo);</w:t>
            </w:r>
          </w:p>
          <w:p>
            <w:pPr>
              <w:pStyle w:val="ListParagraph"/>
              <w:numPr>
                <w:ilvl w:val="0"/>
                <w:numId w:val="2"/>
              </w:numPr>
              <w:spacing w:after="40" w:before="40"/>
            </w:pPr>
            <w:r>
              <w:rPr>
                <w:rFonts w:ascii="Arial" w:cs="Arial" w:eastAsia="Arial" w:hAnsi="Arial"/>
                <w:sz w:val="20"/>
                <w:szCs w:val="20"/>
              </w:rPr>
              <w:t xml:space="preserve">Quais transações são atômicas e como são delimitadas;</w:t>
            </w:r>
          </w:p>
          <w:p>
            <w:pPr>
              <w:pStyle w:val="ListParagraph"/>
              <w:numPr>
                <w:ilvl w:val="0"/>
                <w:numId w:val="2"/>
              </w:numPr>
              <w:spacing w:after="40" w:before="40"/>
            </w:pPr>
            <w:r>
              <w:rPr>
                <w:rFonts w:ascii="Arial" w:cs="Arial" w:eastAsia="Arial" w:hAnsi="Arial"/>
                <w:sz w:val="20"/>
                <w:szCs w:val="20"/>
              </w:rPr>
              <w:t xml:space="preserve">Estratégia de bloqueio temporário de assentos durante o fluxo de pagamento;</w:t>
            </w:r>
          </w:p>
          <w:p>
            <w:pPr>
              <w:pStyle w:val="ListParagraph"/>
              <w:numPr>
                <w:ilvl w:val="0"/>
                <w:numId w:val="2"/>
              </w:numPr>
              <w:spacing w:after="40" w:before="40"/>
            </w:pPr>
            <w:r>
              <w:rPr>
                <w:rFonts w:ascii="Arial" w:cs="Arial" w:eastAsia="Arial" w:hAnsi="Arial"/>
                <w:sz w:val="20"/>
                <w:szCs w:val="20"/>
              </w:rPr>
              <w:t xml:space="preserve">Comportamento do sistema em condições de falha de componente externo (gateway de pagamento, serviço de e-mail).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Stakeholders típicos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Desenvolvedores: precisam implementar corretamente os limites de transação e os mecanismos de bloqueio;</w:t>
            </w:r>
          </w:p>
          <w:p>
            <w:pPr>
              <w:pStyle w:val="ListParagraph"/>
              <w:numPr>
                <w:ilvl w:val="0"/>
                <w:numId w:val="2"/>
              </w:numPr>
              <w:spacing w:after="40" w:before="40"/>
            </w:pPr>
            <w:r>
              <w:rPr>
                <w:rFonts w:ascii="Arial" w:cs="Arial" w:eastAsia="Arial" w:hAnsi="Arial"/>
                <w:sz w:val="20"/>
                <w:szCs w:val="20"/>
              </w:rPr>
              <w:t xml:space="preserve">Passageiro: impactado por condições de corrida na seleção de assentos;</w:t>
            </w:r>
          </w:p>
          <w:p>
            <w:pPr>
              <w:pStyle w:val="ListParagraph"/>
              <w:numPr>
                <w:ilvl w:val="0"/>
                <w:numId w:val="2"/>
              </w:numPr>
              <w:spacing w:after="40" w:before="40"/>
            </w:pPr>
            <w:r>
              <w:rPr>
                <w:rFonts w:ascii="Arial" w:cs="Arial" w:eastAsia="Arial" w:hAnsi="Arial"/>
                <w:sz w:val="20"/>
                <w:szCs w:val="20"/>
              </w:rPr>
              <w:t xml:space="preserve">Equipe de QA: elabora testes de carga e concorrência.</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 Kinds utilizados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Diagrama de Sequência UML: fluxo de criação de reserva com bloqueio de assento (RF-07) e pagamento (RF-12);</w:t>
            </w:r>
          </w:p>
          <w:p>
            <w:pPr>
              <w:pStyle w:val="ListParagraph"/>
              <w:numPr>
                <w:ilvl w:val="0"/>
                <w:numId w:val="2"/>
              </w:numPr>
              <w:spacing w:after="40" w:before="40"/>
            </w:pPr>
            <w:r>
              <w:rPr>
                <w:rFonts w:ascii="Arial" w:cs="Arial" w:eastAsia="Arial" w:hAnsi="Arial"/>
                <w:sz w:val="20"/>
                <w:szCs w:val="20"/>
              </w:rPr>
              <w:t xml:space="preserve">Diagrama de Atividades UML: processo de check-in online (RF-15) com bifurcações e condições de guarda.</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Linguagem / Notação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UML 2.5 — Diagrama de Sequência e Diagrama de Atividades.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Métodos de análise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Análise de conflitos de concorrência por inspeção dos diagramas de sequência; identificação de pontos de bloqueio e deadlock.</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Regras de correspondência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CR-07: Todo fluxo de caso de uso que modifica o status de um assento deve aparecer no diagrama de sequência de criação de reserva.</w:t>
            </w:r>
          </w:p>
          <w:p>
            <w:pPr>
              <w:pStyle w:val="ListParagraph"/>
              <w:numPr>
                <w:ilvl w:val="0"/>
                <w:numId w:val="2"/>
              </w:numPr>
              <w:spacing w:after="40" w:before="40"/>
            </w:pPr>
            <w:r>
              <w:rPr>
                <w:rFonts w:ascii="Arial" w:cs="Arial" w:eastAsia="Arial" w:hAnsi="Arial"/>
                <w:sz w:val="20"/>
                <w:szCs w:val="20"/>
              </w:rPr>
              <w:t xml:space="preserve">CR-08: Todo evento externo (resposta do gateway, timeout de bloqueio) deve ter um caminho de tratamento no diagrama de atividades ou de sequência correspondente.</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3.5  VP-05 — Viewpoint de Implantação e Infraestrutura</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1F5C5C" w:val="clear"/>
            <w:tcMar>
              <w:top w:type="dxa" w:w="100"/>
              <w:left w:type="dxa" w:w="180"/>
              <w:bottom w:type="dxa" w:w="100"/>
              <w:right w:type="dxa" w:w="180"/>
            </w:tcMar>
          </w:tcPr>
          <w:p>
            <w:r>
              <w:rPr>
                <w:rFonts w:ascii="Arial" w:cs="Arial" w:eastAsia="Arial" w:hAnsi="Arial"/>
                <w:b/>
                <w:bCs/>
                <w:color w:val="BDD7EE"/>
                <w:sz w:val="24"/>
                <w:szCs w:val="24"/>
              </w:rPr>
              <w:t xml:space="preserve">VP-05  —  </w:t>
            </w:r>
          </w:p>
          <w:p>
            <w:pPr>
              <w:spacing w:after="0" w:before="30"/>
            </w:pPr>
            <w:r>
              <w:rPr>
                <w:rFonts w:ascii="Arial" w:cs="Arial" w:eastAsia="Arial" w:hAnsi="Arial"/>
                <w:b/>
                <w:bCs/>
                <w:color w:val="FFFFFF"/>
                <w:sz w:val="28"/>
                <w:szCs w:val="28"/>
              </w:rPr>
              <w:t xml:space="preserve">Viewpoint de Implantação e Infraestrutura</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(VP-ID)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VP-05</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do Viewpoint</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Viewpoint de Implantação e Infraestrutura</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Fonte / Referência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Rozanski &amp; Woods (2005) — Deployment Viewpoint; Kruchten (1995) — Physical View</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endereçados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Em quais nós de hardware/infraestrutura os componentes do sistema são implantados;</w:t>
            </w:r>
          </w:p>
          <w:p>
            <w:pPr>
              <w:pStyle w:val="ListParagraph"/>
              <w:numPr>
                <w:ilvl w:val="0"/>
                <w:numId w:val="2"/>
              </w:numPr>
              <w:spacing w:after="40" w:before="40"/>
            </w:pPr>
            <w:r>
              <w:rPr>
                <w:rFonts w:ascii="Arial" w:cs="Arial" w:eastAsia="Arial" w:hAnsi="Arial"/>
                <w:sz w:val="20"/>
                <w:szCs w:val="20"/>
              </w:rPr>
              <w:t xml:space="preserve">Como os componentes se comunicam em produção (protocolos, portas, APIs);</w:t>
            </w:r>
          </w:p>
          <w:p>
            <w:pPr>
              <w:pStyle w:val="ListParagraph"/>
              <w:numPr>
                <w:ilvl w:val="0"/>
                <w:numId w:val="2"/>
              </w:numPr>
              <w:spacing w:after="40" w:before="40"/>
            </w:pPr>
            <w:r>
              <w:rPr>
                <w:rFonts w:ascii="Arial" w:cs="Arial" w:eastAsia="Arial" w:hAnsi="Arial"/>
                <w:sz w:val="20"/>
                <w:szCs w:val="20"/>
              </w:rPr>
              <w:t xml:space="preserve">Estratégia de hospedagem em nuvem para o MVP acadêmico vs. produção comercial;</w:t>
            </w:r>
          </w:p>
          <w:p>
            <w:pPr>
              <w:pStyle w:val="ListParagraph"/>
              <w:numPr>
                <w:ilvl w:val="0"/>
                <w:numId w:val="2"/>
              </w:numPr>
              <w:spacing w:after="40" w:before="40"/>
            </w:pPr>
            <w:r>
              <w:rPr>
                <w:rFonts w:ascii="Arial" w:cs="Arial" w:eastAsia="Arial" w:hAnsi="Arial"/>
                <w:sz w:val="20"/>
                <w:szCs w:val="20"/>
              </w:rPr>
              <w:t xml:space="preserve">Disponibilidade, escalabilidade e segurança de rede do ambiente de execução.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Stakeholders típicos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Equipe de desenvolvimento e DevOps: precisa do diagrama para configurar o pipeline CI/CD (GitHub Actions) e o deployment;</w:t>
            </w:r>
          </w:p>
          <w:p>
            <w:pPr>
              <w:pStyle w:val="ListParagraph"/>
              <w:numPr>
                <w:ilvl w:val="0"/>
                <w:numId w:val="2"/>
              </w:numPr>
              <w:spacing w:after="40" w:before="40"/>
            </w:pPr>
            <w:r>
              <w:rPr>
                <w:rFonts w:ascii="Arial" w:cs="Arial" w:eastAsia="Arial" w:hAnsi="Arial"/>
                <w:sz w:val="20"/>
                <w:szCs w:val="20"/>
              </w:rPr>
              <w:t xml:space="preserve">Companhia aérea contratante: interessada em SLA e disponibilidade do sistema;</w:t>
            </w:r>
          </w:p>
          <w:p>
            <w:pPr>
              <w:pStyle w:val="ListParagraph"/>
              <w:numPr>
                <w:ilvl w:val="0"/>
                <w:numId w:val="2"/>
              </w:numPr>
              <w:spacing w:after="40" w:before="40"/>
            </w:pPr>
            <w:r>
              <w:rPr>
                <w:rFonts w:ascii="Arial" w:cs="Arial" w:eastAsia="Arial" w:hAnsi="Arial"/>
                <w:sz w:val="20"/>
                <w:szCs w:val="20"/>
              </w:rPr>
              <w:t xml:space="preserve">Professor: verifica viabilidade técnica do deployment para a apresentação final.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 Kinds utilizados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Diagrama de Implantação UML: nós (navegador cliente, servidor backend, banco de dados, serviços externos), artefatos implantados e protocolos de comunicação;</w:t>
            </w:r>
          </w:p>
          <w:p>
            <w:pPr>
              <w:pStyle w:val="ListParagraph"/>
              <w:numPr>
                <w:ilvl w:val="0"/>
                <w:numId w:val="2"/>
              </w:numPr>
              <w:spacing w:after="40" w:before="40"/>
            </w:pPr>
            <w:r>
              <w:rPr>
                <w:rFonts w:ascii="Arial" w:cs="Arial" w:eastAsia="Arial" w:hAnsi="Arial"/>
                <w:sz w:val="20"/>
                <w:szCs w:val="20"/>
              </w:rPr>
              <w:t xml:space="preserve">Tabela de infraestrutura: componente, tecnologia, provedor, ambiente (dev/prod) e custo estimado.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Linguagem / Notação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UML 2.5 — Diagrama de Implantação.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Métodos de análise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Verificação de disponibilidade (uptime SLA) e análise de single points of failure; revisão de conformidade com RNF-08 (disponibilidade ≥ 99%).</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Regras de correspondência</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CR-09: Todo componente de software listado na view funcional (VP-02) deve ter um artefato correspondente no Diagrama de Implantação.</w:t>
            </w:r>
          </w:p>
          <w:p>
            <w:pPr>
              <w:pStyle w:val="ListParagraph"/>
              <w:numPr>
                <w:ilvl w:val="0"/>
                <w:numId w:val="2"/>
              </w:numPr>
              <w:spacing w:after="40" w:before="40"/>
            </w:pPr>
            <w:r>
              <w:rPr>
                <w:rFonts w:ascii="Arial" w:cs="Arial" w:eastAsia="Arial" w:hAnsi="Arial"/>
                <w:sz w:val="20"/>
                <w:szCs w:val="20"/>
              </w:rPr>
              <w:t xml:space="preserve">CR-10: A comunicação entre o frontend e o backend deve usar exclusivamente HTTPS (TLS 1.3), em conformidade com RNF-06.</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3.6  Cobertura de Concerns pelos Viewpoints</w:t>
      </w:r>
    </w:p>
    <w:p>
      <w:pPr>
        <w:spacing w:after="80" w:before="80"/>
        <w:jc w:val="both"/>
      </w:pPr>
      <w:r>
        <w:rPr>
          <w:rFonts w:ascii="Arial" w:cs="Arial" w:eastAsia="Arial" w:hAnsi="Arial"/>
          <w:b w:val="false"/>
          <w:bCs w:val="false"/>
          <w:i w:val="false"/>
          <w:iCs w:val="false"/>
          <w:color w:val="000000"/>
          <w:sz w:val="22"/>
          <w:szCs w:val="22"/>
        </w:rPr>
        <w:t xml:space="preserve">A tabela abaixo demonstra que todo concern identificado na Seção 2.2 é enquadrado por ao menos um viewpoint, conforme exige a norma ISO/IEC/IEEE 42010:2011 §5.4.</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700"/>
        <w:gridCol w:w="700"/>
        <w:gridCol w:w="700"/>
        <w:gridCol w:w="700"/>
        <w:gridCol w:w="700"/>
        <w:gridCol w:w="192"/>
      </w:tblGrid>
      <w:tr>
        <w:trPr>
          <w:tblHeader/>
        </w:trPr>
        <w:tc>
          <w:tcPr>
            <w:tcW w:type="dxa" w:w="1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18"/>
                <w:szCs w:val="18"/>
              </w:rPr>
              <w:t xml:space="preserve">Concern</w:t>
            </w:r>
          </w:p>
        </w:tc>
        <w:tc>
          <w:tcPr>
            <w:tcW w:type="dxa" w:w="3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18"/>
                <w:szCs w:val="18"/>
              </w:rPr>
              <w:t xml:space="preserve">Descrição</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VP-01</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VP-02</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VP-03</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VP-04</w:t>
            </w:r>
          </w:p>
        </w:tc>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8"/>
                <w:szCs w:val="18"/>
              </w:rPr>
              <w:t xml:space="preserve">VP-05</w:t>
            </w:r>
          </w:p>
        </w:tc>
        <w:tc>
          <w:tcPr>
            <w:tcW w:type="dxa" w:w="1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C-01</w:t>
            </w:r>
          </w:p>
        </w:tc>
        <w:tc>
          <w:tcPr>
            <w:tcW w:type="dxa" w:w="3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Propósito do sistema</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C-02</w:t>
            </w:r>
          </w:p>
        </w:tc>
        <w:tc>
          <w:tcPr>
            <w:tcW w:type="dxa" w:w="3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Adequação da arquitetura</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C-03</w:t>
            </w:r>
          </w:p>
        </w:tc>
        <w:tc>
          <w:tcPr>
            <w:tcW w:type="dxa" w:w="3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Viabilidade de construção</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C-04</w:t>
            </w:r>
          </w:p>
        </w:tc>
        <w:tc>
          <w:tcPr>
            <w:tcW w:type="dxa" w:w="3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Segurança e privacidade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C-05</w:t>
            </w:r>
          </w:p>
        </w:tc>
        <w:tc>
          <w:tcPr>
            <w:tcW w:type="dxa" w:w="3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Desempenho e escalabilidade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C-06</w:t>
            </w:r>
          </w:p>
        </w:tc>
        <w:tc>
          <w:tcPr>
            <w:tcW w:type="dxa" w:w="3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Integridade dos dados</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C-07</w:t>
            </w:r>
          </w:p>
        </w:tc>
        <w:tc>
          <w:tcPr>
            <w:tcW w:type="dxa" w:w="3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Manutenibilidade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C-08</w:t>
            </w:r>
          </w:p>
        </w:tc>
        <w:tc>
          <w:tcPr>
            <w:tcW w:type="dxa" w:w="3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Disponibilidade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C-09</w:t>
            </w:r>
          </w:p>
        </w:tc>
        <w:tc>
          <w:tcPr>
            <w:tcW w:type="dxa" w:w="31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Conformidade legal</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18"/>
                <w:szCs w:val="18"/>
              </w:rPr>
              <w:t xml:space="preserve">C-10</w:t>
            </w:r>
          </w:p>
        </w:tc>
        <w:tc>
          <w:tcPr>
            <w:tcW w:type="dxa" w:w="31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18"/>
                <w:szCs w:val="18"/>
              </w:rPr>
              <w:t xml:space="preserve">Capacidade de teste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val="false"/>
                <w:bCs w:val="false"/>
                <w:i w:val="false"/>
                <w:iCs w:val="false"/>
                <w:color w:val="CCCCCC"/>
                <w:sz w:val="20"/>
                <w:szCs w:val="20"/>
              </w:rPr>
              <w:t xml:space="preserve"/>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7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center"/>
            </w:pPr>
            <w:r>
              <w:rPr>
                <w:rFonts w:ascii="Arial" w:cs="Arial" w:eastAsia="Arial" w:hAnsi="Arial"/>
                <w:b/>
                <w:bCs/>
                <w:i w:val="false"/>
                <w:iCs w:val="false"/>
                <w:color w:val="185FA5"/>
                <w:sz w:val="20"/>
                <w:szCs w:val="20"/>
              </w:rPr>
              <w:t xml:space="preserve">✓</w:t>
            </w:r>
          </w:p>
        </w:tc>
        <w:tc>
          <w:tcPr>
            <w:tcW w:type="dxa" w:w="1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w:r>
          </w:p>
        </w:tc>
      </w:tr>
    </w:tbl>
    <w:p>
      <w:pPr>
        <w:pStyle w:val="Heading1"/>
        <w:pBdr>
          <w:bottom w:val="single" w:color="2E75B6" w:sz="8" w:space="4"/>
        </w:pBdr>
        <w:spacing w:after="180" w:before="520"/>
      </w:pPr>
      <w:r>
        <w:rPr>
          <w:rFonts w:ascii="Arial" w:cs="Arial" w:eastAsia="Arial" w:hAnsi="Arial"/>
          <w:b/>
          <w:bCs/>
          <w:color w:val="1F3864"/>
          <w:sz w:val="36"/>
          <w:szCs w:val="36"/>
        </w:rPr>
        <w:t xml:space="preserve">4  Architecture Views</w:t>
      </w:r>
    </w:p>
    <w:p>
      <w:pPr>
        <w:spacing w:after="80" w:before="80"/>
        <w:jc w:val="both"/>
      </w:pPr>
      <w:r>
        <w:rPr>
          <w:rFonts w:ascii="Arial" w:cs="Arial" w:eastAsia="Arial" w:hAnsi="Arial"/>
          <w:b w:val="false"/>
          <w:bCs w:val="false"/>
          <w:i w:val="false"/>
          <w:iCs w:val="false"/>
          <w:color w:val="000000"/>
          <w:sz w:val="22"/>
          <w:szCs w:val="22"/>
        </w:rPr>
        <w:t xml:space="preserve">Conforme as seções 5.5 e 5.6 da norma ISO/IEC/IEEE 42010:2011, esta seção apresenta exatamente uma Architecture View para cada Viewpoint definido na Seção 3. Cada view inclui: informações de identificação, identificação do viewpoint governante, modelos que cobrem todos os concerns enquadrados pelo viewpoint e registro de inconsistências conhecidas.</w:t>
      </w:r>
    </w:p>
    <w:p>
      <w:pPr>
        <w:spacing w:after="0" w:before="80"/>
      </w:pPr>
      <w:r>
        <w:t xml:space="preserve"/>
      </w:r>
    </w:p>
    <w:p>
      <w:pPr>
        <w:pStyle w:val="Heading2"/>
        <w:spacing w:after="120" w:before="320"/>
      </w:pPr>
      <w:r>
        <w:rPr>
          <w:rFonts w:ascii="Arial" w:cs="Arial" w:eastAsia="Arial" w:hAnsi="Arial"/>
          <w:b/>
          <w:bCs/>
          <w:color w:val="2E75B6"/>
          <w:sz w:val="28"/>
          <w:szCs w:val="28"/>
        </w:rPr>
        <w:t xml:space="preserve">4.1  V-01 — View de Contexto e Stakeholders</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r>
              <w:rPr>
                <w:rFonts w:ascii="Arial" w:cs="Arial" w:eastAsia="Arial" w:hAnsi="Arial"/>
                <w:b/>
                <w:bCs/>
                <w:color w:val="BDD7EE"/>
                <w:sz w:val="22"/>
                <w:szCs w:val="22"/>
              </w:rPr>
              <w:t xml:space="preserve">View: V-01  —  </w:t>
            </w:r>
          </w:p>
          <w:p>
            <w:pPr>
              <w:spacing w:after="0" w:before="30"/>
            </w:pPr>
            <w:r>
              <w:rPr>
                <w:rFonts w:ascii="Arial" w:cs="Arial" w:eastAsia="Arial" w:hAnsi="Arial"/>
                <w:b/>
                <w:bCs/>
                <w:color w:val="FFFFFF"/>
                <w:sz w:val="26"/>
                <w:szCs w:val="26"/>
              </w:rPr>
              <w:t xml:space="preserve">View de Contexto e Stakeholders</w:t>
            </w:r>
          </w:p>
          <w:p>
            <w:pPr>
              <w:spacing w:after="0" w:before="30"/>
            </w:pPr>
            <w:r>
              <w:rPr>
                <w:rFonts w:ascii="Arial" w:cs="Arial" w:eastAsia="Arial" w:hAnsi="Arial"/>
                <w:i/>
                <w:iCs/>
                <w:color w:val="C8DCEF"/>
                <w:sz w:val="18"/>
                <w:szCs w:val="18"/>
              </w:rPr>
              <w:t xml:space="preserve">Governa: VP-01 — Viewpoint de Contexto e Stakeholders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V-01</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da View</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 de Contexto e Stakeholders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Viewpoint governante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VP-01 — Viewpoint de Contexto e Stakeholders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abordados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Define os limites do sistema SkyPass e seus pontos de integração externos;</w:t>
            </w:r>
          </w:p>
          <w:p>
            <w:pPr>
              <w:pStyle w:val="ListParagraph"/>
              <w:numPr>
                <w:ilvl w:val="0"/>
                <w:numId w:val="2"/>
              </w:numPr>
              <w:spacing w:after="40" w:before="40"/>
            </w:pPr>
            <w:r>
              <w:rPr>
                <w:rFonts w:ascii="Arial" w:cs="Arial" w:eastAsia="Arial" w:hAnsi="Arial"/>
                <w:sz w:val="20"/>
                <w:szCs w:val="20"/>
              </w:rPr>
              <w:t xml:space="preserve">Identifica todos os atores e suas responsabilidades de alto nível;</w:t>
            </w:r>
          </w:p>
          <w:p>
            <w:pPr>
              <w:pStyle w:val="ListParagraph"/>
              <w:numPr>
                <w:ilvl w:val="0"/>
                <w:numId w:val="2"/>
              </w:numPr>
              <w:spacing w:after="40" w:before="40"/>
            </w:pPr>
            <w:r>
              <w:rPr>
                <w:rFonts w:ascii="Arial" w:cs="Arial" w:eastAsia="Arial" w:hAnsi="Arial"/>
                <w:sz w:val="20"/>
                <w:szCs w:val="20"/>
              </w:rPr>
              <w:t xml:space="preserve">Documenta o ambiente de execução e as dependências externas.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Modelos incluídos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M-01: Diagrama de Contexto (UML — Diagrama de Casos de Uso em nível de sistema): mostra o SkyPass como caixa central com os atores Passageiro, Administrador, Sistema de Pagamento e Sistema de E-mail ao redor; entregue como anexo digital (.asta);</w:t>
            </w:r>
          </w:p>
          <w:p>
            <w:pPr>
              <w:pStyle w:val="ListParagraph"/>
              <w:numPr>
                <w:ilvl w:val="0"/>
                <w:numId w:val="2"/>
              </w:numPr>
              <w:spacing w:after="40" w:before="40"/>
            </w:pPr>
            <w:r>
              <w:rPr>
                <w:rFonts w:ascii="Arial" w:cs="Arial" w:eastAsia="Arial" w:hAnsi="Arial"/>
                <w:sz w:val="20"/>
                <w:szCs w:val="20"/>
              </w:rPr>
              <w:t xml:space="preserve">M-02: Tabela de Stakeholders × Concerns (ver Seção 3 deste documento): matriz relacionando cada stakeholder identificado aos seus interesses arquiteturalmente significativos.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Inconsistências conhecidas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Nenhuma. Os stakeholders e concerns foram derivados diretamente do Plano de Projeto (P1) e do SRS (P2) e revisados pela equipe.</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4.2  V-02 — View Funcional — Decomposição em Módulos</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r>
              <w:rPr>
                <w:rFonts w:ascii="Arial" w:cs="Arial" w:eastAsia="Arial" w:hAnsi="Arial"/>
                <w:b/>
                <w:bCs/>
                <w:color w:val="BDD7EE"/>
                <w:sz w:val="22"/>
                <w:szCs w:val="22"/>
              </w:rPr>
              <w:t xml:space="preserve">View: V-02  —  </w:t>
            </w:r>
          </w:p>
          <w:p>
            <w:pPr>
              <w:spacing w:after="0" w:before="30"/>
            </w:pPr>
            <w:r>
              <w:rPr>
                <w:rFonts w:ascii="Arial" w:cs="Arial" w:eastAsia="Arial" w:hAnsi="Arial"/>
                <w:b/>
                <w:bCs/>
                <w:color w:val="FFFFFF"/>
                <w:sz w:val="26"/>
                <w:szCs w:val="26"/>
              </w:rPr>
              <w:t xml:space="preserve">View Funcional — Decomposição em Módulos</w:t>
            </w:r>
          </w:p>
          <w:p>
            <w:pPr>
              <w:spacing w:after="0" w:before="30"/>
            </w:pPr>
            <w:r>
              <w:rPr>
                <w:rFonts w:ascii="Arial" w:cs="Arial" w:eastAsia="Arial" w:hAnsi="Arial"/>
                <w:i/>
                <w:iCs/>
                <w:color w:val="C8DCEF"/>
                <w:sz w:val="18"/>
                <w:szCs w:val="18"/>
              </w:rPr>
              <w:t xml:space="preserve">Governa: VP-02 — Viewpoint Funcional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V-02</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da View</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 Funcional — Decomposição em Módulos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Viewpoint governante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VP-02 — Viewpoint Funcional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abordados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Decompõe o SkyPass em 7 módulos verticais (M1–M7), cada um com frontend + backend + banco de dados;</w:t>
            </w:r>
          </w:p>
          <w:p>
            <w:pPr>
              <w:pStyle w:val="ListParagraph"/>
              <w:numPr>
                <w:ilvl w:val="0"/>
                <w:numId w:val="2"/>
              </w:numPr>
              <w:spacing w:after="40" w:before="40"/>
            </w:pPr>
            <w:r>
              <w:rPr>
                <w:rFonts w:ascii="Arial" w:cs="Arial" w:eastAsia="Arial" w:hAnsi="Arial"/>
                <w:sz w:val="20"/>
                <w:szCs w:val="20"/>
              </w:rPr>
              <w:t xml:space="preserve">Mapeia todos os RF-01 a RF-25 a módulos responsáveis;</w:t>
            </w:r>
          </w:p>
          <w:p>
            <w:pPr>
              <w:pStyle w:val="ListParagraph"/>
              <w:numPr>
                <w:ilvl w:val="0"/>
                <w:numId w:val="2"/>
              </w:numPr>
              <w:spacing w:after="40" w:before="40"/>
            </w:pPr>
            <w:r>
              <w:rPr>
                <w:rFonts w:ascii="Arial" w:cs="Arial" w:eastAsia="Arial" w:hAnsi="Arial"/>
                <w:sz w:val="20"/>
                <w:szCs w:val="20"/>
              </w:rPr>
              <w:t xml:space="preserve">Documenta as interfaces entre módulos (contratos de API REST).</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Modelos incluídos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M-03: Diagrama de Casos de Uso UML — Passageiro (entregue como anexo digital e visualizado no documento P2): 23 UCs com relacionamentos include/extend;</w:t>
            </w:r>
          </w:p>
          <w:p>
            <w:pPr>
              <w:pStyle w:val="ListParagraph"/>
              <w:numPr>
                <w:ilvl w:val="0"/>
                <w:numId w:val="2"/>
              </w:numPr>
              <w:spacing w:after="40" w:before="40"/>
            </w:pPr>
            <w:r>
              <w:rPr>
                <w:rFonts w:ascii="Arial" w:cs="Arial" w:eastAsia="Arial" w:hAnsi="Arial"/>
                <w:sz w:val="20"/>
                <w:szCs w:val="20"/>
              </w:rPr>
              <w:t xml:space="preserve">M-04: Diagrama de Casos de Uso UML — Administrador e Sistemas Externos (entregue como anexo digital);</w:t>
            </w:r>
          </w:p>
          <w:p>
            <w:pPr>
              <w:pStyle w:val="ListParagraph"/>
              <w:numPr>
                <w:ilvl w:val="0"/>
                <w:numId w:val="2"/>
              </w:numPr>
              <w:spacing w:after="40" w:before="40"/>
            </w:pPr>
            <w:r>
              <w:rPr>
                <w:rFonts w:ascii="Arial" w:cs="Arial" w:eastAsia="Arial" w:hAnsi="Arial"/>
                <w:sz w:val="20"/>
                <w:szCs w:val="20"/>
              </w:rPr>
              <w:t xml:space="preserve">M-05: Diagrama de Classes de Análise UML (entregue como documento SkyPass_Classes_e_MOR_P2.docx — Seção 1): 15 classes de entidade com atributos, operações e relacionamentos;</w:t>
            </w:r>
          </w:p>
          <w:p>
            <w:pPr>
              <w:pStyle w:val="ListParagraph"/>
              <w:numPr>
                <w:ilvl w:val="0"/>
                <w:numId w:val="2"/>
              </w:numPr>
              <w:spacing w:after="40" w:before="40"/>
            </w:pPr>
            <w:r>
              <w:rPr>
                <w:rFonts w:ascii="Arial" w:cs="Arial" w:eastAsia="Arial" w:hAnsi="Arial"/>
                <w:sz w:val="20"/>
                <w:szCs w:val="20"/>
              </w:rPr>
              <w:t xml:space="preserve">M-06: Tabela de decomposição funcional (ver Seção 5.2 deste documento): módulo, descrição, RFs cobertos, membro responsável.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Inconsistências conhecidas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Nenhuma identificada. A rastreabilidade RF → Módulo foi verificada contra o SRS e 100% dos RFs estão alocados.</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4.3  V-03 — View de Informação — Modelo de Dados</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r>
              <w:rPr>
                <w:rFonts w:ascii="Arial" w:cs="Arial" w:eastAsia="Arial" w:hAnsi="Arial"/>
                <w:b/>
                <w:bCs/>
                <w:color w:val="BDD7EE"/>
                <w:sz w:val="22"/>
                <w:szCs w:val="22"/>
              </w:rPr>
              <w:t xml:space="preserve">View: V-03  —  </w:t>
            </w:r>
          </w:p>
          <w:p>
            <w:pPr>
              <w:spacing w:after="0" w:before="30"/>
            </w:pPr>
            <w:r>
              <w:rPr>
                <w:rFonts w:ascii="Arial" w:cs="Arial" w:eastAsia="Arial" w:hAnsi="Arial"/>
                <w:b/>
                <w:bCs/>
                <w:color w:val="FFFFFF"/>
                <w:sz w:val="26"/>
                <w:szCs w:val="26"/>
              </w:rPr>
              <w:t xml:space="preserve">View de Informação — Modelo de Dados</w:t>
            </w:r>
          </w:p>
          <w:p>
            <w:pPr>
              <w:spacing w:after="0" w:before="30"/>
            </w:pPr>
            <w:r>
              <w:rPr>
                <w:rFonts w:ascii="Arial" w:cs="Arial" w:eastAsia="Arial" w:hAnsi="Arial"/>
                <w:i/>
                <w:iCs/>
                <w:color w:val="C8DCEF"/>
                <w:sz w:val="18"/>
                <w:szCs w:val="18"/>
              </w:rPr>
              <w:t xml:space="preserve">Governa: VP-03 — Viewpoint de Informação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V-03</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da View</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 de Informação — Modelo de Dados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Viewpoint governante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VP-03 — Viewpoint de Informação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abordados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Define o esquema lógico e físico do banco de dados PostgreSQL;</w:t>
            </w:r>
          </w:p>
          <w:p>
            <w:pPr>
              <w:pStyle w:val="ListParagraph"/>
              <w:numPr>
                <w:ilvl w:val="0"/>
                <w:numId w:val="2"/>
              </w:numPr>
              <w:spacing w:after="40" w:before="40"/>
            </w:pPr>
            <w:r>
              <w:rPr>
                <w:rFonts w:ascii="Arial" w:cs="Arial" w:eastAsia="Arial" w:hAnsi="Arial"/>
                <w:sz w:val="20"/>
                <w:szCs w:val="20"/>
              </w:rPr>
              <w:t xml:space="preserve">Documenta o ciclo de vida das entidades críticas (especialmente Reserva);</w:t>
            </w:r>
          </w:p>
          <w:p>
            <w:pPr>
              <w:pStyle w:val="ListParagraph"/>
              <w:numPr>
                <w:ilvl w:val="0"/>
                <w:numId w:val="2"/>
              </w:numPr>
              <w:spacing w:after="40" w:before="40"/>
            </w:pPr>
            <w:r>
              <w:rPr>
                <w:rFonts w:ascii="Arial" w:cs="Arial" w:eastAsia="Arial" w:hAnsi="Arial"/>
                <w:sz w:val="20"/>
                <w:szCs w:val="20"/>
              </w:rPr>
              <w:t xml:space="preserve">Garante conformidade com restrições de integridade e LGPD.</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Modelos incluídos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M-07: Diagrama de Classes UML de Projeto (entregue no documento SkyPass_Classes_e_MOR_P2.docx — Seção 1): classes com tipos de dados Java e anotações JPA;</w:t>
            </w:r>
          </w:p>
          <w:p>
            <w:pPr>
              <w:pStyle w:val="ListParagraph"/>
              <w:numPr>
                <w:ilvl w:val="0"/>
                <w:numId w:val="2"/>
              </w:numPr>
              <w:spacing w:after="40" w:before="40"/>
            </w:pPr>
            <w:r>
              <w:rPr>
                <w:rFonts w:ascii="Arial" w:cs="Arial" w:eastAsia="Arial" w:hAnsi="Arial"/>
                <w:sz w:val="20"/>
                <w:szCs w:val="20"/>
              </w:rPr>
              <w:t xml:space="preserve">M-08: Mapeamento Objeto-Relacional / MOR (entregue no documento SkyPass_Classes_e_MOR_P2.docx — Seção 2): 14 tabelas com colunas, tipos SQL, PKs, FKs e ENUMs;</w:t>
            </w:r>
          </w:p>
          <w:p>
            <w:pPr>
              <w:pStyle w:val="ListParagraph"/>
              <w:numPr>
                <w:ilvl w:val="0"/>
                <w:numId w:val="2"/>
              </w:numPr>
              <w:spacing w:after="40" w:before="40"/>
            </w:pPr>
            <w:r>
              <w:rPr>
                <w:rFonts w:ascii="Arial" w:cs="Arial" w:eastAsia="Arial" w:hAnsi="Arial"/>
                <w:sz w:val="20"/>
                <w:szCs w:val="20"/>
              </w:rPr>
              <w:t xml:space="preserve">M-09: Diagrama de Máquina de Estados UML — Ciclo de vida da Reserva (ver Seção 5.3 deste documento): 5 estados (PENDING, CONFIRMED, CHECKED_IN, COMPLETED, CANCELLED) com transições e condições de guarda.</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Inconsistências conhecidas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Nenhuma. O diagrama de estados da Reserva foi verificado contra o ENUM reserva_status_enum definido no MOR e contra os fluxos dos casos de uso UC-06, UC-09, UC-10 e UC-14.</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4.4  V-04 — View de Concorrência — Sequência e Atividades</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r>
              <w:rPr>
                <w:rFonts w:ascii="Arial" w:cs="Arial" w:eastAsia="Arial" w:hAnsi="Arial"/>
                <w:b/>
                <w:bCs/>
                <w:color w:val="BDD7EE"/>
                <w:sz w:val="22"/>
                <w:szCs w:val="22"/>
              </w:rPr>
              <w:t xml:space="preserve">View: V-04  —  </w:t>
            </w:r>
          </w:p>
          <w:p>
            <w:pPr>
              <w:spacing w:after="0" w:before="30"/>
            </w:pPr>
            <w:r>
              <w:rPr>
                <w:rFonts w:ascii="Arial" w:cs="Arial" w:eastAsia="Arial" w:hAnsi="Arial"/>
                <w:b/>
                <w:bCs/>
                <w:color w:val="FFFFFF"/>
                <w:sz w:val="26"/>
                <w:szCs w:val="26"/>
              </w:rPr>
              <w:t xml:space="preserve">View de Concorrência — Sequência e Atividades</w:t>
            </w:r>
          </w:p>
          <w:p>
            <w:pPr>
              <w:spacing w:after="0" w:before="30"/>
            </w:pPr>
            <w:r>
              <w:rPr>
                <w:rFonts w:ascii="Arial" w:cs="Arial" w:eastAsia="Arial" w:hAnsi="Arial"/>
                <w:i/>
                <w:iCs/>
                <w:color w:val="C8DCEF"/>
                <w:sz w:val="18"/>
                <w:szCs w:val="18"/>
              </w:rPr>
              <w:t xml:space="preserve">Governa: VP-04 — Viewpoint de Concorrência e Processo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V-04</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da View</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 de Concorrência — Sequência e Atividades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Viewpoint governante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VP-04 — Viewpoint de Concorrência e Processo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abordados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Detalha os fluxos de interação entre atores e o sistema para os casos de uso centrais;</w:t>
            </w:r>
          </w:p>
          <w:p>
            <w:pPr>
              <w:pStyle w:val="ListParagraph"/>
              <w:numPr>
                <w:ilvl w:val="0"/>
                <w:numId w:val="2"/>
              </w:numPr>
              <w:spacing w:after="40" w:before="40"/>
            </w:pPr>
            <w:r>
              <w:rPr>
                <w:rFonts w:ascii="Arial" w:cs="Arial" w:eastAsia="Arial" w:hAnsi="Arial"/>
                <w:sz w:val="20"/>
                <w:szCs w:val="20"/>
              </w:rPr>
              <w:t xml:space="preserve">Documenta os pontos de transação atômica e de bloqueio de assentos;</w:t>
            </w:r>
          </w:p>
          <w:p>
            <w:pPr>
              <w:pStyle w:val="ListParagraph"/>
              <w:numPr>
                <w:ilvl w:val="0"/>
                <w:numId w:val="2"/>
              </w:numPr>
              <w:spacing w:after="40" w:before="40"/>
            </w:pPr>
            <w:r>
              <w:rPr>
                <w:rFonts w:ascii="Arial" w:cs="Arial" w:eastAsia="Arial" w:hAnsi="Arial"/>
                <w:sz w:val="20"/>
                <w:szCs w:val="20"/>
              </w:rPr>
              <w:t xml:space="preserve">Especifica o comportamento do sistema em falhas externas (timeout de gateway, falha de e-mail).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Modelos incluídos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M-10: Diagrama de Sequência UML — Reservar Passagem (UC-06): inclui bloqueio de assento por 15 min, processamento de pagamento e emissão de bilhete; entregue como anexo digital;</w:t>
            </w:r>
          </w:p>
          <w:p>
            <w:pPr>
              <w:pStyle w:val="ListParagraph"/>
              <w:numPr>
                <w:ilvl w:val="0"/>
                <w:numId w:val="2"/>
              </w:numPr>
              <w:spacing w:after="40" w:before="40"/>
            </w:pPr>
            <w:r>
              <w:rPr>
                <w:rFonts w:ascii="Arial" w:cs="Arial" w:eastAsia="Arial" w:hAnsi="Arial"/>
                <w:sz w:val="20"/>
                <w:szCs w:val="20"/>
              </w:rPr>
              <w:t xml:space="preserve">M-11: Diagrama de Sequência UML — Realizar Check-in Online (UC-14): 3 etapas + emissão de cartão de embarque; entregue como anexo digital;</w:t>
            </w:r>
          </w:p>
          <w:p>
            <w:pPr>
              <w:pStyle w:val="ListParagraph"/>
              <w:numPr>
                <w:ilvl w:val="0"/>
                <w:numId w:val="2"/>
              </w:numPr>
              <w:spacing w:after="40" w:before="40"/>
            </w:pPr>
            <w:r>
              <w:rPr>
                <w:rFonts w:ascii="Arial" w:cs="Arial" w:eastAsia="Arial" w:hAnsi="Arial"/>
                <w:sz w:val="20"/>
                <w:szCs w:val="20"/>
              </w:rPr>
              <w:t xml:space="preserve">M-12: Diagrama de Atividades UML — Processo de Cancelamento com Reembolso (UC-10): bifurcações por tipo de tarifa e prazo de arrependimento; entregue como anexo digital.</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Inconsistências conhecidas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Nenhuma identificada. Os diagramas de sequência foram derivados dos fluxos principais e de exceção dos casos de uso expandidos documentados no SkyPass_Casos_de_Uso_P2.docx.</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4.5  V-05 — View de Implantação — Infraestrutura e Deploy</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r>
              <w:rPr>
                <w:rFonts w:ascii="Arial" w:cs="Arial" w:eastAsia="Arial" w:hAnsi="Arial"/>
                <w:b/>
                <w:bCs/>
                <w:color w:val="BDD7EE"/>
                <w:sz w:val="22"/>
                <w:szCs w:val="22"/>
              </w:rPr>
              <w:t xml:space="preserve">View: V-05  —  </w:t>
            </w:r>
          </w:p>
          <w:p>
            <w:pPr>
              <w:spacing w:after="0" w:before="30"/>
            </w:pPr>
            <w:r>
              <w:rPr>
                <w:rFonts w:ascii="Arial" w:cs="Arial" w:eastAsia="Arial" w:hAnsi="Arial"/>
                <w:b/>
                <w:bCs/>
                <w:color w:val="FFFFFF"/>
                <w:sz w:val="26"/>
                <w:szCs w:val="26"/>
              </w:rPr>
              <w:t xml:space="preserve">View de Implantação — Infraestrutura e Deploy</w:t>
            </w:r>
          </w:p>
          <w:p>
            <w:pPr>
              <w:spacing w:after="0" w:before="30"/>
            </w:pPr>
            <w:r>
              <w:rPr>
                <w:rFonts w:ascii="Arial" w:cs="Arial" w:eastAsia="Arial" w:hAnsi="Arial"/>
                <w:i/>
                <w:iCs/>
                <w:color w:val="C8DCEF"/>
                <w:sz w:val="18"/>
                <w:szCs w:val="18"/>
              </w:rPr>
              <w:t xml:space="preserve">Governa: VP-05 — Viewpoint de Implantação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Identificador (V-ID)</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V-05</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Nome da View</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View de Implantação — Infraestrutura e Deploy</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Viewpoint governante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VP-05 — Viewpoint de Implantação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Concerns abordados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Descreve como os componentes do SkyPass são empacotados e implantados no ambiente de execução;</w:t>
            </w:r>
          </w:p>
          <w:p>
            <w:pPr>
              <w:pStyle w:val="ListParagraph"/>
              <w:numPr>
                <w:ilvl w:val="0"/>
                <w:numId w:val="2"/>
              </w:numPr>
              <w:spacing w:after="40" w:before="40"/>
            </w:pPr>
            <w:r>
              <w:rPr>
                <w:rFonts w:ascii="Arial" w:cs="Arial" w:eastAsia="Arial" w:hAnsi="Arial"/>
                <w:sz w:val="20"/>
                <w:szCs w:val="20"/>
              </w:rPr>
              <w:t xml:space="preserve">Documenta a topologia de rede e os protocolos de comunicação;</w:t>
            </w:r>
          </w:p>
          <w:p>
            <w:pPr>
              <w:pStyle w:val="ListParagraph"/>
              <w:numPr>
                <w:ilvl w:val="0"/>
                <w:numId w:val="2"/>
              </w:numPr>
              <w:spacing w:after="40" w:before="40"/>
            </w:pPr>
            <w:r>
              <w:rPr>
                <w:rFonts w:ascii="Arial" w:cs="Arial" w:eastAsia="Arial" w:hAnsi="Arial"/>
                <w:sz w:val="20"/>
                <w:szCs w:val="20"/>
              </w:rPr>
              <w:t xml:space="preserve">Define a estratégia de CI/CD com GitHub Actions.</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Modelos incluídos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M-13: Diagrama de Implantação UML (ver Seção 5.5 deste documento): nós (browser, servidor backend Spring Boot, banco PostgreSQL, gateway de pagamento simulado, servidor de e-mail SMTP, repositório GitHub), artefatos (.jar, migrations SQL, arquivos HTML/CSS/JS) e protocolos (HTTPS, JDBC, SMTP);</w:t>
            </w:r>
          </w:p>
          <w:p>
            <w:pPr>
              <w:pStyle w:val="ListParagraph"/>
              <w:numPr>
                <w:ilvl w:val="0"/>
                <w:numId w:val="2"/>
              </w:numPr>
              <w:spacing w:after="40" w:before="40"/>
            </w:pPr>
            <w:r>
              <w:rPr>
                <w:rFonts w:ascii="Arial" w:cs="Arial" w:eastAsia="Arial" w:hAnsi="Arial"/>
                <w:sz w:val="20"/>
                <w:szCs w:val="20"/>
              </w:rPr>
              <w:t xml:space="preserve">M-14: Tabela de infraestrutura (ver Seção 5.5): componente, tecnologia, provedor, ambiente e custo estimado.</w:t>
            </w:r>
          </w:p>
        </w:tc>
      </w:tr>
      <w:tr>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Inconsistências conhecidas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Nenhuma. O diagrama de implantação foi verificado contra a lista de componentes da view funcional (VP-02); todos os módulos M1–M7 estão representados no nó servidor Spring Boot.</w:t>
            </w:r>
          </w:p>
        </w:tc>
      </w:tr>
    </w:tbl>
    <w:p>
      <w:pPr>
        <w:spacing w:after="0" w:before="160"/>
      </w:pPr>
      <w:r>
        <w:t xml:space="preserve"/>
      </w:r>
    </w:p>
    <w:p>
      <w:pPr>
        <w:pStyle w:val="Heading1"/>
        <w:pBdr>
          <w:bottom w:val="single" w:color="2E75B6" w:sz="8" w:space="4"/>
        </w:pBdr>
        <w:spacing w:after="180" w:before="520"/>
      </w:pPr>
      <w:r>
        <w:rPr>
          <w:rFonts w:ascii="Arial" w:cs="Arial" w:eastAsia="Arial" w:hAnsi="Arial"/>
          <w:b/>
          <w:bCs/>
          <w:color w:val="1F3864"/>
          <w:sz w:val="36"/>
          <w:szCs w:val="36"/>
        </w:rPr>
        <w:t xml:space="preserve">5  Modelos de Arquitetura</w:t>
      </w:r>
    </w:p>
    <w:p>
      <w:pPr>
        <w:spacing w:after="80" w:before="80"/>
        <w:jc w:val="both"/>
      </w:pPr>
      <w:r>
        <w:rPr>
          <w:rFonts w:ascii="Arial" w:cs="Arial" w:eastAsia="Arial" w:hAnsi="Arial"/>
          <w:b w:val="false"/>
          <w:bCs w:val="false"/>
          <w:i w:val="false"/>
          <w:iCs w:val="false"/>
          <w:color w:val="000000"/>
          <w:sz w:val="22"/>
          <w:szCs w:val="22"/>
        </w:rPr>
        <w:t xml:space="preserve">Esta seção apresenta diretamente os modelos de arquitetura de menor custo de reprodução. Os modelos que exigem ferramentas externas (diagramas UML em StarUML) são referenciados como anexos digitais. Todos os modelos estão identificados com versão, conforme exige a norma ISO/IEC/IEEE 42010:2011 §5.6.</w:t>
      </w:r>
    </w:p>
    <w:p>
      <w:pPr>
        <w:pStyle w:val="Heading2"/>
        <w:spacing w:after="120" w:before="320"/>
      </w:pPr>
      <w:r>
        <w:rPr>
          <w:rFonts w:ascii="Arial" w:cs="Arial" w:eastAsia="Arial" w:hAnsi="Arial"/>
          <w:b/>
          <w:bCs/>
          <w:color w:val="2E75B6"/>
          <w:sz w:val="28"/>
          <w:szCs w:val="28"/>
        </w:rPr>
        <w:t xml:space="preserve">5.1  M-02 — Tabela de Stakeholders × Concerns (VP-01)</w:t>
      </w:r>
    </w:p>
    <w:p>
      <w:pPr>
        <w:spacing w:after="80" w:before="80"/>
        <w:jc w:val="both"/>
      </w:pPr>
      <w:r>
        <w:rPr>
          <w:rFonts w:ascii="Arial" w:cs="Arial" w:eastAsia="Arial" w:hAnsi="Arial"/>
          <w:b w:val="false"/>
          <w:bCs w:val="false"/>
          <w:i w:val="false"/>
          <w:iCs w:val="false"/>
          <w:color w:val="000000"/>
          <w:sz w:val="22"/>
          <w:szCs w:val="22"/>
        </w:rPr>
        <w:t xml:space="preserve">Versão: 1.0  |  Governado por: VP-01  |  Tipo de modelo: Tabela estruturada</w:t>
      </w:r>
    </w:p>
    <w:p>
      <w:pPr>
        <w:spacing w:after="80" w:before="80"/>
        <w:jc w:val="both"/>
      </w:pPr>
      <w:r>
        <w:rPr>
          <w:rFonts w:ascii="Arial" w:cs="Arial" w:eastAsia="Arial" w:hAnsi="Arial"/>
          <w:b w:val="false"/>
          <w:bCs w:val="false"/>
          <w:i w:val="false"/>
          <w:iCs w:val="false"/>
          <w:color w:val="000000"/>
          <w:sz w:val="22"/>
          <w:szCs w:val="22"/>
        </w:rPr>
        <w:t xml:space="preserve">Ver Seção 2.3 deste documento.</w:t>
      </w:r>
    </w:p>
    <w:p>
      <w:pPr>
        <w:pStyle w:val="Heading2"/>
        <w:spacing w:after="120" w:before="320"/>
      </w:pPr>
      <w:r>
        <w:rPr>
          <w:rFonts w:ascii="Arial" w:cs="Arial" w:eastAsia="Arial" w:hAnsi="Arial"/>
          <w:b/>
          <w:bCs/>
          <w:color w:val="2E75B6"/>
          <w:sz w:val="28"/>
          <w:szCs w:val="28"/>
        </w:rPr>
        <w:t xml:space="preserve">5.2  M-06 — Tabela de Decomposição Funcional (VP-02)</w:t>
      </w:r>
    </w:p>
    <w:p>
      <w:pPr>
        <w:spacing w:after="80" w:before="80"/>
        <w:jc w:val="both"/>
      </w:pPr>
      <w:r>
        <w:rPr>
          <w:rFonts w:ascii="Arial" w:cs="Arial" w:eastAsia="Arial" w:hAnsi="Arial"/>
          <w:b w:val="false"/>
          <w:bCs w:val="false"/>
          <w:i w:val="false"/>
          <w:iCs w:val="false"/>
          <w:color w:val="000000"/>
          <w:sz w:val="22"/>
          <w:szCs w:val="22"/>
        </w:rPr>
        <w:t xml:space="preserve">Versão: 1.0  |  Governado por: VP-02  |  Tipo de modelo: Tabela estruturada</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800"/>
        <w:gridCol w:w="1800"/>
        <w:gridCol w:w="1792"/>
      </w:tblGrid>
      <w:tr>
        <w:trPr>
          <w:tblHeader/>
        </w:trPr>
        <w:tc>
          <w:tcPr>
            <w:tcW w:type="dxa" w:w="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Módulo</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Nome</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Responsabilidades Principais</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RFs Cobertos</w:t>
            </w:r>
          </w:p>
        </w:tc>
        <w:tc>
          <w:tcPr>
            <w:tcW w:type="dxa" w:w="17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Membro Responsável</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M1</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Auth &amp; DevOps</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Autenticação JWT, Spring Security, CI/CD (GitHub Actions), deploy (Railway)</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RF-01, RF-02, RF-03, RF-04</w:t>
            </w:r>
          </w:p>
        </w:tc>
        <w:tc>
          <w:tcPr>
            <w:tcW w:type="dxa" w:w="17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1] — Líder</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M2</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Flight Search &amp; Booking</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Busca de voos, reservas, bloqueio de assento, código localizador</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RF-05, RF-06, RF-07, RF-08, RF-09, RF-10, RF-11</w:t>
            </w:r>
          </w:p>
        </w:tc>
        <w:tc>
          <w:tcPr>
            <w:tcW w:type="dxa" w:w="17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2]</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M3</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Payment &amp; Ticket</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Gateway de pagamento, emissão de bilhete PDF com QR Code, reembolso</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RF-12, RF-13, RF-14</w:t>
            </w:r>
          </w:p>
        </w:tc>
        <w:tc>
          <w:tcPr>
            <w:tcW w:type="dxa" w:w="17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3]</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M4</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Check-in &amp; Seats</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Check-in online em 3 etapas, mapa interativo de assentos, cartão de embarque</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RF-15, RF-16</w:t>
            </w:r>
          </w:p>
        </w:tc>
        <w:tc>
          <w:tcPr>
            <w:tcW w:type="dxa" w:w="17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4]</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M5</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Miles &amp; Loyalty</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Programa de fidelidade: acúmulo, extrato e resgate de milhas</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RF-19, RF-20, RF-21</w:t>
            </w:r>
          </w:p>
        </w:tc>
        <w:tc>
          <w:tcPr>
            <w:tcW w:type="dxa" w:w="17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5]</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M6</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Ancillaries</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Bagagens extras, serviços adicionais, pagamento integrado</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RF-17, RF-18</w:t>
            </w:r>
          </w:p>
        </w:tc>
        <w:tc>
          <w:tcPr>
            <w:tcW w:type="dxa" w:w="17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6]</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M7</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Admin &amp; QA</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Painel administrativo, gestão de voos e tarifas, relatórios, testes automatizados</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RF-22, RF-23, RF-24, RF-25</w:t>
            </w:r>
          </w:p>
        </w:tc>
        <w:tc>
          <w:tcPr>
            <w:tcW w:type="dxa" w:w="17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7]</w:t>
            </w:r>
          </w:p>
        </w:tc>
      </w:tr>
    </w:tbl>
    <w:p>
      <w:pPr>
        <w:spacing w:after="80" w:before="80"/>
        <w:jc w:val="both"/>
      </w:pPr>
      <w:r>
        <w:rPr>
          <w:rFonts w:ascii="Arial" w:cs="Arial" w:eastAsia="Arial" w:hAnsi="Arial"/>
          <w:b/>
          <w:bCs/>
          <w:i w:val="false"/>
          <w:iCs w:val="false"/>
          <w:color w:val="1E4D2B"/>
          <w:sz w:val="22"/>
          <w:szCs w:val="22"/>
        </w:rPr>
        <w:t xml:space="preserve">Verificação CR-03: todos os RF-01 a RF-25 aparecem exatamente uma vez nesta tabela. ✓</w:t>
      </w:r>
    </w:p>
    <w:p>
      <w:pPr>
        <w:spacing w:after="80" w:before="80"/>
        <w:jc w:val="both"/>
      </w:pPr>
      <w:r>
        <w:rPr>
          <w:rFonts w:ascii="Arial" w:cs="Arial" w:eastAsia="Arial" w:hAnsi="Arial"/>
          <w:b/>
          <w:bCs/>
          <w:i w:val="false"/>
          <w:iCs w:val="false"/>
          <w:color w:val="1E4D2B"/>
          <w:sz w:val="22"/>
          <w:szCs w:val="22"/>
        </w:rPr>
        <w:t xml:space="preserve">Verificação CR-04: todos os 7 módulos têm exatamente um membro responsável. ✓</w:t>
      </w:r>
    </w:p>
    <w:p>
      <w:pPr>
        <w:pStyle w:val="Heading2"/>
        <w:spacing w:after="120" w:before="320"/>
      </w:pPr>
      <w:r>
        <w:rPr>
          <w:rFonts w:ascii="Arial" w:cs="Arial" w:eastAsia="Arial" w:hAnsi="Arial"/>
          <w:b/>
          <w:bCs/>
          <w:color w:val="2E75B6"/>
          <w:sz w:val="28"/>
          <w:szCs w:val="28"/>
        </w:rPr>
        <w:t xml:space="preserve">5.3  M-09 — Diagrama de Máquina de Estados: Ciclo de Vida da Reserva (VP-03)</w:t>
      </w:r>
    </w:p>
    <w:p>
      <w:pPr>
        <w:spacing w:after="80" w:before="80"/>
        <w:jc w:val="both"/>
      </w:pPr>
      <w:r>
        <w:rPr>
          <w:rFonts w:ascii="Arial" w:cs="Arial" w:eastAsia="Arial" w:hAnsi="Arial"/>
          <w:b w:val="false"/>
          <w:bCs w:val="false"/>
          <w:i w:val="false"/>
          <w:iCs w:val="false"/>
          <w:color w:val="000000"/>
          <w:sz w:val="22"/>
          <w:szCs w:val="22"/>
        </w:rPr>
        <w:t xml:space="preserve">Versão: 1.0  |  Governado por: VP-03  |  Tipo de modelo: Diagrama de Máquina de Estados UML</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300"/>
        <w:gridCol w:w="2592"/>
      </w:tblGrid>
      <w:tr>
        <w:trPr>
          <w:tblHeader/>
        </w:trPr>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Estado</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Valor ENUM</w:t>
            </w:r>
          </w:p>
        </w:tc>
        <w:tc>
          <w:tcPr>
            <w:tcW w:type="dxa" w:w="23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Transições de Saída</w:t>
            </w:r>
          </w:p>
        </w:tc>
        <w:tc>
          <w:tcPr>
            <w:tcW w:type="dxa" w:w="25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Gatilho / Condição</w:t>
            </w:r>
          </w:p>
        </w:tc>
      </w:tr>
      <w:tr>
        <w:tc>
          <w:tcPr>
            <w:tcW w:type="dxa" w:w="14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[Inicial]</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w:t>
            </w:r>
          </w:p>
        </w:tc>
        <w:tc>
          <w:tcPr>
            <w:tcW w:type="dxa" w:w="23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PENDING</w:t>
            </w:r>
          </w:p>
        </w:tc>
        <w:tc>
          <w:tcPr>
            <w:tcW w:type="dxa" w:w="25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Criação da reserva (RF-07)</w:t>
            </w:r>
          </w:p>
        </w:tc>
      </w:tr>
      <w:tr>
        <w:tc>
          <w:tcPr>
            <w:tcW w:type="dxa" w:w="14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PENDING</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PENDING</w:t>
            </w:r>
          </w:p>
        </w:tc>
        <w:tc>
          <w:tcPr>
            <w:tcW w:type="dxa" w:w="23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CONFIRMED
→ CANCELLED</w:t>
            </w:r>
          </w:p>
        </w:tc>
        <w:tc>
          <w:tcPr>
            <w:tcW w:type="dxa" w:w="25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Pagamento confirmado pelo gateway (RF-12)
Timeout de 15 min sem pagamento (RF-07)</w:t>
            </w:r>
          </w:p>
        </w:tc>
      </w:tr>
      <w:tr>
        <w:tc>
          <w:tcPr>
            <w:tcW w:type="dxa" w:w="14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CONFIRMED</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CONFIRMED</w:t>
            </w:r>
          </w:p>
        </w:tc>
        <w:tc>
          <w:tcPr>
            <w:tcW w:type="dxa" w:w="23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CHECKED_IN
→ CANCELLED</w:t>
            </w:r>
          </w:p>
        </w:tc>
        <w:tc>
          <w:tcPr>
            <w:tcW w:type="dxa" w:w="25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Check-in realizado (RF-15)
Passageiro cancela (RF-11) ou admin cancela voo (RF-22)</w:t>
            </w:r>
          </w:p>
        </w:tc>
      </w:tr>
      <w:tr>
        <w:tc>
          <w:tcPr>
            <w:tcW w:type="dxa" w:w="14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CHECKED_IN</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CHECKED_IN</w:t>
            </w:r>
          </w:p>
        </w:tc>
        <w:tc>
          <w:tcPr>
            <w:tcW w:type="dxa" w:w="23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 COMPLETED
→ CANCELLED</w:t>
            </w:r>
          </w:p>
        </w:tc>
        <w:tc>
          <w:tcPr>
            <w:tcW w:type="dxa" w:w="25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Voo decolou (evento externo)
Cancelamento excepcional pós check-in</w:t>
            </w:r>
          </w:p>
        </w:tc>
      </w:tr>
      <w:tr>
        <w:tc>
          <w:tcPr>
            <w:tcW w:type="dxa" w:w="14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COMPLETED</w:t>
            </w:r>
          </w:p>
        </w:tc>
        <w:tc>
          <w:tcPr>
            <w:tcW w:type="dxa" w:w="16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COMPLETED</w:t>
            </w:r>
          </w:p>
        </w:tc>
        <w:tc>
          <w:tcPr>
            <w:tcW w:type="dxa" w:w="23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(estado final)</w:t>
            </w:r>
          </w:p>
        </w:tc>
        <w:tc>
          <w:tcPr>
            <w:tcW w:type="dxa" w:w="25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Voo concluído. Nenhuma transição de saída.</w:t>
            </w:r>
          </w:p>
        </w:tc>
      </w:tr>
      <w:tr>
        <w:tc>
          <w:tcPr>
            <w:tcW w:type="dxa" w:w="1400"/>
            <w:tcBorders>
              <w:top w:val="single" w:color="B8CCE4" w:sz="1"/>
              <w:left w:val="single" w:color="B8CCE4" w:sz="1"/>
              <w:bottom w:val="single" w:color="B8CCE4" w:sz="1"/>
              <w:right w:val="single" w:color="B8CCE4" w:sz="1"/>
            </w:tcBorders>
            <w:shd w:fill="FFE2E2"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CANCELLED</w:t>
            </w:r>
          </w:p>
        </w:tc>
        <w:tc>
          <w:tcPr>
            <w:tcW w:type="dxa" w:w="1600"/>
            <w:tcBorders>
              <w:top w:val="single" w:color="B8CCE4" w:sz="1"/>
              <w:left w:val="single" w:color="B8CCE4" w:sz="1"/>
              <w:bottom w:val="single" w:color="B8CCE4" w:sz="1"/>
              <w:right w:val="single" w:color="B8CCE4" w:sz="1"/>
            </w:tcBorders>
            <w:shd w:fill="FFE2E2"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CANCELLED</w:t>
            </w:r>
          </w:p>
        </w:tc>
        <w:tc>
          <w:tcPr>
            <w:tcW w:type="dxa" w:w="2300"/>
            <w:tcBorders>
              <w:top w:val="single" w:color="B8CCE4" w:sz="1"/>
              <w:left w:val="single" w:color="B8CCE4" w:sz="1"/>
              <w:bottom w:val="single" w:color="B8CCE4" w:sz="1"/>
              <w:right w:val="single" w:color="B8CCE4" w:sz="1"/>
            </w:tcBorders>
            <w:shd w:fill="FFE2E2"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(estado final)</w:t>
            </w:r>
          </w:p>
        </w:tc>
        <w:tc>
          <w:tcPr>
            <w:tcW w:type="dxa" w:w="2592"/>
            <w:tcBorders>
              <w:top w:val="single" w:color="B8CCE4" w:sz="1"/>
              <w:left w:val="single" w:color="B8CCE4" w:sz="1"/>
              <w:bottom w:val="single" w:color="B8CCE4" w:sz="1"/>
              <w:right w:val="single" w:color="B8CCE4" w:sz="1"/>
            </w:tcBorders>
            <w:shd w:fill="FFE2E2"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Reserva cancelada. Reembolso iniciado se elegível (RF-14).</w:t>
            </w:r>
          </w:p>
        </w:tc>
      </w:tr>
    </w:tbl>
    <w:p>
      <w:pPr>
        <w:spacing w:after="0" w:before="60"/>
      </w:pPr>
      <w:r>
        <w:t xml:space="preserve"/>
      </w:r>
    </w:p>
    <w:p>
      <w:pPr>
        <w:spacing w:after="80" w:before="80"/>
        <w:jc w:val="both"/>
      </w:pPr>
      <w:r>
        <w:rPr>
          <w:rFonts w:ascii="Arial" w:cs="Arial" w:eastAsia="Arial" w:hAnsi="Arial"/>
          <w:b/>
          <w:bCs/>
          <w:i w:val="false"/>
          <w:iCs w:val="false"/>
          <w:color w:val="1E4D2B"/>
          <w:sz w:val="22"/>
          <w:szCs w:val="22"/>
        </w:rPr>
        <w:t xml:space="preserve">Verificação CR-06: os 5 estados acima correspondem exatamente aos valores do ENUM reserva_status_enum definido no MOR (SkyPass_Classes_e_MOR_P2.docx, Seção 2.2). ✓</w:t>
      </w:r>
    </w:p>
    <w:p>
      <w:pPr>
        <w:pStyle w:val="Heading2"/>
        <w:spacing w:after="120" w:before="320"/>
      </w:pPr>
      <w:r>
        <w:rPr>
          <w:rFonts w:ascii="Arial" w:cs="Arial" w:eastAsia="Arial" w:hAnsi="Arial"/>
          <w:b/>
          <w:bCs/>
          <w:color w:val="2E75B6"/>
          <w:sz w:val="28"/>
          <w:szCs w:val="28"/>
        </w:rPr>
        <w:t xml:space="preserve">5.4  M-14 — Tabela de Infraestrutura (VP-05)</w:t>
      </w:r>
    </w:p>
    <w:p>
      <w:pPr>
        <w:spacing w:after="80" w:before="80"/>
        <w:jc w:val="both"/>
      </w:pPr>
      <w:r>
        <w:rPr>
          <w:rFonts w:ascii="Arial" w:cs="Arial" w:eastAsia="Arial" w:hAnsi="Arial"/>
          <w:b w:val="false"/>
          <w:bCs w:val="false"/>
          <w:i w:val="false"/>
          <w:iCs w:val="false"/>
          <w:color w:val="000000"/>
          <w:sz w:val="22"/>
          <w:szCs w:val="22"/>
        </w:rPr>
        <w:t xml:space="preserve">Versão: 1.0  |  Governado por: VP-05  |  Tipo de modelo: Tabela estruturada</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1200"/>
        <w:gridCol w:w="1992"/>
      </w:tblGrid>
      <w:tr>
        <w:trPr>
          <w:tblHeader/>
        </w:trPr>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Componente</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Tecnologia</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Provedor</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Ambiente</w:t>
            </w:r>
          </w:p>
        </w:tc>
        <w:tc>
          <w:tcPr>
            <w:tcW w:type="dxa" w:w="19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Notas</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Frontend (SPA)</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HTML5, CSS3, JS, Bootstrap 5</w:t>
            </w:r>
          </w:p>
        </w:tc>
        <w:tc>
          <w:tcPr>
            <w:tcW w:type="dxa" w:w="1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GitHub Pages / Railway</w:t>
            </w:r>
          </w:p>
        </w:tc>
        <w:tc>
          <w:tcPr>
            <w:tcW w:type="dxa" w:w="1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Dev + Prod</w:t>
            </w:r>
          </w:p>
        </w:tc>
        <w:tc>
          <w:tcPr>
            <w:tcW w:type="dxa" w:w="1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Arquivos estáticos servidos pelo Spring Boot como recursos do classpath</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Backend (API REST)</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Java 17, Spring Boot 3.3</w:t>
            </w:r>
          </w:p>
        </w:tc>
        <w:tc>
          <w:tcPr>
            <w:tcW w:type="dxa" w:w="15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Railway (container Docker)</w:t>
            </w:r>
          </w:p>
        </w:tc>
        <w:tc>
          <w:tcPr>
            <w:tcW w:type="dxa" w:w="1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Dev + Prod</w:t>
            </w:r>
          </w:p>
        </w:tc>
        <w:tc>
          <w:tcPr>
            <w:tcW w:type="dxa" w:w="1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Porta 8080; HTTPS via proxy reverso do Railway; startup ~5 s</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Banco de Dados</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PostgreSQL 16.x</w:t>
            </w:r>
          </w:p>
        </w:tc>
        <w:tc>
          <w:tcPr>
            <w:tcW w:type="dxa" w:w="1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Supabase (free tier)</w:t>
            </w:r>
          </w:p>
        </w:tc>
        <w:tc>
          <w:tcPr>
            <w:tcW w:type="dxa" w:w="1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Dev + Prod</w:t>
            </w:r>
          </w:p>
        </w:tc>
        <w:tc>
          <w:tcPr>
            <w:tcW w:type="dxa" w:w="1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Limite: 60 conexões simultâneas; backup diário automático (RPO ≤ 24 h)</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Gateway de Pagamento</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Simulado (mock REST API)</w:t>
            </w:r>
          </w:p>
        </w:tc>
        <w:tc>
          <w:tcPr>
            <w:tcW w:type="dxa" w:w="15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Interno (Spring Boot)</w:t>
            </w:r>
          </w:p>
        </w:tc>
        <w:tc>
          <w:tcPr>
            <w:tcW w:type="dxa" w:w="1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Dev</w:t>
            </w:r>
          </w:p>
        </w:tc>
        <w:tc>
          <w:tcPr>
            <w:tcW w:type="dxa" w:w="1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Em produção: substituído por Stripe ou PagSeguro</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Serviço de E-mail</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JavaMailSender (SMTP)</w:t>
            </w:r>
          </w:p>
        </w:tc>
        <w:tc>
          <w:tcPr>
            <w:tcW w:type="dxa" w:w="1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Gmail SMTP / SendGrid</w:t>
            </w:r>
          </w:p>
        </w:tc>
        <w:tc>
          <w:tcPr>
            <w:tcW w:type="dxa" w:w="1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Dev + Prod</w:t>
            </w:r>
          </w:p>
        </w:tc>
        <w:tc>
          <w:tcPr>
            <w:tcW w:type="dxa" w:w="1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Templates HTML Thymeleaf; falhas não bloqueiam o fluxo principal</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Geração de PDF</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iText 7 ou JasperReports</w:t>
            </w:r>
          </w:p>
        </w:tc>
        <w:tc>
          <w:tcPr>
            <w:tcW w:type="dxa" w:w="15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Biblioteca local (Maven)</w:t>
            </w:r>
          </w:p>
        </w:tc>
        <w:tc>
          <w:tcPr>
            <w:tcW w:type="dxa" w:w="1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Dev + Prod</w:t>
            </w:r>
          </w:p>
        </w:tc>
        <w:tc>
          <w:tcPr>
            <w:tcW w:type="dxa" w:w="1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Bilhetes e cartões de embarque em PDF com QR Code</w:t>
            </w:r>
          </w:p>
        </w:tc>
      </w:tr>
      <w:tr>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CI/CD</w:t>
            </w:r>
          </w:p>
        </w:tc>
        <w:tc>
          <w:tcPr>
            <w:tcW w:type="dxa" w:w="16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GitHub Actions</w:t>
            </w:r>
          </w:p>
        </w:tc>
        <w:tc>
          <w:tcPr>
            <w:tcW w:type="dxa" w:w="1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GitHub</w:t>
            </w:r>
          </w:p>
        </w:tc>
        <w:tc>
          <w:tcPr>
            <w:tcW w:type="dxa" w:w="12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Dev + Prod</w:t>
            </w:r>
          </w:p>
        </w:tc>
        <w:tc>
          <w:tcPr>
            <w:tcW w:type="dxa" w:w="1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Pipeline: build → test (JUnit 5) → deploy no Railway em cada push para main</w:t>
            </w:r>
          </w:p>
        </w:tc>
      </w:tr>
      <w:tr>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Controle de Versão</w:t>
            </w:r>
          </w:p>
        </w:tc>
        <w:tc>
          <w:tcPr>
            <w:tcW w:type="dxa" w:w="16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Git 2.44</w:t>
            </w:r>
          </w:p>
        </w:tc>
        <w:tc>
          <w:tcPr>
            <w:tcW w:type="dxa" w:w="15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GitHub</w:t>
            </w:r>
          </w:p>
        </w:tc>
        <w:tc>
          <w:tcPr>
            <w:tcW w:type="dxa" w:w="12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Dev</w:t>
            </w:r>
          </w:p>
        </w:tc>
        <w:tc>
          <w:tcPr>
            <w:tcW w:type="dxa" w:w="1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Repositório privado; branches por módulo; PR obrigatório para main</w:t>
            </w:r>
          </w:p>
        </w:tc>
      </w:tr>
    </w:tbl>
    <w:p>
      <w:pPr>
        <w:spacing w:after="0" w:before="60"/>
      </w:pPr>
      <w:r>
        <w:t xml:space="preserve"/>
      </w:r>
    </w:p>
    <w:p>
      <w:pPr>
        <w:spacing w:after="80" w:before="80"/>
        <w:jc w:val="both"/>
      </w:pPr>
      <w:r>
        <w:rPr>
          <w:rFonts w:ascii="Arial" w:cs="Arial" w:eastAsia="Arial" w:hAnsi="Arial"/>
          <w:b/>
          <w:bCs/>
          <w:i w:val="false"/>
          <w:iCs w:val="false"/>
          <w:color w:val="1E4D2B"/>
          <w:sz w:val="22"/>
          <w:szCs w:val="22"/>
        </w:rPr>
        <w:t xml:space="preserve">Verificação CR-09: todos os 7 módulos (M1–M7) são artefatos implantados no nó 'Backend (API REST)' acima. ✓</w:t>
      </w:r>
    </w:p>
    <w:p>
      <w:pPr>
        <w:spacing w:after="80" w:before="80"/>
        <w:jc w:val="both"/>
      </w:pPr>
      <w:r>
        <w:rPr>
          <w:rFonts w:ascii="Arial" w:cs="Arial" w:eastAsia="Arial" w:hAnsi="Arial"/>
          <w:b/>
          <w:bCs/>
          <w:i w:val="false"/>
          <w:iCs w:val="false"/>
          <w:color w:val="1E4D2B"/>
          <w:sz w:val="22"/>
          <w:szCs w:val="22"/>
        </w:rPr>
        <w:t xml:space="preserve">Verificação CR-10: toda comunicação cliente↔servidor utiliza HTTPS via proxy reverso do Railway (TLS 1.3). ✓</w:t>
      </w:r>
    </w:p>
    <w:p>
      <w:pPr>
        <w:pStyle w:val="Heading1"/>
        <w:pBdr>
          <w:bottom w:val="single" w:color="2E75B6" w:sz="8" w:space="4"/>
        </w:pBdr>
        <w:spacing w:after="180" w:before="520"/>
      </w:pPr>
      <w:r>
        <w:rPr>
          <w:rFonts w:ascii="Arial" w:cs="Arial" w:eastAsia="Arial" w:hAnsi="Arial"/>
          <w:b/>
          <w:bCs/>
          <w:color w:val="1F3864"/>
          <w:sz w:val="36"/>
          <w:szCs w:val="36"/>
        </w:rPr>
        <w:t xml:space="preserve">6  Correspondências e Regras de Correspondência</w:t>
      </w:r>
    </w:p>
    <w:p>
      <w:pPr>
        <w:spacing w:after="80" w:before="80"/>
        <w:jc w:val="both"/>
      </w:pPr>
      <w:r>
        <w:rPr>
          <w:rFonts w:ascii="Arial" w:cs="Arial" w:eastAsia="Arial" w:hAnsi="Arial"/>
          <w:b w:val="false"/>
          <w:bCs w:val="false"/>
          <w:i w:val="false"/>
          <w:iCs w:val="false"/>
          <w:color w:val="000000"/>
          <w:sz w:val="22"/>
          <w:szCs w:val="22"/>
        </w:rPr>
        <w:t xml:space="preserve">Conforme a seção 5.7 da norma ISO/IEC/IEEE 42010:2011, esta seção documenta as regras de correspondência (CR — Correspondence Rules) que garantem consistência entre os elementos desta Descrição de Arquitetura, e registra se cada regra é satisfeita ou violada.</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1200"/>
        <w:gridCol w:w="992"/>
      </w:tblGrid>
      <w:tr>
        <w:trPr>
          <w:tblHeader/>
        </w:trPr>
        <w:tc>
          <w:tcPr>
            <w:tcW w:type="dxa" w:w="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ID</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Elementos Relacionados</w:t>
            </w:r>
          </w:p>
        </w:tc>
        <w:tc>
          <w:tcPr>
            <w:tcW w:type="dxa" w:w="3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Regra de Correspondência</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Status</w:t>
            </w:r>
          </w:p>
        </w:tc>
        <w:tc>
          <w:tcPr>
            <w:tcW w:type="dxa" w:w="9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VP de Origem</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CR-01</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Stakeholders × Concerns</w:t>
            </w:r>
          </w:p>
        </w:tc>
        <w:tc>
          <w:tcPr>
            <w:tcW w:type="dxa" w:w="3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Todo stakeholder identificado deve ter ≥ 1 concern associado na Seção 2.3.</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VP-01</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CR-02</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Atores UML × Stakeholders</w:t>
            </w:r>
          </w:p>
        </w:tc>
        <w:tc>
          <w:tcPr>
            <w:tcW w:type="dxa" w:w="3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Todo ator do Diagrama de Casos de Uso deve aparecer na lista de stakeholders da Seção 2.1.</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VP-01</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CR-03</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RFs × Módulos (M1–M7)</w:t>
            </w:r>
          </w:p>
        </w:tc>
        <w:tc>
          <w:tcPr>
            <w:tcW w:type="dxa" w:w="3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Todo RF-01 a RF-25 deve estar alocado a exatamente 1 módulo na Tabela M-06 (Seção 5.2).</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VP-02</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CR-04</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Módulos × Responsáveis</w:t>
            </w:r>
          </w:p>
        </w:tc>
        <w:tc>
          <w:tcPr>
            <w:tcW w:type="dxa" w:w="3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Todo módulo M1–M7 deve ter exatamente 1 membro da equipe responsável.</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VP-02</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CR-05</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Classes × Tabelas MOR</w:t>
            </w:r>
          </w:p>
        </w:tc>
        <w:tc>
          <w:tcPr>
            <w:tcW w:type="dxa" w:w="3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Toda entidade do Diagrama de Classes (M-07) deve ter tabela correspondente no MOR (M-08).</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VP-03</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CR-06</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Estados da Reserva × ENUM</w:t>
            </w:r>
          </w:p>
        </w:tc>
        <w:tc>
          <w:tcPr>
            <w:tcW w:type="dxa" w:w="3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Todo estado do diagrama M-09 deve corresponder a um valor do reserva_status_enum no MOR.</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VP-03</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CR-07</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Fluxos de Sequência × Transições de Assento</w:t>
            </w:r>
          </w:p>
        </w:tc>
        <w:tc>
          <w:tcPr>
            <w:tcW w:type="dxa" w:w="3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Todo fluxo que modifica o status de um assento deve aparecer no diagrama de sequência de reserva (M-10).</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VP-04</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CR-08</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Eventos Externos × Tratamento</w:t>
            </w:r>
          </w:p>
        </w:tc>
        <w:tc>
          <w:tcPr>
            <w:tcW w:type="dxa" w:w="3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Todo evento externo (resposta de gateway, timeout) deve ter caminho de tratamento nos diagramas dinâmicos.</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VP-04</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CR-09</w:t>
            </w:r>
          </w:p>
        </w:tc>
        <w:tc>
          <w:tcPr>
            <w:tcW w:type="dxa" w:w="18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Módulos M1–M7 × Nó Backend</w:t>
            </w:r>
          </w:p>
        </w:tc>
        <w:tc>
          <w:tcPr>
            <w:tcW w:type="dxa" w:w="3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Todo módulo de software deve ter artefato correspondente no nó de backend do Diagrama de Implantação (M-13).</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VP-05</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CR-10</w:t>
            </w:r>
          </w:p>
        </w:tc>
        <w:tc>
          <w:tcPr>
            <w:tcW w:type="dxa" w:w="18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Frontend↔Backend × HTTPS</w:t>
            </w:r>
          </w:p>
        </w:tc>
        <w:tc>
          <w:tcPr>
            <w:tcW w:type="dxa" w:w="3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Toda comunicação entre frontend e backend deve usar HTTPS (TLS 1.3), conforme RNF-06 do SRS.</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 Satisfeita</w:t>
            </w:r>
          </w:p>
        </w:tc>
        <w:tc>
          <w:tcPr>
            <w:tcW w:type="dxa" w:w="9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VP-05</w:t>
            </w:r>
          </w:p>
        </w:tc>
      </w:tr>
    </w:tbl>
    <w:p>
      <w:pPr>
        <w:spacing w:after="0" w:before="80"/>
      </w:pPr>
      <w:r>
        <w:t xml:space="preserve"/>
      </w:r>
    </w:p>
    <w:p>
      <w:pPr>
        <w:spacing w:after="80" w:before="80"/>
        <w:jc w:val="both"/>
      </w:pPr>
      <w:r>
        <w:rPr>
          <w:rFonts w:ascii="Arial" w:cs="Arial" w:eastAsia="Arial" w:hAnsi="Arial"/>
          <w:b w:val="false"/>
          <w:bCs w:val="false"/>
          <w:i w:val="false"/>
          <w:iCs w:val="false"/>
          <w:color w:val="1E4D2B"/>
          <w:sz w:val="22"/>
          <w:szCs w:val="22"/>
        </w:rPr>
        <w:t xml:space="preserve">Registro de inconsistências conhecidas (ISO 42010 §5.7.1): nenhuma inconsistência conhecida entre os modelos e as views desta Descrição de Arquitetura foi identificada na versão 1.0. Todas as 10 regras de correspondência estão satisfeitas.</w:t>
      </w:r>
    </w:p>
    <w:p>
      <w:pPr>
        <w:pStyle w:val="Heading1"/>
        <w:pBdr>
          <w:bottom w:val="single" w:color="2E75B6" w:sz="8" w:space="4"/>
        </w:pBdr>
        <w:spacing w:after="180" w:before="520"/>
      </w:pPr>
      <w:r>
        <w:rPr>
          <w:rFonts w:ascii="Arial" w:cs="Arial" w:eastAsia="Arial" w:hAnsi="Arial"/>
          <w:b/>
          <w:bCs/>
          <w:color w:val="1F3864"/>
          <w:sz w:val="36"/>
          <w:szCs w:val="36"/>
        </w:rPr>
        <w:t xml:space="preserve">7  Decisões de Arquitetura e Rationale</w:t>
      </w:r>
    </w:p>
    <w:p>
      <w:pPr>
        <w:spacing w:after="80" w:before="80"/>
        <w:jc w:val="both"/>
      </w:pPr>
      <w:r>
        <w:rPr>
          <w:rFonts w:ascii="Arial" w:cs="Arial" w:eastAsia="Arial" w:hAnsi="Arial"/>
          <w:b w:val="false"/>
          <w:bCs w:val="false"/>
          <w:i w:val="false"/>
          <w:iCs w:val="false"/>
          <w:color w:val="000000"/>
          <w:sz w:val="22"/>
          <w:szCs w:val="22"/>
        </w:rPr>
        <w:t xml:space="preserve">Conforme a seção 5.8 da norma ISO/IEC/IEEE 42010:2011, esta seção registra as decisões de arquitetura consideradas arquiteturalmente significativas, a justificativa (rationale) para cada decisão, as alternativas consideradas, as consequências e os timestamps. A norma recomenda registrar: o identificador único, a decisão, o concern associado, o responsável, as alternativas e o rationale.</w:t>
      </w:r>
    </w:p>
    <w:p>
      <w:pPr>
        <w:spacing w:after="0" w:before="80"/>
      </w:pPr>
      <w:r>
        <w:t xml:space="preserve"/>
      </w:r>
    </w:p>
    <w:p>
      <w:pPr>
        <w:pStyle w:val="Heading2"/>
        <w:spacing w:after="120" w:before="320"/>
      </w:pPr>
      <w:r>
        <w:rPr>
          <w:rFonts w:ascii="Arial" w:cs="Arial" w:eastAsia="Arial" w:hAnsi="Arial"/>
          <w:b/>
          <w:bCs/>
          <w:color w:val="2E75B6"/>
          <w:sz w:val="28"/>
          <w:szCs w:val="28"/>
        </w:rPr>
        <w:t xml:space="preserve">7.1  AD-01 — Arquitetura em 3 Camadas (MVC) com API REST</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4A235A" w:val="clear"/>
            <w:tcMar>
              <w:top w:type="dxa" w:w="100"/>
              <w:left w:type="dxa" w:w="180"/>
              <w:bottom w:type="dxa" w:w="100"/>
              <w:right w:type="dxa" w:w="180"/>
            </w:tcMar>
          </w:tcPr>
          <w:p>
            <w:r>
              <w:rPr>
                <w:rFonts w:ascii="Arial" w:cs="Arial" w:eastAsia="Arial" w:hAnsi="Arial"/>
                <w:b/>
                <w:bCs/>
                <w:color w:val="E8B4FF"/>
                <w:sz w:val="22"/>
                <w:szCs w:val="22"/>
              </w:rPr>
              <w:t xml:space="preserve">AD-01  —  </w:t>
            </w:r>
          </w:p>
          <w:p>
            <w:pPr>
              <w:spacing w:after="0" w:before="30"/>
            </w:pPr>
            <w:r>
              <w:rPr>
                <w:rFonts w:ascii="Arial" w:cs="Arial" w:eastAsia="Arial" w:hAnsi="Arial"/>
                <w:b/>
                <w:bCs/>
                <w:color w:val="FFFFFF"/>
                <w:sz w:val="26"/>
                <w:szCs w:val="26"/>
              </w:rPr>
              <w:t xml:space="preserve">Arquitetura em 3 Camadas (MVC) com API REST</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Identificador</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AD-01</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Concern associado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Estruturação, manutenibilidade e separação de responsabilidades (RNF-14, RNF-15)</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Responsável</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1] — Líder Técnico / Arquiteto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Status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Aprovada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Decisão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 SkyPass adota arquitetura em 3 camadas — Apresentação (HTML/CSS/JS), Lógica de Negócio (Spring Boot MVC) e Dados (PostgreSQL) — com comunicação entre frontend e backend exclusivamente via API REST documentada pelo Swagger/OpenAPI.</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Justificativa (Rationale)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 arquitetura em 3 camadas é o padrão ensinado na disciplina, atende ao requisito do professor de separação de responsabilidades, facilita a divisão vertical de trabalho entre os 7 membros e é extensível para um futuro app mobile sem reescrita do backend. O padrão MVC é suportado nativamente pelo Spring Boot, reduzindo a curva de aprendizado.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Alternativas consideradas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Monólito sem API REST (frontend renderizado pelo servidor com Thymeleaf): descartado porque impediria que o protótipo HTML já desenvolvido (vOO Airways) fosse reaproveitado como frontend.</w:t>
            </w:r>
          </w:p>
          <w:p>
            <w:pPr>
              <w:pStyle w:val="ListParagraph"/>
              <w:numPr>
                <w:ilvl w:val="0"/>
                <w:numId w:val="2"/>
              </w:numPr>
              <w:spacing w:after="40" w:before="40"/>
            </w:pPr>
            <w:r>
              <w:rPr>
                <w:rFonts w:ascii="Arial" w:cs="Arial" w:eastAsia="Arial" w:hAnsi="Arial"/>
                <w:sz w:val="20"/>
                <w:szCs w:val="20"/>
              </w:rPr>
              <w:t xml:space="preserve">Microserviços: descartado pelo prazo acadêmico e pela complexidade operacional de orquestração (Kubernetes, service discovery) incompatível com os recursos da equipe.</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Consequências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Positiva: 100% dos endpoints documentados automaticamente via SpringDoc (atende RNF-15).</w:t>
            </w:r>
          </w:p>
          <w:p>
            <w:pPr>
              <w:pStyle w:val="ListParagraph"/>
              <w:numPr>
                <w:ilvl w:val="0"/>
                <w:numId w:val="2"/>
              </w:numPr>
              <w:spacing w:after="40" w:before="40"/>
            </w:pPr>
            <w:r>
              <w:rPr>
                <w:rFonts w:ascii="Arial" w:cs="Arial" w:eastAsia="Arial" w:hAnsi="Arial"/>
                <w:sz w:val="20"/>
                <w:szCs w:val="20"/>
              </w:rPr>
              <w:t xml:space="preserve">Positiva: Frontend e backend podem ser desenvolvidos em paralelo pelos membros da equipe após definição do contrato de API.</w:t>
            </w:r>
          </w:p>
          <w:p>
            <w:pPr>
              <w:pStyle w:val="ListParagraph"/>
              <w:numPr>
                <w:ilvl w:val="0"/>
                <w:numId w:val="2"/>
              </w:numPr>
              <w:spacing w:after="40" w:before="40"/>
            </w:pPr>
            <w:r>
              <w:rPr>
                <w:rFonts w:ascii="Arial" w:cs="Arial" w:eastAsia="Arial" w:hAnsi="Arial"/>
                <w:sz w:val="20"/>
                <w:szCs w:val="20"/>
              </w:rPr>
              <w:t xml:space="preserve">Negativa: Necessidade de gerenciar CORS no backend para permitir requisições cross-origin do frontend.</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Timestamp</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Decidida em 01/04/2026 | Aprovada em 17/04/2026 (Milestone P1)</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7.2  AD-02 — Java 17 + Spring Boot 3 como Stack de Backend</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4A235A" w:val="clear"/>
            <w:tcMar>
              <w:top w:type="dxa" w:w="100"/>
              <w:left w:type="dxa" w:w="180"/>
              <w:bottom w:type="dxa" w:w="100"/>
              <w:right w:type="dxa" w:w="180"/>
            </w:tcMar>
          </w:tcPr>
          <w:p>
            <w:r>
              <w:rPr>
                <w:rFonts w:ascii="Arial" w:cs="Arial" w:eastAsia="Arial" w:hAnsi="Arial"/>
                <w:b/>
                <w:bCs/>
                <w:color w:val="E8B4FF"/>
                <w:sz w:val="22"/>
                <w:szCs w:val="22"/>
              </w:rPr>
              <w:t xml:space="preserve">AD-02  —  </w:t>
            </w:r>
          </w:p>
          <w:p>
            <w:pPr>
              <w:spacing w:after="0" w:before="30"/>
            </w:pPr>
            <w:r>
              <w:rPr>
                <w:rFonts w:ascii="Arial" w:cs="Arial" w:eastAsia="Arial" w:hAnsi="Arial"/>
                <w:b/>
                <w:bCs/>
                <w:color w:val="FFFFFF"/>
                <w:sz w:val="26"/>
                <w:szCs w:val="26"/>
              </w:rPr>
              <w:t xml:space="preserve">Java 17 + Spring Boot 3 como Stack de Backend</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Identificador</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AD-02</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Concern associado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Viabilidade de construção, compatibilidade com habilidades da equipe, padrões de projeto obrigatórios (RNF-14)</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Responsável</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1] — Líder Técnico / Arquiteto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Status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Aprovada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Decisão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 backend do SkyPass é desenvolvido em Java 17 (LTS) com Spring Boot 3.3, Spring Data JPA, Spring Security (JWT) e Hibernate 6.x como ORM. Build e gerenciamento de dependências via Maven 3.9+.</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Justificativa (Rationale)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Java 17 e Spring Boot 3 são a stack já utilizada com êxito no projeto vOO Airways (POO), o que reduz riscos tecnológicos. O ecossistema Spring oferece suporte nativo a todos os padrões de projeto exigidos pela disciplina (Strategy via @Service + interface, Factory via @Component, Observer via ApplicationEventPublisher, Chain of Responsibility via HandlerInterceptor). A tipagem estática do Java facilita a detecção precoce de erros.</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Alternativas consideradas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Python com Django REST Framework: descartado pela menor familiaridade da equipe com o ecossistema Python para desenvolvimento web e pela ausência de tipagem estática.</w:t>
            </w:r>
          </w:p>
          <w:p>
            <w:pPr>
              <w:pStyle w:val="ListParagraph"/>
              <w:numPr>
                <w:ilvl w:val="0"/>
                <w:numId w:val="2"/>
              </w:numPr>
              <w:spacing w:after="40" w:before="40"/>
            </w:pPr>
            <w:r>
              <w:rPr>
                <w:rFonts w:ascii="Arial" w:cs="Arial" w:eastAsia="Arial" w:hAnsi="Arial"/>
                <w:sz w:val="20"/>
                <w:szCs w:val="20"/>
              </w:rPr>
              <w:t xml:space="preserve">Node.js com Express: descartado pela dificuldade de implementar padrões de projeto orientados a objetos de forma nativa em JavaScript sem TypeScript.</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Consequências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Positiva: Reaproveita o modelo de domínio (entidades JPA) do projeto vOO Airways como base para as entidades do SkyPass.</w:t>
            </w:r>
          </w:p>
          <w:p>
            <w:pPr>
              <w:pStyle w:val="ListParagraph"/>
              <w:numPr>
                <w:ilvl w:val="0"/>
                <w:numId w:val="2"/>
              </w:numPr>
              <w:spacing w:after="40" w:before="40"/>
            </w:pPr>
            <w:r>
              <w:rPr>
                <w:rFonts w:ascii="Arial" w:cs="Arial" w:eastAsia="Arial" w:hAnsi="Arial"/>
                <w:sz w:val="20"/>
                <w:szCs w:val="20"/>
              </w:rPr>
              <w:t xml:space="preserve">Positiva: Spring Boot Actuator oferece endpoints de monitoramento (/health, /metrics) sem configuração adicional.</w:t>
            </w:r>
          </w:p>
          <w:p>
            <w:pPr>
              <w:pStyle w:val="ListParagraph"/>
              <w:numPr>
                <w:ilvl w:val="0"/>
                <w:numId w:val="2"/>
              </w:numPr>
              <w:spacing w:after="40" w:before="40"/>
            </w:pPr>
            <w:r>
              <w:rPr>
                <w:rFonts w:ascii="Arial" w:cs="Arial" w:eastAsia="Arial" w:hAnsi="Arial"/>
                <w:sz w:val="20"/>
                <w:szCs w:val="20"/>
              </w:rPr>
              <w:t xml:space="preserve">Negativa: O startup do Spring Boot é mais lento (3–5 s) que Node.js, impactando o tempo de reinicialização durante o desenvolvimento.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Timestamp</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Decidida em 01/04/2026 | Aprovada em 17/04/2026 (Milestone P1)</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7.3  AD-03 — PostgreSQL 16 com Flyway para Migrations Versionadas</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4A235A" w:val="clear"/>
            <w:tcMar>
              <w:top w:type="dxa" w:w="100"/>
              <w:left w:type="dxa" w:w="180"/>
              <w:bottom w:type="dxa" w:w="100"/>
              <w:right w:type="dxa" w:w="180"/>
            </w:tcMar>
          </w:tcPr>
          <w:p>
            <w:r>
              <w:rPr>
                <w:rFonts w:ascii="Arial" w:cs="Arial" w:eastAsia="Arial" w:hAnsi="Arial"/>
                <w:b/>
                <w:bCs/>
                <w:color w:val="E8B4FF"/>
                <w:sz w:val="22"/>
                <w:szCs w:val="22"/>
              </w:rPr>
              <w:t xml:space="preserve">AD-03  —  </w:t>
            </w:r>
          </w:p>
          <w:p>
            <w:pPr>
              <w:spacing w:after="0" w:before="30"/>
            </w:pPr>
            <w:r>
              <w:rPr>
                <w:rFonts w:ascii="Arial" w:cs="Arial" w:eastAsia="Arial" w:hAnsi="Arial"/>
                <w:b/>
                <w:bCs/>
                <w:color w:val="FFFFFF"/>
                <w:sz w:val="26"/>
                <w:szCs w:val="26"/>
              </w:rPr>
              <w:t xml:space="preserve">PostgreSQL 16 com Flyway para Migrations Versionadas</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Identificador</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AD-03</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Concern associado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Integridade dos dados, rastreabilidade do esquema, conformidade com RD-01 a RD-08 (SQL, 3.5 do SRS)</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Responsável</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7] — Dev / QA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Status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Aprovada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Decisão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 banco de dados relacional adotado é PostgreSQL 16.x, gerenciado com Flyway 10.x para versionamento de migrations. ENUMs são nativos do PostgreSQL (não strings). A instância de produção acadêmica é hospedada no Supabase (gratuito).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Justificativa (Rationale)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PostgreSQL suporta ENUMs nativos, arrays e tipos avançados que simplificam o mapeamento das entidades do domínio aeronáutico. O Flyway garante que qualquer membro da equipe ou ambiente (dev/staging/prod) parta do mesmo estado do banco, eliminando a síndrome de 'funciona na minha máquina'. ENUMs nativos oferecem validação de integridade no nível do banco, dispensando constraints de aplicação duplicadas.</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Alternativas consideradas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MySQL 8.x: descartado pelo suporte inferior a ENUMs nativos e menor compatibilidade com o Hibernate 6 em cenários de mapeamento complexo.</w:t>
            </w:r>
          </w:p>
          <w:p>
            <w:pPr>
              <w:pStyle w:val="ListParagraph"/>
              <w:numPr>
                <w:ilvl w:val="0"/>
                <w:numId w:val="2"/>
              </w:numPr>
              <w:spacing w:after="40" w:before="40"/>
            </w:pPr>
            <w:r>
              <w:rPr>
                <w:rFonts w:ascii="Arial" w:cs="Arial" w:eastAsia="Arial" w:hAnsi="Arial"/>
                <w:sz w:val="20"/>
                <w:szCs w:val="20"/>
              </w:rPr>
              <w:t xml:space="preserve">H2 (em memória para desenvolvimento): descartado como banco principal por não ter ENUMs nativos e diferir do comportamento de produção; H2 pode ser usado apenas em testes unitários.</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Consequências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Positiva: Migrations versionadas garantem rastreabilidade total das alterações de esquema (RNF-16 do SRS).</w:t>
            </w:r>
          </w:p>
          <w:p>
            <w:pPr>
              <w:pStyle w:val="ListParagraph"/>
              <w:numPr>
                <w:ilvl w:val="0"/>
                <w:numId w:val="2"/>
              </w:numPr>
              <w:spacing w:after="40" w:before="40"/>
            </w:pPr>
            <w:r>
              <w:rPr>
                <w:rFonts w:ascii="Arial" w:cs="Arial" w:eastAsia="Arial" w:hAnsi="Arial"/>
                <w:sz w:val="20"/>
                <w:szCs w:val="20"/>
              </w:rPr>
              <w:t xml:space="preserve">Positiva: Supabase oferece backup automático gratuito, atendendo ao RNF-09 (RPO ≤ 24 h) sem custo adicional.</w:t>
            </w:r>
          </w:p>
          <w:p>
            <w:pPr>
              <w:pStyle w:val="ListParagraph"/>
              <w:numPr>
                <w:ilvl w:val="0"/>
                <w:numId w:val="2"/>
              </w:numPr>
              <w:spacing w:after="40" w:before="40"/>
            </w:pPr>
            <w:r>
              <w:rPr>
                <w:rFonts w:ascii="Arial" w:cs="Arial" w:eastAsia="Arial" w:hAnsi="Arial"/>
                <w:sz w:val="20"/>
                <w:szCs w:val="20"/>
              </w:rPr>
              <w:t xml:space="preserve">Negativa: A instância gratuita do Supabase tem limite de conexões simultâneas (até 60), o que pode ser um gargalo em cenários de carga alta.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Timestamp</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Decidida em 01/04/2026 | Aprovada em 13/05/2026 (Milestone P2)</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7.4  AD-04 — Autenticação Stateless com JWT (Bearer Token)</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4A235A" w:val="clear"/>
            <w:tcMar>
              <w:top w:type="dxa" w:w="100"/>
              <w:left w:type="dxa" w:w="180"/>
              <w:bottom w:type="dxa" w:w="100"/>
              <w:right w:type="dxa" w:w="180"/>
            </w:tcMar>
          </w:tcPr>
          <w:p>
            <w:r>
              <w:rPr>
                <w:rFonts w:ascii="Arial" w:cs="Arial" w:eastAsia="Arial" w:hAnsi="Arial"/>
                <w:b/>
                <w:bCs/>
                <w:color w:val="E8B4FF"/>
                <w:sz w:val="22"/>
                <w:szCs w:val="22"/>
              </w:rPr>
              <w:t xml:space="preserve">AD-04  —  </w:t>
            </w:r>
          </w:p>
          <w:p>
            <w:pPr>
              <w:spacing w:after="0" w:before="30"/>
            </w:pPr>
            <w:r>
              <w:rPr>
                <w:rFonts w:ascii="Arial" w:cs="Arial" w:eastAsia="Arial" w:hAnsi="Arial"/>
                <w:b/>
                <w:bCs/>
                <w:color w:val="FFFFFF"/>
                <w:sz w:val="26"/>
                <w:szCs w:val="26"/>
              </w:rPr>
              <w:t xml:space="preserve">Autenticação Stateless com JWT (Bearer Token)</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Identificador</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AD-04</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Concern associado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Segurança, escalabilidade horizontal e ausência de estado de sessão no servidor (RNF-04, RNF-06, 3.6 do SRS)</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Responsável</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1] — Líder Técnico / Arquiteto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Status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Aprovada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Decisão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 autenticação é implementada com JSON Web Tokens (JWT) no padrão Bearer Token. Tokens de passageiro têm validade de 24 h; tokens de administrador têm validade de 8 h. Senhas armazenadas com BCrypt (fator de custo = 12). Bloqueio de conta após 5 tentativas falhas por 15 min.</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Justificativa (Rationale)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JWT permite sessões stateless — o servidor não armazena estado de sessão, o que habilita escalabilidade horizontal sem sticky sessions. Spring Security oferece suporte nativo a JWT via filtros de requisição. BCrypt com fator 12 oferece resistência adequada a ataques de força bruta sem impacto perceptível no tempo de resposta (≈ 300 ms por hash, dentro do RNF-01).</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Alternativas consideradas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Sessões baseadas em cookies (HttpSession): descartado porque exige armazenamento de estado no servidor (Redis ou banco), complicando o deploy no Railway/Render com múltiplas instâncias.</w:t>
            </w:r>
          </w:p>
          <w:p>
            <w:pPr>
              <w:pStyle w:val="ListParagraph"/>
              <w:numPr>
                <w:ilvl w:val="0"/>
                <w:numId w:val="2"/>
              </w:numPr>
              <w:spacing w:after="40" w:before="40"/>
            </w:pPr>
            <w:r>
              <w:rPr>
                <w:rFonts w:ascii="Arial" w:cs="Arial" w:eastAsia="Arial" w:hAnsi="Arial"/>
                <w:sz w:val="20"/>
                <w:szCs w:val="20"/>
              </w:rPr>
              <w:t xml:space="preserve">OAuth2 com provedor externo (Google, GitHub): avaliado, mas descartado para o MVP acadêmico por aumentar a complexidade de configuração; pode ser adicionado em versão futura.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Consequências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Positiva: Escalabilidade horizontal habilitada sem alterações de código (RNF-16 — arquitetura stateless via JWT documentada em 3.6 do SRS).</w:t>
            </w:r>
          </w:p>
          <w:p>
            <w:pPr>
              <w:pStyle w:val="ListParagraph"/>
              <w:numPr>
                <w:ilvl w:val="0"/>
                <w:numId w:val="2"/>
              </w:numPr>
              <w:spacing w:after="40" w:before="40"/>
            </w:pPr>
            <w:r>
              <w:rPr>
                <w:rFonts w:ascii="Arial" w:cs="Arial" w:eastAsia="Arial" w:hAnsi="Arial"/>
                <w:sz w:val="20"/>
                <w:szCs w:val="20"/>
              </w:rPr>
              <w:t xml:space="preserve">Positiva: Eliminação do risco de session fixation e CSRF em APIs REST consumidas por SPAs.</w:t>
            </w:r>
          </w:p>
          <w:p>
            <w:pPr>
              <w:pStyle w:val="ListParagraph"/>
              <w:numPr>
                <w:ilvl w:val="0"/>
                <w:numId w:val="2"/>
              </w:numPr>
              <w:spacing w:after="40" w:before="40"/>
            </w:pPr>
            <w:r>
              <w:rPr>
                <w:rFonts w:ascii="Arial" w:cs="Arial" w:eastAsia="Arial" w:hAnsi="Arial"/>
                <w:sz w:val="20"/>
                <w:szCs w:val="20"/>
              </w:rPr>
              <w:t xml:space="preserve">Negativa: Revogação de token antes da expiração requer uma blocklist no Redis ou banco (overhead adicional); para o MVP, a solução é aceitar o risco e usar validade curta.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Timestamp</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Decidida em 01/04/2026 | Aprovada em 17/04/2026 (Milestone P1)</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7.5  AD-05 — Divisão Vertical de Módulos entre Membros da Equipe</w:t>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2000"/>
        <w:gridCol w:w="5892"/>
      </w:tblGrid>
      <w:tr>
        <w:tc>
          <w:tcPr>
            <w:tcW w:type="dxa" w:w="7892"/>
            <w:gridSpan w:val="2"/>
            <w:tcBorders>
              <w:top w:val="single" w:color="1F3864" w:sz="1"/>
              <w:left w:val="single" w:color="1F3864" w:sz="1"/>
              <w:bottom w:val="single" w:color="1F3864" w:sz="1"/>
              <w:right w:val="single" w:color="1F3864" w:sz="1"/>
            </w:tcBorders>
            <w:shd w:fill="4A235A" w:val="clear"/>
            <w:tcMar>
              <w:top w:type="dxa" w:w="100"/>
              <w:left w:type="dxa" w:w="180"/>
              <w:bottom w:type="dxa" w:w="100"/>
              <w:right w:type="dxa" w:w="180"/>
            </w:tcMar>
          </w:tcPr>
          <w:p>
            <w:r>
              <w:rPr>
                <w:rFonts w:ascii="Arial" w:cs="Arial" w:eastAsia="Arial" w:hAnsi="Arial"/>
                <w:b/>
                <w:bCs/>
                <w:color w:val="E8B4FF"/>
                <w:sz w:val="22"/>
                <w:szCs w:val="22"/>
              </w:rPr>
              <w:t xml:space="preserve">AD-05  —  </w:t>
            </w:r>
          </w:p>
          <w:p>
            <w:pPr>
              <w:spacing w:after="0" w:before="30"/>
            </w:pPr>
            <w:r>
              <w:rPr>
                <w:rFonts w:ascii="Arial" w:cs="Arial" w:eastAsia="Arial" w:hAnsi="Arial"/>
                <w:b/>
                <w:bCs/>
                <w:color w:val="FFFFFF"/>
                <w:sz w:val="26"/>
                <w:szCs w:val="26"/>
              </w:rPr>
              <w:t xml:space="preserve">Divisão Vertical de Módulos entre Membros da Equipe</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Identificador</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AD-05</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Concern associado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Organização da equipe, paralelismo de desenvolvimento, rastreabilidade de responsabilidade (Plano de Projeto P1)</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Responsável</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[Nome 1] — Líder Técnico / Arquiteto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Status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Aprovada</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Decisão</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 sistema é dividido em 7 módulos verticais (M1–M7), e cada membro da equipe é responsável pelo frontend, backend e banco de dados de seu módulo. Não há divisão horizontal (um membro só cuida do banco, outro só do frontend). A integração entre módulos é feita via API REST com contratos definidos antecipadamente.</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Justificativa (Rationale)</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 divisão vertical é exigida pelo professor conforme orientação da disciplina. Ela garante que todos os membros desenvolvam competências full-stack e sejam expostos a todas as camadas técnicas. Reduz o risco de gargalo de integração ao forçar a definição de contratos de API antes da implementação.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Alternativas consideradas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Divisão horizontal (camadas): um grupo cuida do banco, outro do backend, outro do frontend. Descartado por ser proibido pela orientação do professor e por criar gargalos de integração.</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Consequências</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sz w:val="20"/>
                <w:szCs w:val="20"/>
              </w:rPr>
              <w:t xml:space="preserve">Positiva: Paralelismo de desenvolvimento: após a definição dos contratos de API na P2, os 7 módulos podem ser desenvolvidos simultaneamente.</w:t>
            </w:r>
          </w:p>
          <w:p>
            <w:pPr>
              <w:pStyle w:val="ListParagraph"/>
              <w:numPr>
                <w:ilvl w:val="0"/>
                <w:numId w:val="2"/>
              </w:numPr>
              <w:spacing w:after="40" w:before="40"/>
            </w:pPr>
            <w:r>
              <w:rPr>
                <w:rFonts w:ascii="Arial" w:cs="Arial" w:eastAsia="Arial" w:hAnsi="Arial"/>
                <w:sz w:val="20"/>
                <w:szCs w:val="20"/>
              </w:rPr>
              <w:t xml:space="preserve">Negativa: Risco de inconsistência de padrões de código entre módulos; mitigado por code review via pull requests no GitHub e por revisão semanal do Líder.</w:t>
            </w:r>
          </w:p>
        </w:tc>
      </w:tr>
      <w:tr>
        <w:tc>
          <w:tcPr>
            <w:tcW w:type="dxa" w:w="2000"/>
            <w:tcBorders>
              <w:top w:val="single" w:color="B8CCE4" w:sz="1"/>
              <w:left w:val="single" w:color="B8CCE4" w:sz="1"/>
              <w:bottom w:val="single" w:color="B8CCE4" w:sz="1"/>
              <w:right w:val="single" w:color="B8CCE4" w:sz="1"/>
            </w:tcBorders>
            <w:shd w:fill="E8D5F5"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4A235A"/>
                <w:sz w:val="20"/>
                <w:szCs w:val="20"/>
              </w:rPr>
              <w:t xml:space="preserve">Timestamp</w:t>
            </w:r>
          </w:p>
        </w:tc>
        <w:tc>
          <w:tcPr>
            <w:tcW w:type="dxa" w:w="5892"/>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Decidida em 25/03/2026 | Aprovada em 17/04/2026 (Milestone P1)</w:t>
            </w:r>
          </w:p>
        </w:tc>
      </w:tr>
    </w:tbl>
    <w:p>
      <w:pPr>
        <w:spacing w:after="0" w:before="160"/>
      </w:pPr>
      <w:r>
        <w:t xml:space="preserve"/>
      </w:r>
    </w:p>
    <w:p>
      <w:pPr>
        <w:pStyle w:val="Heading1"/>
        <w:pBdr>
          <w:bottom w:val="single" w:color="2E75B6" w:sz="8" w:space="4"/>
        </w:pBdr>
        <w:spacing w:after="180" w:before="520"/>
      </w:pPr>
      <w:r>
        <w:rPr>
          <w:rFonts w:ascii="Arial" w:cs="Arial" w:eastAsia="Arial" w:hAnsi="Arial"/>
          <w:b/>
          <w:bCs/>
          <w:color w:val="1F3864"/>
          <w:sz w:val="36"/>
          <w:szCs w:val="36"/>
        </w:rPr>
        <w:t xml:space="preserve">8  Declaração de Conformidade com a ISO/IEC/IEEE 42010:2011</w:t>
      </w:r>
    </w:p>
    <w:p>
      <w:pPr>
        <w:spacing w:after="80" w:before="80"/>
        <w:jc w:val="both"/>
      </w:pPr>
      <w:r>
        <w:rPr>
          <w:rFonts w:ascii="Arial" w:cs="Arial" w:eastAsia="Arial" w:hAnsi="Arial"/>
          <w:b w:val="false"/>
          <w:bCs w:val="false"/>
          <w:i w:val="false"/>
          <w:iCs w:val="false"/>
          <w:color w:val="000000"/>
          <w:sz w:val="22"/>
          <w:szCs w:val="22"/>
        </w:rPr>
        <w:t xml:space="preserve">Esta seção demonstra que esta Descrição de Arquitetura atende a todos os requisitos obrigatórios (marcados com 'shall') da norma ISO/IEC/IEEE 42010:2011, Cláusula 5.</w:t>
      </w:r>
    </w:p>
    <w:p>
      <w:pPr>
        <w:spacing w:after="0" w:before="60"/>
      </w:pPr>
      <w:r>
        <w:t xml:space="preserve"/>
      </w:r>
    </w:p>
    <w:tbl>
      <w:tblPr>
        <w:tblW w:type="dxa" w:w="7892"/>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500"/>
        <w:gridCol w:w="1492"/>
      </w:tblGrid>
      <w:tr>
        <w:trPr>
          <w:tblHeader/>
        </w:trPr>
        <w:tc>
          <w:tcPr>
            <w:tcW w:type="dxa" w:w="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Cláusula</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Requisito Normativo ('shall')</w:t>
            </w:r>
          </w:p>
        </w:tc>
        <w:tc>
          <w:tcPr>
            <w:tcW w:type="dxa" w:w="3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Forma de Atendimento neste Documento</w:t>
            </w:r>
          </w:p>
        </w:tc>
        <w:tc>
          <w:tcPr>
            <w:tcW w:type="dxa" w:w="1492"/>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Status</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§5.2</w:t>
            </w:r>
          </w:p>
        </w:tc>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Identificar o sistema de interesse e incluir informações suplementares</w:t>
            </w:r>
          </w:p>
        </w:tc>
        <w:tc>
          <w:tcPr>
            <w:tcW w:type="dxa" w:w="3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Tabela de identificação completa na Seção 1, incluindo versão, autores, revisores, histórico de mudanças e resultados de avaliação.</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§5.3</w:t>
            </w:r>
          </w:p>
        </w:tc>
        <w:tc>
          <w:tcPr>
            <w:tcW w:type="dxa" w:w="2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Identificar stakeholders e concerns; associar cada concern a seu(s) stakeholder(s)</w:t>
            </w:r>
          </w:p>
        </w:tc>
        <w:tc>
          <w:tcPr>
            <w:tcW w:type="dxa" w:w="35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Seção 2.1 (stakeholders), Seção 2.2 (concerns) e Seção 2.3 (matriz stakeholders × concerns).</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§5.4</w:t>
            </w:r>
          </w:p>
        </w:tc>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Incluir definição de cada viewpoint usado; cada concern deve ser enquadrado por ≥ 1 viewpoint</w:t>
            </w:r>
          </w:p>
        </w:tc>
        <w:tc>
          <w:tcPr>
            <w:tcW w:type="dxa" w:w="3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Seção 3 define 5 viewpoints (VP-01 a VP-05); Seção 3.6 demonstra cobertura total dos 10 concerns.</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§5.5</w:t>
            </w:r>
          </w:p>
        </w:tc>
        <w:tc>
          <w:tcPr>
            <w:tcW w:type="dxa" w:w="2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Incluir exatamente 1 view por viewpoint; cada view deve cobrir o sistema todo do ponto de vista de seu viewpoint</w:t>
            </w:r>
          </w:p>
        </w:tc>
        <w:tc>
          <w:tcPr>
            <w:tcW w:type="dxa" w:w="35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Seção 4 apresenta 5 views (V-01 a V-05), uma por viewpoint. Cada view lista os modelos que cobrem o sistema completo.</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§5.6</w:t>
            </w:r>
          </w:p>
        </w:tc>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Cada model deve incluir identificação de versão e identificar seu model kind governante</w:t>
            </w:r>
          </w:p>
        </w:tc>
        <w:tc>
          <w:tcPr>
            <w:tcW w:type="dxa" w:w="3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Seção 5 apresenta os modelos M-02, M-06, M-09 e M-14 com versão, viewpoint e tipo explicitados. Modelos em StarUML são referenciados como anexos digitais com versão.</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§5.7.1</w:t>
            </w:r>
          </w:p>
        </w:tc>
        <w:tc>
          <w:tcPr>
            <w:tcW w:type="dxa" w:w="2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Registrar inconsistências conhecidas entre modelos e views</w:t>
            </w:r>
          </w:p>
        </w:tc>
        <w:tc>
          <w:tcPr>
            <w:tcW w:type="dxa" w:w="35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Seção 6 registra explicitamente que nenhuma inconsistência conhecida foi identificada na versão 1.0.</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§5.7.2–5.7.3</w:t>
            </w:r>
          </w:p>
        </w:tc>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Identificar correspondências e regras de correspondência; registrar se cada regra é satisfeita</w:t>
            </w:r>
          </w:p>
        </w:tc>
        <w:tc>
          <w:tcPr>
            <w:tcW w:type="dxa" w:w="3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Seção 6 documenta 10 regras de correspondência (CR-01 a CR-10) com status de satisfação verificado.</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r>
        <w:tc>
          <w:tcPr>
            <w:tcW w:type="dxa" w:w="9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§5.8.1</w:t>
            </w:r>
          </w:p>
        </w:tc>
        <w:tc>
          <w:tcPr>
            <w:tcW w:type="dxa" w:w="20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Incluir rationale para cada viewpoint e para cada decisão de arquitetura chave</w:t>
            </w:r>
          </w:p>
        </w:tc>
        <w:tc>
          <w:tcPr>
            <w:tcW w:type="dxa" w:w="3500"/>
            <w:tcBorders>
              <w:top w:val="single" w:color="B8CCE4" w:sz="1"/>
              <w:left w:val="single" w:color="B8CCE4" w:sz="1"/>
              <w:bottom w:val="single" w:color="B8CCE4" w:sz="1"/>
              <w:right w:val="single" w:color="B8CCE4" w:sz="1"/>
            </w:tcBorders>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Seção 3 inclui rationale (campo 'Métodos de análise' e 'Regras de correspondência') em cada viewpoint. Seção 7 inclui rationale completo para as 5 decisões AD-01 a AD-05.</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F3864"/>
                <w:sz w:val="20"/>
                <w:szCs w:val="20"/>
              </w:rPr>
              <w:t xml:space="preserve">§7</w:t>
            </w:r>
          </w:p>
        </w:tc>
        <w:tc>
          <w:tcPr>
            <w:tcW w:type="dxa" w:w="20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Cada viewpoint deve especificar: concerns, stakeholders, model kinds, linguagem/notação e referências</w:t>
            </w:r>
          </w:p>
        </w:tc>
        <w:tc>
          <w:tcPr>
            <w:tcW w:type="dxa" w:w="350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Seção 3 usa o template do Anexo B da norma para todos os 5 viewpoints.</w:t>
            </w:r>
          </w:p>
        </w:tc>
        <w:tc>
          <w:tcPr>
            <w:tcW w:type="dxa" w:w="1492"/>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E4D2B"/>
                <w:sz w:val="20"/>
                <w:szCs w:val="20"/>
              </w:rPr>
              <w:t xml:space="preserve">✓</w:t>
            </w:r>
          </w:p>
        </w:tc>
      </w:tr>
    </w:tbl>
    <w:p>
      <w:pPr>
        <w:pStyle w:val="Heading1"/>
        <w:pBdr>
          <w:bottom w:val="single" w:color="2E75B6" w:sz="8" w:space="4"/>
        </w:pBdr>
        <w:spacing w:after="180" w:before="520"/>
      </w:pPr>
      <w:r>
        <w:rPr>
          <w:rFonts w:ascii="Arial" w:cs="Arial" w:eastAsia="Arial" w:hAnsi="Arial"/>
          <w:b/>
          <w:bCs/>
          <w:color w:val="1F3864"/>
          <w:sz w:val="36"/>
          <w:szCs w:val="36"/>
        </w:rPr>
        <w:t xml:space="preserve">9  Referências</w:t>
      </w:r>
    </w:p>
    <w:p>
      <w:pPr>
        <w:pStyle w:val="ListParagraph"/>
        <w:numPr>
          <w:ilvl w:val="0"/>
          <w:numId w:val="2"/>
        </w:numPr>
        <w:spacing w:after="60" w:before="60"/>
      </w:pPr>
      <w:r>
        <w:rPr>
          <w:rFonts w:ascii="Arial" w:cs="Arial" w:eastAsia="Arial" w:hAnsi="Arial"/>
          <w:sz w:val="22"/>
          <w:szCs w:val="22"/>
        </w:rPr>
        <w:t xml:space="preserve">[1] ISO/IEC/IEEE 42010:2011, Systems and software engineering — Architecture description. International Organization for Standardization, Geneva, 2011. ISBN 978-0-7381-7142-5.</w:t>
      </w:r>
    </w:p>
    <w:p>
      <w:pPr>
        <w:pStyle w:val="ListParagraph"/>
        <w:numPr>
          <w:ilvl w:val="0"/>
          <w:numId w:val="2"/>
        </w:numPr>
        <w:spacing w:after="60" w:before="60"/>
      </w:pPr>
      <w:r>
        <w:rPr>
          <w:rFonts w:ascii="Arial" w:cs="Arial" w:eastAsia="Arial" w:hAnsi="Arial"/>
          <w:sz w:val="22"/>
          <w:szCs w:val="22"/>
        </w:rPr>
        <w:t xml:space="preserve">[2] IEEE Std 830-1998, IEEE Recommended Practice for Software Requirements Specifications. IEEE Computer Society, New York, 1998. ISBN 0-7381-0332-2.</w:t>
      </w:r>
    </w:p>
    <w:p>
      <w:pPr>
        <w:pStyle w:val="ListParagraph"/>
        <w:numPr>
          <w:ilvl w:val="0"/>
          <w:numId w:val="2"/>
        </w:numPr>
        <w:spacing w:after="60" w:before="60"/>
      </w:pPr>
      <w:r>
        <w:rPr>
          <w:rFonts w:ascii="Arial" w:cs="Arial" w:eastAsia="Arial" w:hAnsi="Arial"/>
          <w:sz w:val="22"/>
          <w:szCs w:val="22"/>
        </w:rPr>
        <w:t xml:space="preserve">[3] KRUCHTEN, Philippe B. The '4+1' View Model of Architecture. IEEE Software, v. 12, n. 6, p. 45–50, Nov. 1995.</w:t>
      </w:r>
    </w:p>
    <w:p>
      <w:pPr>
        <w:pStyle w:val="ListParagraph"/>
        <w:numPr>
          <w:ilvl w:val="0"/>
          <w:numId w:val="2"/>
        </w:numPr>
        <w:spacing w:after="60" w:before="60"/>
      </w:pPr>
      <w:r>
        <w:rPr>
          <w:rFonts w:ascii="Arial" w:cs="Arial" w:eastAsia="Arial" w:hAnsi="Arial"/>
          <w:sz w:val="22"/>
          <w:szCs w:val="22"/>
        </w:rPr>
        <w:t xml:space="preserve">[4] ROZANSKI, Nick; WOODS, Eóin. Software Systems Architecture: Working with Stakeholders Using Viewpoints and Perspectives. Boston: Addison-Wesley, 2005.</w:t>
      </w:r>
    </w:p>
    <w:p>
      <w:pPr>
        <w:pStyle w:val="ListParagraph"/>
        <w:numPr>
          <w:ilvl w:val="0"/>
          <w:numId w:val="2"/>
        </w:numPr>
        <w:spacing w:after="60" w:before="60"/>
      </w:pPr>
      <w:r>
        <w:rPr>
          <w:rFonts w:ascii="Arial" w:cs="Arial" w:eastAsia="Arial" w:hAnsi="Arial"/>
          <w:sz w:val="22"/>
          <w:szCs w:val="22"/>
        </w:rPr>
        <w:t xml:space="preserve">[5] PRESSMAN, Roger S.; MAXIM, Bruce R. Engenharia de Software: uma abordagem profissional. 8. ed. Porto Alegre: AMGH (McGraw-Hill), 2016.</w:t>
      </w:r>
    </w:p>
    <w:p>
      <w:pPr>
        <w:pStyle w:val="ListParagraph"/>
        <w:numPr>
          <w:ilvl w:val="0"/>
          <w:numId w:val="2"/>
        </w:numPr>
        <w:spacing w:after="60" w:before="60"/>
      </w:pPr>
      <w:r>
        <w:rPr>
          <w:rFonts w:ascii="Arial" w:cs="Arial" w:eastAsia="Arial" w:hAnsi="Arial"/>
          <w:sz w:val="22"/>
          <w:szCs w:val="22"/>
        </w:rPr>
        <w:t xml:space="preserve">[6] SOMMERVILLE, Ian. Engenharia de Software. 9. ed. São Paulo: Pearson Prentice Hall, 2011.</w:t>
      </w:r>
    </w:p>
    <w:p>
      <w:pPr>
        <w:pStyle w:val="ListParagraph"/>
        <w:numPr>
          <w:ilvl w:val="0"/>
          <w:numId w:val="2"/>
        </w:numPr>
        <w:spacing w:after="60" w:before="60"/>
      </w:pPr>
      <w:r>
        <w:rPr>
          <w:rFonts w:ascii="Arial" w:cs="Arial" w:eastAsia="Arial" w:hAnsi="Arial"/>
          <w:sz w:val="22"/>
          <w:szCs w:val="22"/>
        </w:rPr>
        <w:t xml:space="preserve">[7] SkyPass_Requisitos_IEEE830_P2.docx — Especificação de Requisitos de Software SkyPass. UFS, 2026.</w:t>
      </w:r>
    </w:p>
    <w:p>
      <w:pPr>
        <w:pStyle w:val="ListParagraph"/>
        <w:numPr>
          <w:ilvl w:val="0"/>
          <w:numId w:val="2"/>
        </w:numPr>
        <w:spacing w:after="60" w:before="60"/>
      </w:pPr>
      <w:r>
        <w:rPr>
          <w:rFonts w:ascii="Arial" w:cs="Arial" w:eastAsia="Arial" w:hAnsi="Arial"/>
          <w:sz w:val="22"/>
          <w:szCs w:val="22"/>
        </w:rPr>
        <w:t xml:space="preserve">[8] SkyPass_Casos_de_Uso_P2.docx — Descrição dos Casos de Uso SkyPass. UFS, 2026.</w:t>
      </w:r>
    </w:p>
    <w:p>
      <w:pPr>
        <w:pStyle w:val="ListParagraph"/>
        <w:numPr>
          <w:ilvl w:val="0"/>
          <w:numId w:val="2"/>
        </w:numPr>
        <w:spacing w:after="60" w:before="60"/>
      </w:pPr>
      <w:r>
        <w:rPr>
          <w:rFonts w:ascii="Arial" w:cs="Arial" w:eastAsia="Arial" w:hAnsi="Arial"/>
          <w:sz w:val="22"/>
          <w:szCs w:val="22"/>
        </w:rPr>
        <w:t xml:space="preserve">[9] SkyPass_Classes_e_MOR_P2.docx — Diagrama de Classes e Mapeamento Objeto-Relacional SkyPass. UFS, 2026.</w:t>
      </w:r>
    </w:p>
    <w:p>
      <w:pPr>
        <w:pStyle w:val="ListParagraph"/>
        <w:numPr>
          <w:ilvl w:val="0"/>
          <w:numId w:val="2"/>
        </w:numPr>
        <w:spacing w:after="60" w:before="60"/>
      </w:pPr>
      <w:r>
        <w:rPr>
          <w:rFonts w:ascii="Arial" w:cs="Arial" w:eastAsia="Arial" w:hAnsi="Arial"/>
          <w:sz w:val="22"/>
          <w:szCs w:val="22"/>
        </w:rPr>
        <w:t xml:space="preserve">[10] SkyPass_Plano_de_Projeto_P1.docx — Plano de Projeto SkyPass. UFS, 2026.</w:t>
      </w:r>
    </w:p>
    <w:p>
      <w:pPr>
        <w:spacing w:after="0" w:before="500"/>
      </w:pPr>
      <w:r>
        <w:t xml:space="preserve"/>
      </w:r>
    </w:p>
    <w:p>
      <w:pPr>
        <w:pBdr>
          <w:top w:val="single" w:color="2E75B6" w:sz="6" w:space="4"/>
        </w:pBdr>
        <w:spacing w:after="0" w:before="200"/>
        <w:jc w:val="center"/>
      </w:pPr>
      <w:r>
        <w:rPr>
          <w:rFonts w:ascii="Arial" w:cs="Arial" w:eastAsia="Arial" w:hAnsi="Arial"/>
          <w:color w:val="595959"/>
          <w:sz w:val="18"/>
          <w:szCs w:val="18"/>
        </w:rPr>
        <w:t xml:space="preserve">SkyPass — Descrição de Arquitetura  |  ISO/IEC/IEEE 42010:2011  |  COMP0503 Engenharia de Software  |  UFS 2026.1</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jc w:val="center"/>
    </w:pPr>
    <w:r>
      <w:rPr>
        <w:rFonts w:ascii="Arial" w:cs="Arial" w:eastAsia="Arial" w:hAnsi="Arial"/>
        <w:color w:val="595959"/>
        <w:sz w:val="18"/>
        <w:szCs w:val="18"/>
      </w:rPr>
      <w:t xml:space="preserve">COMP0503 — Engenharia de Software  |  Prof. Dr. Michel dos Santos Soares  |  UFS 2026.1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4"/>
      </w:pBdr>
      <w:tabs>
        <w:tab w:val="right" w:pos="8490"/>
      </w:tabs>
      <w:spacing w:after="160"/>
    </w:pPr>
    <w:r>
      <w:rPr>
        <w:rFonts w:ascii="Arial" w:cs="Arial" w:eastAsia="Arial" w:hAnsi="Arial"/>
        <w:b/>
        <w:bCs/>
        <w:color w:val="1F3864"/>
        <w:sz w:val="20"/>
        <w:szCs w:val="20"/>
      </w:rPr>
      <w:t xml:space="preserve">SkyPass  —  Sistema de Venda de Passagens Aéreas</w:t>
    </w:r>
    <w:r>
      <w:rPr>
        <w:rFonts w:ascii="Arial" w:cs="Arial" w:eastAsia="Arial" w:hAnsi="Arial"/>
        <w:color w:val="595959"/>
        <w:sz w:val="20"/>
        <w:szCs w:val="20"/>
      </w:rPr>
      <w:t xml:space="preserve">	Descrição de Arquitetura  —  ISO/IEC/IEEE 42010:2011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2026-05-31T12:10:34.212Z</dcterms:created>
  <dcterms:modified xsi:type="dcterms:W3CDTF">2026-05-31T12:10:34.225Z</dcterms:modified>
</cp:coreProperties>
</file>

<file path=docProps/custom.xml><?xml version="1.0" encoding="utf-8"?>
<Properties xmlns="http://schemas.openxmlformats.org/officeDocument/2006/custom-properties" xmlns:vt="http://schemas.openxmlformats.org/officeDocument/2006/docPropsVTypes"/>
</file>