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Standard operating procedure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AI-assisted client communications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Triaging and drafting client email with AI, with an advice-escalation guardrail and a human sending every message.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BrightPath Financial Services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Client Services Manager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Demonstration SOP.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 Not compliance advice.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1. Purpose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To triage and draft routine client email faster and more consistently using an approved AI tool,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while ensuring anything that could be financial advice is escalated to an adviser and never auto-answered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and a human sends every message.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2. Scope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Applies to Client Services staff and advisers handling inbound client email. Covers service, booking and document requests, and the escalation of advice-bearing or sensitive messages. Does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authorise AI to send messages or to answer advice questions.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3. Roles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Role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Client Services staff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Triage, verify and send replies; escalate as required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Adviser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Handles escalated advice/sensitive matters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Client-Services AI Champion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Maintains the Project, voice guide and prompts; audits triage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Client Services Manager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this SOP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4. Prerequisites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Access 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BrightPath, Client Communications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Claude Project (approved Team tool).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Familiarity with the triage taxonomy and the governance framework.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5. Procedure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1, Open the message.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Read the inbound email. Redact obvious client identifiers where practical before pasting.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2, Triage + draft.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Run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triage-and-draft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prompt. The Project returns a triage tag and either a reply option (SERVICE / BOOKING / DOCUMENT) or a holding reply + escalation flag (POSSIBLE ADVICE / SENSITIVE).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3, Route escalations.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If tagged POSSIBLE ADVICE or SENSITIVE, send the brief holding reply (after review) and route the matter to the appropriate adviser.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Do 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attempt to answer the substance.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4, Verify (the gate).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For routine replies, check accuracy and tone, reinstate real specifics (dates, links, documents), never invented by the AI, and confirm no client PII went into a non-approved tool.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5, Send (human).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staff member sends the message. The AI never sends.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6. The human-review gate (must not be skipped)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Every message is read and sent by a human. Advice questions are always escalated, never answered by the tool. If the tool is unavailable, reply manually, the escalation rule does not change.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7. Data handling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Approved Team tool only, training disabled. Redact identifiers where practical; reinstate specifics at the verify step. Sensitive documents are handled via the firm's secure channel, never invited over insecure email.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8. Exceptions &amp; escalation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Unsure of triage class → treat as escalate; ask the AI Champion.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Complaint / distress / vulnerability / legal → use the complaint-acknowledgement prompt (acknowledge + escalate only; no resolution).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Tone or accuracy doubt → rewrite before sending.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9. Records &amp; version control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48"/>
        <w:gridCol w:w="2107"/>
        <w:gridCol w:w="2107"/>
        <w:gridCol w:w="2107"/>
      </w:tblGrid>
      <w:tr>
        <w:trPr>
          <w:tblHeader/>
        </w:trP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Version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Date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Change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Author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1.0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2026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Initial SOP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QuantAI (portfolio)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SOP: AI-assisted client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SOP: AI-assisted client communications</dc:title>
  <dc:creator>QuantAI</dc:creator>
  <dc:description>QuantAI document</dc:description>
  <cp:lastModifiedBy>Un-named</cp:lastModifiedBy>
  <cp:revision>1</cp:revision>
  <dcterms:created xsi:type="dcterms:W3CDTF">2026-07-31T05:14:39.770Z</dcterms:created>
  <dcterms:modified xsi:type="dcterms:W3CDTF">2026-07-31T05:14:39.770Z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