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5"/>
        <w:tblBorders>
          <w:top w:val="none" w:color="auto" w:sz="0"/>
          <w:left w:val="none" w:color="auto" w:sz="0"/>
          <w:bottom w:val="none" w:color="auto" w:sz="0"/>
          <w:right w:val="none" w:color="auto" w:sz="0"/>
          <w:insideH w:val="single" w:color="auto" w:sz="4"/>
          <w:insideV w:val="single" w:color="auto" w:sz="4"/>
        </w:tblBorders>
      </w:tblPr>
      <w:tblGrid>
        <w:gridCol w:w="11905"/>
      </w:tblGrid>
      <w:tr>
        <w:trPr>
          <w:trHeight w:val="16611" w:hRule="atLeast"/>
        </w:trPr>
        <w:tc>
          <w:tcPr>
            <w:tcW w:type="dxa" w:w="11905"/>
            <w:tcBorders>
              <w:top w:val="none" w:color="auto" w:sz="0"/>
              <w:left w:val="none" w:color="auto" w:sz="0"/>
              <w:bottom w:val="none" w:color="auto" w:sz="0"/>
              <w:right w:val="none" w:color="auto" w:sz="0"/>
            </w:tcBorders>
            <w:shd w:fill="0F1B2A" w:color="auto" w:val="clear"/>
            <w:tcMar>
              <w:top w:type="dxa" w:w="2607"/>
              <w:left w:type="dxa" w:w="1417"/>
              <w:bottom w:type="dxa" w:w="1360"/>
              <w:right w:type="dxa" w:w="1417"/>
            </w:tcMar>
            <w:vAlign w:val="top"/>
          </w:tcPr>
          <w:p>
            <w:pPr>
              <w:spacing w:after="900" w:line="620" w:lineRule="atLeast"/>
            </w:pPr>
            <w:r>
              <w:drawing>
                <wp:inline distT="0" distB="0" distL="0" distR="0">
                  <wp:extent cx="15049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04950" cy="257175"/>
                          </a:xfrm>
                          <a:prstGeom prst="rect">
                            <a:avLst/>
                          </a:prstGeom>
                        </pic:spPr>
                      </pic:pic>
                    </a:graphicData>
                  </a:graphic>
                </wp:inline>
              </w:drawing>
            </w:r>
          </w:p>
          <w:p>
            <w:pPr>
              <w:spacing w:after="180" w:before="0" w:line="300"/>
            </w:pPr>
            <w:r>
              <w:rPr>
                <w:rFonts w:ascii="Calibri" w:cs="Calibri" w:eastAsia="Calibri" w:hAnsi="Calibri"/>
                <w:b/>
                <w:bCs/>
                <w:i w:val="false"/>
                <w:iCs w:val="false"/>
                <w:caps/>
                <w:color w:val="8FA6B8"/>
                <w:spacing w:val="32"/>
                <w:sz w:val="16"/>
                <w:szCs w:val="16"/>
              </w:rPr>
              <w:t xml:space="preserve">Standard operating procedure</w:t>
            </w:r>
          </w:p>
          <w:p>
            <w:pPr>
              <w:spacing w:after="200" w:before="0" w:line="600"/>
            </w:pPr>
            <w:r>
              <w:rPr>
                <w:rFonts w:ascii="Cambria" w:cs="Cambria" w:eastAsia="Cambria" w:hAnsi="Cambria"/>
                <w:b/>
                <w:bCs/>
                <w:i w:val="false"/>
                <w:iCs w:val="false"/>
                <w:caps w:val="false"/>
                <w:color w:val="FFFFFF"/>
                <w:sz w:val="54"/>
                <w:szCs w:val="54"/>
              </w:rPr>
              <w:t xml:space="preserve">AI-assisted interview summarisation</w:t>
            </w:r>
          </w:p>
          <w:p>
            <w:pPr>
              <w:spacing w:after="820" w:before="0" w:line="340"/>
            </w:pPr>
            <w:r>
              <w:rPr>
                <w:rFonts w:ascii="Calibri" w:cs="Calibri" w:eastAsia="Calibri" w:hAnsi="Calibri"/>
                <w:b w:val="false"/>
                <w:bCs w:val="false"/>
                <w:i w:val="false"/>
                <w:iCs w:val="false"/>
                <w:caps w:val="false"/>
                <w:color w:val="B9C4D0"/>
                <w:sz w:val="22"/>
                <w:szCs w:val="22"/>
              </w:rPr>
              <w:t xml:space="preserve">Turning rough interview notes into structured, evidence-only candidate summaries, fair, and never a decision.</w:t>
            </w:r>
          </w:p>
          <w:p>
            <w:pPr>
              <w:pBdr>
                <w:bottom w:val="single" w:color="A9803E" w:sz="8"/>
              </w:pBdr>
              <w:spacing w:after="240"/>
            </w:pPr>
          </w:p>
          <w:p>
            <w:pPr>
              <w:spacing w:after="90" w:line="280"/>
            </w:pPr>
            <w:r>
              <w:rPr>
                <w:rFonts w:ascii="Consolas" w:cs="Consolas" w:eastAsia="Consolas" w:hAnsi="Consolas"/>
                <w:b w:val="false"/>
                <w:bCs w:val="false"/>
                <w:i w:val="false"/>
                <w:iCs w:val="false"/>
                <w:caps/>
                <w:color w:val="8FA6B8"/>
                <w:spacing w:val="20"/>
                <w:sz w:val="15"/>
                <w:szCs w:val="15"/>
              </w:rPr>
              <w:t xml:space="preserve">Prepared for        </w:t>
            </w:r>
            <w:r>
              <w:rPr>
                <w:rFonts w:ascii="Calibri" w:cs="Calibri" w:eastAsia="Calibri" w:hAnsi="Calibri"/>
                <w:b w:val="false"/>
                <w:bCs w:val="false"/>
                <w:i w:val="false"/>
                <w:iCs w:val="false"/>
                <w:caps w:val="false"/>
                <w:color w:val="FFFFFF"/>
                <w:sz w:val="19"/>
                <w:szCs w:val="19"/>
              </w:rPr>
              <w:t xml:space="preserve">FutureHire Recruitment</w:t>
            </w:r>
          </w:p>
          <w:p>
            <w:pPr>
              <w:spacing w:after="90" w:line="280"/>
            </w:pPr>
            <w:r>
              <w:rPr>
                <w:rFonts w:ascii="Consolas" w:cs="Consolas" w:eastAsia="Consolas" w:hAnsi="Consolas"/>
                <w:b w:val="false"/>
                <w:bCs w:val="false"/>
                <w:i w:val="false"/>
                <w:iCs w:val="false"/>
                <w:caps/>
                <w:color w:val="8FA6B8"/>
                <w:spacing w:val="20"/>
                <w:sz w:val="15"/>
                <w:szCs w:val="15"/>
              </w:rPr>
              <w:t xml:space="preserve">Prepared by         </w:t>
            </w:r>
            <w:r>
              <w:rPr>
                <w:rFonts w:ascii="Calibri" w:cs="Calibri" w:eastAsia="Calibri" w:hAnsi="Calibri"/>
                <w:b w:val="false"/>
                <w:bCs w:val="false"/>
                <w:i w:val="false"/>
                <w:iCs w:val="false"/>
                <w:caps w:val="false"/>
                <w:color w:val="FFFFFF"/>
                <w:sz w:val="19"/>
                <w:szCs w:val="19"/>
              </w:rPr>
              <w:t xml:space="preserve">QuantAI</w:t>
            </w:r>
          </w:p>
          <w:p>
            <w:pPr>
              <w:spacing w:after="90" w:line="280"/>
            </w:pPr>
            <w:r>
              <w:rPr>
                <w:rFonts w:ascii="Consolas" w:cs="Consolas" w:eastAsia="Consolas" w:hAnsi="Consolas"/>
                <w:b w:val="false"/>
                <w:bCs w:val="false"/>
                <w:i w:val="false"/>
                <w:iCs w:val="false"/>
                <w:caps/>
                <w:color w:val="8FA6B8"/>
                <w:spacing w:val="20"/>
                <w:sz w:val="15"/>
                <w:szCs w:val="15"/>
              </w:rPr>
              <w:t xml:space="preserve">Owner               </w:t>
            </w:r>
            <w:r>
              <w:rPr>
                <w:rFonts w:ascii="Calibri" w:cs="Calibri" w:eastAsia="Calibri" w:hAnsi="Calibri"/>
                <w:b w:val="false"/>
                <w:bCs w:val="false"/>
                <w:i w:val="false"/>
                <w:iCs w:val="false"/>
                <w:caps w:val="false"/>
                <w:color w:val="FFFFFF"/>
                <w:sz w:val="19"/>
                <w:szCs w:val="19"/>
              </w:rPr>
              <w:t xml:space="preserve">Recruitment Director</w:t>
            </w:r>
          </w:p>
          <w:p>
            <w:pPr>
              <w:spacing w:after="90" w:line="280"/>
            </w:pPr>
            <w:r>
              <w:rPr>
                <w:rFonts w:ascii="Consolas" w:cs="Consolas" w:eastAsia="Consolas" w:hAnsi="Consolas"/>
                <w:b w:val="false"/>
                <w:bCs w:val="false"/>
                <w:i w:val="false"/>
                <w:iCs w:val="false"/>
                <w:caps/>
                <w:color w:val="8FA6B8"/>
                <w:spacing w:val="20"/>
                <w:sz w:val="15"/>
                <w:szCs w:val="15"/>
              </w:rPr>
              <w:t xml:space="preserve">Version             </w:t>
            </w:r>
            <w:r>
              <w:rPr>
                <w:rFonts w:ascii="Calibri" w:cs="Calibri" w:eastAsia="Calibri" w:hAnsi="Calibri"/>
                <w:b w:val="false"/>
                <w:bCs w:val="false"/>
                <w:i w:val="false"/>
                <w:iCs w:val="false"/>
                <w:caps w:val="false"/>
                <w:color w:val="FFFFFF"/>
                <w:sz w:val="19"/>
                <w:szCs w:val="19"/>
              </w:rPr>
              <w:t xml:space="preserve">1.0</w:t>
            </w:r>
          </w:p>
          <w:p>
            <w:pPr>
              <w:spacing w:after="90" w:line="280"/>
            </w:pPr>
            <w:r>
              <w:rPr>
                <w:rFonts w:ascii="Consolas" w:cs="Consolas" w:eastAsia="Consolas" w:hAnsi="Consolas"/>
                <w:b w:val="false"/>
                <w:bCs w:val="false"/>
                <w:i w:val="false"/>
                <w:iCs w:val="false"/>
                <w:caps/>
                <w:color w:val="8FA6B8"/>
                <w:spacing w:val="20"/>
                <w:sz w:val="15"/>
                <w:szCs w:val="15"/>
              </w:rPr>
              <w:t xml:space="preserve">Status              </w:t>
            </w:r>
            <w:r>
              <w:rPr>
                <w:rFonts w:ascii="Calibri" w:cs="Calibri" w:eastAsia="Calibri" w:hAnsi="Calibri"/>
                <w:b w:val="false"/>
                <w:bCs w:val="false"/>
                <w:i w:val="false"/>
                <w:iCs w:val="false"/>
                <w:caps w:val="false"/>
                <w:color w:val="FFFFFF"/>
                <w:sz w:val="19"/>
                <w:szCs w:val="19"/>
              </w:rPr>
              <w:t xml:space="preserve">Demonstration</w:t>
            </w:r>
          </w:p>
        </w:tc>
      </w:tr>
    </w:tbl>
    <w:p>
      <w:pPr>
        <w:spacing w:after="0" w:line="20" w:lineRule="exact"/>
      </w:pPr>
      <w:r>
        <w:rPr>
          <w:sz w:val="2"/>
          <w:szCs w:val="2"/>
        </w:rPr>
        <w:t xml:space="preserve"/>
      </w:r>
    </w:p>
    <w:p>
      <w:pPr>
        <w:sectPr>
          <w:pgSz w:w="11906" w:h="16838" w:orient="portrait"/>
          <w:pgMar w:top="0" w:right="0" w:bottom="0" w:left="0" w:header="0" w:footer="0" w:gutter="0"/>
          <w:pgNumType/>
          <w:docGrid w:linePitch="360"/>
        </w:sectPr>
      </w:pPr>
    </w:p>
    <w:tbl>
      <w:tblPr>
        <w:tblW w:type="dxa" w:w="9070"/>
        <w:tblBorders>
          <w:top w:val="none" w:color="auto" w:sz="0"/>
          <w:left w:val="none" w:color="auto" w:sz="0"/>
          <w:bottom w:val="none" w:color="auto" w:sz="0"/>
          <w:right w:val="none" w:color="auto" w:sz="0"/>
          <w:insideH w:val="single" w:color="auto" w:sz="4"/>
          <w:insideV w:val="single" w:color="auto" w:sz="4"/>
        </w:tblBorders>
      </w:tblPr>
      <w:tblGrid>
        <w:gridCol w:w="9070"/>
      </w:tblGrid>
      <w:tr>
        <w:tc>
          <w:tcPr>
            <w:tcW w:type="dxa" w:w="9070"/>
            <w:tcBorders>
              <w:top w:val="none" w:color="auto" w:sz="0"/>
              <w:left w:val="none" w:color="auto" w:sz="0"/>
              <w:bottom w:val="none" w:color="auto" w:sz="0"/>
              <w:right w:val="none" w:color="auto" w:sz="0"/>
            </w:tcBorders>
            <w:shd w:fill="E5F8F5" w:color="auto" w:val="clear"/>
            <w:tcMar>
              <w:top w:type="dxa" w:w="300"/>
              <w:left w:type="dxa" w:w="400"/>
              <w:bottom w:type="dxa" w:w="300"/>
              <w:right w:type="dxa" w:w="400"/>
            </w:tcMar>
          </w:tcPr>
          <w:p>
            <w:pPr>
              <w:spacing w:after="0" w:before="0" w:line="320"/>
            </w:pPr>
            <w:r>
              <w:rPr>
                <w:rFonts w:ascii="Calibri" w:cs="Calibri" w:eastAsia="Calibri" w:hAnsi="Calibri"/>
                <w:b/>
                <w:bCs/>
                <w:i w:val="false"/>
                <w:iCs w:val="false"/>
                <w:caps w:val="false"/>
                <w:color w:val="0F1B2A"/>
                <w:sz w:val="20"/>
                <w:szCs w:val="20"/>
              </w:rPr>
              <w:t xml:space="preserve">Demonstration SOP.</w:t>
            </w:r>
            <w:r>
              <w:rPr>
                <w:rFonts w:ascii="Calibri" w:cs="Calibri" w:eastAsia="Calibri" w:hAnsi="Calibri"/>
                <w:b w:val="false"/>
                <w:bCs w:val="false"/>
                <w:i w:val="false"/>
                <w:iCs w:val="false"/>
                <w:caps w:val="false"/>
                <w:color w:val="0F1B2A"/>
                <w:sz w:val="20"/>
                <w:szCs w:val="20"/>
              </w:rPr>
              <w:t xml:space="preserve"> A real deployment would be reviewed by the firm's Privacy Lead and employment-law adviser. This is not legal advice.</w:t>
            </w:r>
          </w:p>
        </w:tc>
      </w:tr>
    </w:tbl>
    <w:p>
      <w:pPr>
        <w:spacing w:after="160"/>
      </w:pPr>
    </w:p>
    <w:p>
      <w:pPr>
        <w:pStyle w:val="Heading2"/>
        <w:keepNext/>
        <w:spacing w:after="130" w:before="300"/>
      </w:pPr>
      <w:r>
        <w:rPr>
          <w:rFonts w:ascii="Cambria" w:cs="Cambria" w:eastAsia="Cambria" w:hAnsi="Cambria"/>
          <w:b/>
          <w:bCs/>
          <w:i w:val="false"/>
          <w:iCs w:val="false"/>
          <w:caps w:val="false"/>
          <w:color w:val="0F1B2A"/>
          <w:sz w:val="27"/>
          <w:szCs w:val="27"/>
        </w:rPr>
        <w:t xml:space="preserve">1. Purpose</w:t>
      </w:r>
    </w:p>
    <w:p>
      <w:pPr>
        <w:spacing w:after="160" w:before="0" w:line="320"/>
      </w:pPr>
      <w:r>
        <w:rPr>
          <w:rFonts w:ascii="Calibri" w:cs="Calibri" w:eastAsia="Calibri" w:hAnsi="Calibri"/>
          <w:b w:val="false"/>
          <w:bCs w:val="false"/>
          <w:i w:val="false"/>
          <w:iCs w:val="false"/>
          <w:caps w:val="false"/>
          <w:color w:val="40536B"/>
          <w:sz w:val="21"/>
          <w:szCs w:val="21"/>
        </w:rPr>
        <w:t xml:space="preserve">To turn a recruiter's rough interview notes into a structured, </w:t>
      </w:r>
      <w:r>
        <w:rPr>
          <w:rFonts w:ascii="Calibri" w:cs="Calibri" w:eastAsia="Calibri" w:hAnsi="Calibri"/>
          <w:b/>
          <w:bCs/>
          <w:i w:val="false"/>
          <w:iCs w:val="false"/>
          <w:caps w:val="false"/>
          <w:color w:val="0F1B2A"/>
          <w:sz w:val="21"/>
          <w:szCs w:val="21"/>
        </w:rPr>
        <w:t xml:space="preserve">evidence-based</w:t>
      </w:r>
      <w:r>
        <w:rPr>
          <w:rFonts w:ascii="Calibri" w:cs="Calibri" w:eastAsia="Calibri" w:hAnsi="Calibri"/>
          <w:b w:val="false"/>
          <w:bCs w:val="false"/>
          <w:i w:val="false"/>
          <w:iCs w:val="false"/>
          <w:caps w:val="false"/>
          <w:color w:val="40536B"/>
          <w:sz w:val="21"/>
          <w:szCs w:val="21"/>
        </w:rPr>
        <w:t xml:space="preserve"> candidate summary faster and more consistently, while guaranteeing the summary stays job-relevant, fair, and free of any progression decision. AI summarises evidence; the recruiter decides.</w:t>
      </w:r>
    </w:p>
    <w:p>
      <w:pPr>
        <w:pStyle w:val="Heading2"/>
        <w:keepNext/>
        <w:spacing w:after="130" w:before="300"/>
      </w:pPr>
      <w:r>
        <w:rPr>
          <w:rFonts w:ascii="Cambria" w:cs="Cambria" w:eastAsia="Cambria" w:hAnsi="Cambria"/>
          <w:b/>
          <w:bCs/>
          <w:i w:val="false"/>
          <w:iCs w:val="false"/>
          <w:caps w:val="false"/>
          <w:color w:val="0F1B2A"/>
          <w:sz w:val="27"/>
          <w:szCs w:val="27"/>
        </w:rPr>
        <w:t xml:space="preserve">2. Scope</w:t>
      </w:r>
    </w:p>
    <w:p>
      <w:pPr>
        <w:spacing w:after="160" w:before="0" w:line="320"/>
      </w:pPr>
      <w:r>
        <w:rPr>
          <w:rFonts w:ascii="Calibri" w:cs="Calibri" w:eastAsia="Calibri" w:hAnsi="Calibri"/>
          <w:b w:val="false"/>
          <w:bCs w:val="false"/>
          <w:i w:val="false"/>
          <w:iCs w:val="false"/>
          <w:caps w:val="false"/>
          <w:color w:val="40536B"/>
          <w:sz w:val="21"/>
          <w:szCs w:val="21"/>
        </w:rPr>
        <w:t xml:space="preserve">Applies to recruiters writing up interviews. Does </w:t>
      </w:r>
      <w:r>
        <w:rPr>
          <w:rFonts w:ascii="Calibri" w:cs="Calibri" w:eastAsia="Calibri" w:hAnsi="Calibri"/>
          <w:b/>
          <w:bCs/>
          <w:i w:val="false"/>
          <w:iCs w:val="false"/>
          <w:caps w:val="false"/>
          <w:color w:val="0F1B2A"/>
          <w:sz w:val="21"/>
          <w:szCs w:val="21"/>
        </w:rPr>
        <w:t xml:space="preserve">not</w:t>
      </w:r>
      <w:r>
        <w:rPr>
          <w:rFonts w:ascii="Calibri" w:cs="Calibri" w:eastAsia="Calibri" w:hAnsi="Calibri"/>
          <w:b w:val="false"/>
          <w:bCs w:val="false"/>
          <w:i w:val="false"/>
          <w:iCs w:val="false"/>
          <w:caps w:val="false"/>
          <w:color w:val="40536B"/>
          <w:sz w:val="21"/>
          <w:szCs w:val="21"/>
        </w:rPr>
        <w:t xml:space="preserve"> authorise AI to screen, rank, score, shortlist or recommend a candidate decision.</w:t>
      </w:r>
    </w:p>
    <w:p>
      <w:pPr>
        <w:pStyle w:val="Heading2"/>
        <w:keepNext/>
        <w:spacing w:after="130" w:before="300"/>
      </w:pPr>
      <w:r>
        <w:rPr>
          <w:rFonts w:ascii="Cambria" w:cs="Cambria" w:eastAsia="Cambria" w:hAnsi="Cambria"/>
          <w:b/>
          <w:bCs/>
          <w:i w:val="false"/>
          <w:iCs w:val="false"/>
          <w:caps w:val="false"/>
          <w:color w:val="0F1B2A"/>
          <w:sz w:val="27"/>
          <w:szCs w:val="27"/>
        </w:rPr>
        <w:t xml:space="preserve">3. Roles</w:t>
      </w:r>
    </w:p>
    <w:tbl>
      <w:tblPr>
        <w:tblW w:type="dxa" w:w="9070"/>
        <w:tblBorders>
          <w:top w:val="none" w:color="auto" w:sz="0"/>
          <w:left w:val="none" w:color="auto" w:sz="0"/>
          <w:bottom w:val="none" w:color="auto" w:sz="0"/>
          <w:right w:val="none" w:color="auto" w:sz="0"/>
          <w:insideH w:val="single" w:color="auto" w:sz="4"/>
          <w:insideV w:val="single" w:color="auto" w:sz="4"/>
        </w:tblBorders>
      </w:tblPr>
      <w:tblGrid>
        <w:gridCol w:w="2721"/>
        <w:gridCol w:w="6349"/>
      </w:tblGrid>
      <w:tr>
        <w:trPr>
          <w:tblHeader/>
        </w:trPr>
        <w:tc>
          <w:tcPr>
            <w:tcW w:type="dxa" w:w="2721"/>
            <w:tcBorders>
              <w:top w:val="none" w:color="auto" w:sz="0"/>
              <w:left w:val="none" w:color="auto" w:sz="0"/>
              <w:bottom w:val="single" w:color="0F1B2A" w:sz="10"/>
              <w:right w:val="none" w:color="auto" w:sz="0"/>
            </w:tcBorders>
            <w:tcMar>
              <w:top w:type="dxa" w:w="60"/>
              <w:left w:type="dxa" w:w="0"/>
              <w:bottom w:type="dxa" w:w="100"/>
              <w:right w:type="dxa" w:w="160"/>
            </w:tcMar>
          </w:tcPr>
          <w:p>
            <w:pPr>
              <w:spacing w:after="0" w:before="0" w:line="240"/>
            </w:pPr>
            <w:r>
              <w:rPr>
                <w:rFonts w:ascii="Calibri" w:cs="Calibri" w:eastAsia="Calibri" w:hAnsi="Calibri"/>
                <w:b/>
                <w:bCs/>
                <w:i w:val="false"/>
                <w:iCs w:val="false"/>
                <w:caps/>
                <w:color w:val="7A8899"/>
                <w:spacing w:val="20"/>
                <w:sz w:val="15"/>
                <w:szCs w:val="15"/>
              </w:rPr>
              <w:t xml:space="preserve">Role</w:t>
            </w:r>
          </w:p>
        </w:tc>
        <w:tc>
          <w:tcPr>
            <w:tcW w:type="dxa" w:w="6349"/>
            <w:tcBorders>
              <w:top w:val="none" w:color="auto" w:sz="0"/>
              <w:left w:val="none" w:color="auto" w:sz="0"/>
              <w:bottom w:val="single" w:color="0F1B2A" w:sz="10"/>
              <w:right w:val="none" w:color="auto" w:sz="0"/>
            </w:tcBorders>
            <w:tcMar>
              <w:top w:type="dxa" w:w="60"/>
              <w:left w:type="dxa" w:w="0"/>
              <w:bottom w:type="dxa" w:w="100"/>
              <w:right w:type="dxa" w:w="160"/>
            </w:tcMar>
          </w:tcPr>
          <w:p>
            <w:pPr>
              <w:spacing w:after="0" w:before="0" w:line="240"/>
            </w:pPr>
            <w:r>
              <w:rPr>
                <w:rFonts w:ascii="Calibri" w:cs="Calibri" w:eastAsia="Calibri" w:hAnsi="Calibri"/>
                <w:b/>
                <w:bCs/>
                <w:i w:val="false"/>
                <w:iCs w:val="false"/>
                <w:caps/>
                <w:color w:val="7A8899"/>
                <w:spacing w:val="20"/>
                <w:sz w:val="15"/>
                <w:szCs w:val="15"/>
              </w:rPr>
              <w:t xml:space="preserve">Responsibility</w:t>
            </w:r>
          </w:p>
        </w:tc>
      </w:tr>
      <w:tr>
        <w:tc>
          <w:tcPr>
            <w:tcW w:type="dxa" w:w="2721"/>
            <w:tcBorders>
              <w:top w:val="none" w:color="auto" w:sz="0"/>
              <w:left w:val="none" w:color="auto" w:sz="0"/>
              <w:bottom w:val="single" w:color="E7EBEF" w:sz="4"/>
              <w:right w:val="none" w:color="auto" w:sz="0"/>
            </w:tcBorders>
            <w:tcMar>
              <w:top w:type="dxa" w:w="110"/>
              <w:left w:type="dxa" w:w="0"/>
              <w:bottom w:type="dxa" w:w="110"/>
              <w:right w:type="dxa" w:w="160"/>
            </w:tcMar>
          </w:tcPr>
          <w:p>
            <w:pPr>
              <w:spacing w:after="0" w:before="0" w:line="260"/>
            </w:pPr>
            <w:r>
              <w:rPr>
                <w:rFonts w:ascii="Calibri" w:cs="Calibri" w:eastAsia="Calibri" w:hAnsi="Calibri"/>
                <w:b/>
                <w:bCs/>
                <w:i w:val="false"/>
                <w:iCs w:val="false"/>
                <w:caps w:val="false"/>
                <w:color w:val="0F1B2A"/>
                <w:sz w:val="20"/>
                <w:szCs w:val="20"/>
              </w:rPr>
              <w:t xml:space="preserve">Recruiter</w:t>
            </w:r>
          </w:p>
        </w:tc>
        <w:tc>
          <w:tcPr>
            <w:tcW w:type="dxa" w:w="6349"/>
            <w:tcBorders>
              <w:top w:val="none" w:color="auto" w:sz="0"/>
              <w:left w:val="none" w:color="auto" w:sz="0"/>
              <w:bottom w:val="single" w:color="E7EBEF" w:sz="4"/>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Owns the assessment and decision; verifies the summary reflects the interview</w:t>
            </w:r>
          </w:p>
        </w:tc>
      </w:tr>
      <w:tr>
        <w:tc>
          <w:tcPr>
            <w:tcW w:type="dxa" w:w="2721"/>
            <w:tcBorders>
              <w:top w:val="none" w:color="auto" w:sz="0"/>
              <w:left w:val="none" w:color="auto" w:sz="0"/>
              <w:bottom w:val="single" w:color="E7EBEF" w:sz="4"/>
              <w:right w:val="none" w:color="auto" w:sz="0"/>
            </w:tcBorders>
            <w:tcMar>
              <w:top w:type="dxa" w:w="110"/>
              <w:left w:type="dxa" w:w="0"/>
              <w:bottom w:type="dxa" w:w="110"/>
              <w:right w:type="dxa" w:w="160"/>
            </w:tcMar>
          </w:tcPr>
          <w:p>
            <w:pPr>
              <w:spacing w:after="0" w:before="0" w:line="260"/>
            </w:pPr>
            <w:r>
              <w:rPr>
                <w:rFonts w:ascii="Calibri" w:cs="Calibri" w:eastAsia="Calibri" w:hAnsi="Calibri"/>
                <w:b/>
                <w:bCs/>
                <w:i w:val="false"/>
                <w:iCs w:val="false"/>
                <w:caps w:val="false"/>
                <w:color w:val="0F1B2A"/>
                <w:sz w:val="20"/>
                <w:szCs w:val="20"/>
              </w:rPr>
              <w:t xml:space="preserve">Interview AI Champion</w:t>
            </w:r>
          </w:p>
        </w:tc>
        <w:tc>
          <w:tcPr>
            <w:tcW w:type="dxa" w:w="6349"/>
            <w:tcBorders>
              <w:top w:val="none" w:color="auto" w:sz="0"/>
              <w:left w:val="none" w:color="auto" w:sz="0"/>
              <w:bottom w:val="single" w:color="E7EBEF" w:sz="4"/>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Maintains the Project, prompts and templates; runs the fairness audit</w:t>
            </w:r>
          </w:p>
        </w:tc>
      </w:tr>
      <w:tr>
        <w:tc>
          <w:tcPr>
            <w:tcW w:type="dxa" w:w="2721"/>
            <w:tcBorders>
              <w:top w:val="none" w:color="auto" w:sz="0"/>
              <w:left w:val="none" w:color="auto" w:sz="0"/>
              <w:bottom w:val="single" w:color="E7EBEF" w:sz="4"/>
              <w:right w:val="none" w:color="auto" w:sz="0"/>
            </w:tcBorders>
            <w:tcMar>
              <w:top w:type="dxa" w:w="110"/>
              <w:left w:type="dxa" w:w="0"/>
              <w:bottom w:type="dxa" w:w="110"/>
              <w:right w:type="dxa" w:w="160"/>
            </w:tcMar>
          </w:tcPr>
          <w:p>
            <w:pPr>
              <w:spacing w:after="0" w:before="0" w:line="260"/>
            </w:pPr>
            <w:r>
              <w:rPr>
                <w:rFonts w:ascii="Calibri" w:cs="Calibri" w:eastAsia="Calibri" w:hAnsi="Calibri"/>
                <w:b/>
                <w:bCs/>
                <w:i w:val="false"/>
                <w:iCs w:val="false"/>
                <w:caps w:val="false"/>
                <w:color w:val="0F1B2A"/>
                <w:sz w:val="20"/>
                <w:szCs w:val="20"/>
              </w:rPr>
              <w:t xml:space="preserve">Privacy Lead</w:t>
            </w:r>
          </w:p>
        </w:tc>
        <w:tc>
          <w:tcPr>
            <w:tcW w:type="dxa" w:w="6349"/>
            <w:tcBorders>
              <w:top w:val="none" w:color="auto" w:sz="0"/>
              <w:left w:val="none" w:color="auto" w:sz="0"/>
              <w:bottom w:val="single" w:color="E7EBEF" w:sz="4"/>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Oversees fairness and candidate-data controls</w:t>
            </w:r>
          </w:p>
        </w:tc>
      </w:tr>
      <w:tr>
        <w:tc>
          <w:tcPr>
            <w:tcW w:type="dxa" w:w="2721"/>
            <w:tcBorders>
              <w:top w:val="none" w:color="auto" w:sz="0"/>
              <w:left w:val="none" w:color="auto" w:sz="0"/>
              <w:bottom w:val="single" w:color="0F1B2A" w:sz="10"/>
              <w:right w:val="none" w:color="auto" w:sz="0"/>
            </w:tcBorders>
            <w:tcMar>
              <w:top w:type="dxa" w:w="110"/>
              <w:left w:type="dxa" w:w="0"/>
              <w:bottom w:type="dxa" w:w="110"/>
              <w:right w:type="dxa" w:w="160"/>
            </w:tcMar>
          </w:tcPr>
          <w:p>
            <w:pPr>
              <w:spacing w:after="0" w:before="0" w:line="260"/>
            </w:pPr>
            <w:r>
              <w:rPr>
                <w:rFonts w:ascii="Calibri" w:cs="Calibri" w:eastAsia="Calibri" w:hAnsi="Calibri"/>
                <w:b/>
                <w:bCs/>
                <w:i w:val="false"/>
                <w:iCs w:val="false"/>
                <w:caps w:val="false"/>
                <w:color w:val="0F1B2A"/>
                <w:sz w:val="20"/>
                <w:szCs w:val="20"/>
              </w:rPr>
              <w:t xml:space="preserve">Recruitment Director</w:t>
            </w:r>
          </w:p>
        </w:tc>
        <w:tc>
          <w:tcPr>
            <w:tcW w:type="dxa" w:w="6349"/>
            <w:tcBorders>
              <w:top w:val="none" w:color="auto" w:sz="0"/>
              <w:left w:val="none" w:color="auto" w:sz="0"/>
              <w:bottom w:val="single" w:color="0F1B2A" w:sz="10"/>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Owns this SOP and the service standard</w:t>
            </w:r>
          </w:p>
        </w:tc>
      </w:tr>
    </w:tbl>
    <w:p>
      <w:pPr>
        <w:spacing w:after="160"/>
      </w:pPr>
    </w:p>
    <w:p>
      <w:pPr>
        <w:pStyle w:val="Heading2"/>
        <w:keepNext/>
        <w:spacing w:after="130" w:before="300"/>
      </w:pPr>
      <w:r>
        <w:rPr>
          <w:rFonts w:ascii="Cambria" w:cs="Cambria" w:eastAsia="Cambria" w:hAnsi="Cambria"/>
          <w:b/>
          <w:bCs/>
          <w:i w:val="false"/>
          <w:iCs w:val="false"/>
          <w:caps w:val="false"/>
          <w:color w:val="0F1B2A"/>
          <w:sz w:val="27"/>
          <w:szCs w:val="27"/>
        </w:rPr>
        <w:t xml:space="preserve">4. Prerequisites</w:t>
      </w:r>
    </w:p>
    <w:p>
      <w:pPr>
        <w:pStyle w:val="ListParagraph"/>
        <w:numPr>
          <w:ilvl w:val="0"/>
          <w:numId w:val="2"/>
        </w:numPr>
        <w:spacing w:after="90" w:line="290"/>
      </w:pPr>
      <w:r>
        <w:rPr>
          <w:rFonts w:ascii="Calibri" w:cs="Calibri" w:eastAsia="Calibri" w:hAnsi="Calibri"/>
          <w:b w:val="false"/>
          <w:bCs w:val="false"/>
          <w:i w:val="false"/>
          <w:iCs w:val="false"/>
          <w:caps w:val="false"/>
          <w:color w:val="40536B"/>
          <w:sz w:val="21"/>
          <w:szCs w:val="21"/>
        </w:rPr>
        <w:t xml:space="preserve">Access to the </w:t>
      </w:r>
      <w:r>
        <w:rPr>
          <w:rFonts w:ascii="Consolas" w:cs="Consolas" w:eastAsia="Consolas" w:hAnsi="Consolas"/>
          <w:b w:val="false"/>
          <w:bCs w:val="false"/>
          <w:i w:val="false"/>
          <w:iCs w:val="false"/>
          <w:caps w:val="false"/>
          <w:color w:val="0F1B2A"/>
          <w:sz w:val="19"/>
          <w:szCs w:val="19"/>
        </w:rPr>
        <w:t xml:space="preserve">FutureHire, Interview Summaries</w:t>
      </w:r>
      <w:r>
        <w:rPr>
          <w:rFonts w:ascii="Calibri" w:cs="Calibri" w:eastAsia="Calibri" w:hAnsi="Calibri"/>
          <w:b w:val="false"/>
          <w:bCs w:val="false"/>
          <w:i w:val="false"/>
          <w:iCs w:val="false"/>
          <w:caps w:val="false"/>
          <w:color w:val="40536B"/>
          <w:sz w:val="21"/>
          <w:szCs w:val="21"/>
        </w:rPr>
        <w:t xml:space="preserve"> Claude Project (approved Team tool).</w:t>
      </w:r>
    </w:p>
    <w:p>
      <w:pPr>
        <w:pStyle w:val="ListParagraph"/>
        <w:numPr>
          <w:ilvl w:val="0"/>
          <w:numId w:val="2"/>
        </w:numPr>
        <w:spacing w:after="90" w:line="290"/>
      </w:pPr>
      <w:r>
        <w:rPr>
          <w:rFonts w:ascii="Calibri" w:cs="Calibri" w:eastAsia="Calibri" w:hAnsi="Calibri"/>
          <w:b w:val="false"/>
          <w:bCs w:val="false"/>
          <w:i w:val="false"/>
          <w:iCs w:val="false"/>
          <w:caps w:val="false"/>
          <w:color w:val="40536B"/>
          <w:sz w:val="21"/>
          <w:szCs w:val="21"/>
        </w:rPr>
        <w:t xml:space="preserve">Familiarity with the governance/fairness framework and the de-identification convention.</w:t>
      </w:r>
    </w:p>
    <w:p>
      <w:pPr>
        <w:spacing w:after="60"/>
      </w:pPr>
    </w:p>
    <w:p>
      <w:pPr>
        <w:pStyle w:val="Heading2"/>
        <w:keepNext/>
        <w:spacing w:after="130" w:before="300"/>
      </w:pPr>
      <w:r>
        <w:rPr>
          <w:rFonts w:ascii="Cambria" w:cs="Cambria" w:eastAsia="Cambria" w:hAnsi="Cambria"/>
          <w:b/>
          <w:bCs/>
          <w:i w:val="false"/>
          <w:iCs w:val="false"/>
          <w:caps w:val="false"/>
          <w:color w:val="0F1B2A"/>
          <w:sz w:val="27"/>
          <w:szCs w:val="27"/>
        </w:rPr>
        <w:t xml:space="preserve">5. Procedure</w:t>
      </w:r>
    </w:p>
    <w:p>
      <w:pPr>
        <w:spacing w:after="160" w:before="0" w:line="320"/>
      </w:pPr>
      <w:r>
        <w:rPr>
          <w:rFonts w:ascii="Calibri" w:cs="Calibri" w:eastAsia="Calibri" w:hAnsi="Calibri"/>
          <w:b/>
          <w:bCs/>
          <w:i w:val="false"/>
          <w:iCs w:val="false"/>
          <w:caps w:val="false"/>
          <w:color w:val="0F1B2A"/>
          <w:sz w:val="21"/>
          <w:szCs w:val="21"/>
        </w:rPr>
        <w:t xml:space="preserve">Step 1, Capture notes (human).</w:t>
      </w:r>
      <w:r>
        <w:rPr>
          <w:rFonts w:ascii="Calibri" w:cs="Calibri" w:eastAsia="Calibri" w:hAnsi="Calibri"/>
          <w:b w:val="false"/>
          <w:bCs w:val="false"/>
          <w:i w:val="false"/>
          <w:iCs w:val="false"/>
          <w:caps w:val="false"/>
          <w:color w:val="40536B"/>
          <w:sz w:val="21"/>
          <w:szCs w:val="21"/>
        </w:rPr>
        <w:t xml:space="preserve"> Take interview notes as usual, focused on evidence against the role's requirements.</w:t>
      </w:r>
    </w:p>
    <w:p>
      <w:pPr>
        <w:spacing w:after="160" w:before="0" w:line="320"/>
      </w:pPr>
      <w:r>
        <w:rPr>
          <w:rFonts w:ascii="Calibri" w:cs="Calibri" w:eastAsia="Calibri" w:hAnsi="Calibri"/>
          <w:b/>
          <w:bCs/>
          <w:i w:val="false"/>
          <w:iCs w:val="false"/>
          <w:caps w:val="false"/>
          <w:color w:val="0F1B2A"/>
          <w:sz w:val="21"/>
          <w:szCs w:val="21"/>
        </w:rPr>
        <w:t xml:space="preserve">Step 2, Prepare inputs.</w:t>
      </w:r>
      <w:r>
        <w:rPr>
          <w:rFonts w:ascii="Calibri" w:cs="Calibri" w:eastAsia="Calibri" w:hAnsi="Calibri"/>
          <w:b w:val="false"/>
          <w:bCs w:val="false"/>
          <w:i w:val="false"/>
          <w:iCs w:val="false"/>
          <w:caps w:val="false"/>
          <w:color w:val="40536B"/>
          <w:sz w:val="21"/>
          <w:szCs w:val="21"/>
        </w:rPr>
        <w:t xml:space="preserve"> Paste the role requirements and your rough notes into the prompt, de-identifying candidate specifics where practical.</w:t>
      </w:r>
    </w:p>
    <w:p>
      <w:pPr>
        <w:spacing w:after="160" w:before="0" w:line="320"/>
      </w:pPr>
      <w:r>
        <w:rPr>
          <w:rFonts w:ascii="Calibri" w:cs="Calibri" w:eastAsia="Calibri" w:hAnsi="Calibri"/>
          <w:b/>
          <w:bCs/>
          <w:i w:val="false"/>
          <w:iCs w:val="false"/>
          <w:caps w:val="false"/>
          <w:color w:val="0F1B2A"/>
          <w:sz w:val="21"/>
          <w:szCs w:val="21"/>
        </w:rPr>
        <w:t xml:space="preserve">Step 3, Generate the summary.</w:t>
      </w:r>
      <w:r>
        <w:rPr>
          <w:rFonts w:ascii="Calibri" w:cs="Calibri" w:eastAsia="Calibri" w:hAnsi="Calibri"/>
          <w:b w:val="false"/>
          <w:bCs w:val="false"/>
          <w:i w:val="false"/>
          <w:iCs w:val="false"/>
          <w:caps w:val="false"/>
          <w:color w:val="40536B"/>
          <w:sz w:val="21"/>
          <w:szCs w:val="21"/>
        </w:rPr>
        <w:t xml:space="preserve"> Run the </w:t>
      </w:r>
      <w:r>
        <w:rPr>
          <w:rFonts w:ascii="Consolas" w:cs="Consolas" w:eastAsia="Consolas" w:hAnsi="Consolas"/>
          <w:b w:val="false"/>
          <w:bCs w:val="false"/>
          <w:i w:val="false"/>
          <w:iCs w:val="false"/>
          <w:caps w:val="false"/>
          <w:color w:val="0F1B2A"/>
          <w:sz w:val="19"/>
          <w:szCs w:val="19"/>
        </w:rPr>
        <w:t xml:space="preserve">structured-summary</w:t>
      </w:r>
      <w:r>
        <w:rPr>
          <w:rFonts w:ascii="Calibri" w:cs="Calibri" w:eastAsia="Calibri" w:hAnsi="Calibri"/>
          <w:b w:val="false"/>
          <w:bCs w:val="false"/>
          <w:i w:val="false"/>
          <w:iCs w:val="false"/>
          <w:caps w:val="false"/>
          <w:color w:val="40536B"/>
          <w:sz w:val="21"/>
          <w:szCs w:val="21"/>
        </w:rPr>
        <w:t xml:space="preserve"> prompt. The output is structured against the requirements and ends with a fairness check.</w:t>
      </w:r>
    </w:p>
    <w:p>
      <w:pPr>
        <w:spacing w:after="160" w:before="0" w:line="320"/>
      </w:pPr>
      <w:r>
        <w:rPr>
          <w:rFonts w:ascii="Calibri" w:cs="Calibri" w:eastAsia="Calibri" w:hAnsi="Calibri"/>
          <w:b/>
          <w:bCs/>
          <w:i w:val="false"/>
          <w:iCs w:val="false"/>
          <w:caps w:val="false"/>
          <w:color w:val="0F1B2A"/>
          <w:sz w:val="21"/>
          <w:szCs w:val="21"/>
        </w:rPr>
        <w:t xml:space="preserve">Step 4, Fairness &amp; accuracy review (the gate).</w:t>
      </w:r>
      <w:r>
        <w:rPr>
          <w:rFonts w:ascii="Calibri" w:cs="Calibri" w:eastAsia="Calibri" w:hAnsi="Calibri"/>
          <w:b w:val="false"/>
          <w:bCs w:val="false"/>
          <w:i w:val="false"/>
          <w:iCs w:val="false"/>
          <w:caps w:val="false"/>
          <w:color w:val="40536B"/>
          <w:sz w:val="21"/>
          <w:szCs w:val="21"/>
        </w:rPr>
        <w:t xml:space="preserve"> Confirm:</w:t>
      </w:r>
    </w:p>
    <w:p>
      <w:pPr>
        <w:pStyle w:val="ListParagraph"/>
        <w:numPr>
          <w:ilvl w:val="0"/>
          <w:numId w:val="2"/>
        </w:numPr>
        <w:spacing w:after="90" w:line="290"/>
      </w:pPr>
      <w:r>
        <w:rPr>
          <w:rFonts w:ascii="Calibri" w:cs="Calibri" w:eastAsia="Calibri" w:hAnsi="Calibri"/>
          <w:b w:val="false"/>
          <w:bCs w:val="false"/>
          <w:i w:val="false"/>
          <w:iCs w:val="false"/>
          <w:caps w:val="false"/>
          <w:color w:val="40536B"/>
          <w:sz w:val="21"/>
          <w:szCs w:val="21"/>
        </w:rPr>
        <w:t xml:space="preserve">the summary reflects what actually happened in the interview;</w:t>
      </w:r>
    </w:p>
    <w:p>
      <w:pPr>
        <w:pStyle w:val="ListParagraph"/>
        <w:numPr>
          <w:ilvl w:val="0"/>
          <w:numId w:val="2"/>
        </w:numPr>
        <w:spacing w:after="90" w:line="290"/>
      </w:pPr>
      <w:r>
        <w:rPr>
          <w:rFonts w:ascii="Calibri" w:cs="Calibri" w:eastAsia="Calibri" w:hAnsi="Calibri"/>
          <w:b w:val="false"/>
          <w:bCs w:val="false"/>
          <w:i w:val="false"/>
          <w:iCs w:val="false"/>
          <w:caps w:val="false"/>
          <w:color w:val="40536B"/>
          <w:sz w:val="21"/>
          <w:szCs w:val="21"/>
        </w:rPr>
        <w:t xml:space="preserve">every requirement is backed by evidence from your notes or marked "not covered", nothing inferred;</w:t>
      </w:r>
    </w:p>
    <w:p>
      <w:pPr>
        <w:pStyle w:val="ListParagraph"/>
        <w:numPr>
          <w:ilvl w:val="0"/>
          <w:numId w:val="2"/>
        </w:numPr>
        <w:spacing w:after="90" w:line="290"/>
      </w:pPr>
      <w:r>
        <w:rPr>
          <w:rFonts w:ascii="Calibri" w:cs="Calibri" w:eastAsia="Calibri" w:hAnsi="Calibri"/>
          <w:b w:val="false"/>
          <w:bCs w:val="false"/>
          <w:i w:val="false"/>
          <w:iCs w:val="false"/>
          <w:caps w:val="false"/>
          <w:color w:val="40536B"/>
          <w:sz w:val="21"/>
          <w:szCs w:val="21"/>
        </w:rPr>
        <w:t xml:space="preserve">there are </w:t>
      </w:r>
      <w:r>
        <w:rPr>
          <w:rFonts w:ascii="Calibri" w:cs="Calibri" w:eastAsia="Calibri" w:hAnsi="Calibri"/>
          <w:b/>
          <w:bCs/>
          <w:i w:val="false"/>
          <w:iCs w:val="false"/>
          <w:caps w:val="false"/>
          <w:color w:val="0F1B2A"/>
          <w:sz w:val="21"/>
          <w:szCs w:val="21"/>
        </w:rPr>
        <w:t xml:space="preserve">no protected attributes</w:t>
      </w:r>
      <w:r>
        <w:rPr>
          <w:rFonts w:ascii="Calibri" w:cs="Calibri" w:eastAsia="Calibri" w:hAnsi="Calibri"/>
          <w:b w:val="false"/>
          <w:bCs w:val="false"/>
          <w:i w:val="false"/>
          <w:iCs w:val="false"/>
          <w:caps w:val="false"/>
          <w:color w:val="40536B"/>
          <w:sz w:val="21"/>
          <w:szCs w:val="21"/>
        </w:rPr>
        <w:t xml:space="preserve"> (age, gender, ethnicity, accent, appearance, family status, health) or proxies, and no "culture fit"/personality judgements;</w:t>
      </w:r>
    </w:p>
    <w:p>
      <w:pPr>
        <w:pStyle w:val="ListParagraph"/>
        <w:numPr>
          <w:ilvl w:val="0"/>
          <w:numId w:val="2"/>
        </w:numPr>
        <w:spacing w:after="90" w:line="290"/>
      </w:pPr>
      <w:r>
        <w:rPr>
          <w:rFonts w:ascii="Calibri" w:cs="Calibri" w:eastAsia="Calibri" w:hAnsi="Calibri"/>
          <w:b w:val="false"/>
          <w:bCs w:val="false"/>
          <w:i w:val="false"/>
          <w:iCs w:val="false"/>
          <w:caps w:val="false"/>
          <w:color w:val="40536B"/>
          <w:sz w:val="21"/>
          <w:szCs w:val="21"/>
        </w:rPr>
        <w:t xml:space="preserve">the summary presents evidence only, it makes no progression recommendation.</w:t>
      </w:r>
    </w:p>
    <w:p>
      <w:pPr>
        <w:spacing w:after="60"/>
      </w:pPr>
    </w:p>
    <w:p>
      <w:pPr>
        <w:spacing w:after="160" w:before="0" w:line="320"/>
      </w:pPr>
      <w:r>
        <w:rPr>
          <w:rFonts w:ascii="Calibri" w:cs="Calibri" w:eastAsia="Calibri" w:hAnsi="Calibri"/>
          <w:b/>
          <w:bCs/>
          <w:i w:val="false"/>
          <w:iCs w:val="false"/>
          <w:caps w:val="false"/>
          <w:color w:val="0F1B2A"/>
          <w:sz w:val="21"/>
          <w:szCs w:val="21"/>
        </w:rPr>
        <w:t xml:space="preserve">Step 5, Save.</w:t>
      </w:r>
      <w:r>
        <w:rPr>
          <w:rFonts w:ascii="Calibri" w:cs="Calibri" w:eastAsia="Calibri" w:hAnsi="Calibri"/>
          <w:b w:val="false"/>
          <w:bCs w:val="false"/>
          <w:i w:val="false"/>
          <w:iCs w:val="false"/>
          <w:caps w:val="false"/>
          <w:color w:val="40536B"/>
          <w:sz w:val="21"/>
          <w:szCs w:val="21"/>
        </w:rPr>
        <w:t xml:space="preserve"> Paste the reviewed summary into the Bullhorn Interview-summary field and tag evidence. Your progression decision is recorded separately, per firm process, it is yours, not the tool's.</w:t>
      </w:r>
    </w:p>
    <w:p>
      <w:pPr>
        <w:pStyle w:val="Heading2"/>
        <w:keepNext/>
        <w:spacing w:after="130" w:before="300"/>
      </w:pPr>
      <w:r>
        <w:rPr>
          <w:rFonts w:ascii="Cambria" w:cs="Cambria" w:eastAsia="Cambria" w:hAnsi="Cambria"/>
          <w:b/>
          <w:bCs/>
          <w:i w:val="false"/>
          <w:iCs w:val="false"/>
          <w:caps w:val="false"/>
          <w:color w:val="0F1B2A"/>
          <w:sz w:val="27"/>
          <w:szCs w:val="27"/>
        </w:rPr>
        <w:t xml:space="preserve">6. The human-review gate (must not be skipped)</w:t>
      </w:r>
    </w:p>
    <w:p>
      <w:pPr>
        <w:spacing w:after="160" w:before="0" w:line="320"/>
      </w:pPr>
      <w:r>
        <w:rPr>
          <w:rFonts w:ascii="Calibri" w:cs="Calibri" w:eastAsia="Calibri" w:hAnsi="Calibri"/>
          <w:b w:val="false"/>
          <w:bCs w:val="false"/>
          <w:i w:val="false"/>
          <w:iCs w:val="false"/>
          <w:caps w:val="false"/>
          <w:color w:val="40536B"/>
          <w:sz w:val="21"/>
          <w:szCs w:val="21"/>
        </w:rPr>
        <w:t xml:space="preserve">No summary is saved or shared without Step 4. The AI never screens, ranks or decides. If the tool is unavailable, write the summary manually to the same standard, the fairness rules don't change.</w:t>
      </w:r>
    </w:p>
    <w:p>
      <w:pPr>
        <w:pStyle w:val="Heading2"/>
        <w:keepNext/>
        <w:spacing w:after="130" w:before="300"/>
      </w:pPr>
      <w:r>
        <w:rPr>
          <w:rFonts w:ascii="Cambria" w:cs="Cambria" w:eastAsia="Cambria" w:hAnsi="Cambria"/>
          <w:b/>
          <w:bCs/>
          <w:i w:val="false"/>
          <w:iCs w:val="false"/>
          <w:caps w:val="false"/>
          <w:color w:val="0F1B2A"/>
          <w:sz w:val="27"/>
          <w:szCs w:val="27"/>
        </w:rPr>
        <w:t xml:space="preserve">7. Data handling</w:t>
      </w:r>
    </w:p>
    <w:p>
      <w:pPr>
        <w:spacing w:after="160" w:before="0" w:line="320"/>
      </w:pPr>
      <w:r>
        <w:rPr>
          <w:rFonts w:ascii="Calibri" w:cs="Calibri" w:eastAsia="Calibri" w:hAnsi="Calibri"/>
          <w:b w:val="false"/>
          <w:bCs w:val="false"/>
          <w:i w:val="false"/>
          <w:iCs w:val="false"/>
          <w:caps w:val="false"/>
          <w:color w:val="40536B"/>
          <w:sz w:val="21"/>
          <w:szCs w:val="21"/>
        </w:rPr>
        <w:t xml:space="preserve">Approved Team tool only, training off. De-identify where practical; keep sensitive candidate data in Bullhorn, not in prompts.</w:t>
      </w:r>
    </w:p>
    <w:p>
      <w:pPr>
        <w:pStyle w:val="Heading2"/>
        <w:keepNext/>
        <w:spacing w:after="130" w:before="300"/>
      </w:pPr>
      <w:r>
        <w:rPr>
          <w:rFonts w:ascii="Cambria" w:cs="Cambria" w:eastAsia="Cambria" w:hAnsi="Cambria"/>
          <w:b/>
          <w:bCs/>
          <w:i w:val="false"/>
          <w:iCs w:val="false"/>
          <w:caps w:val="false"/>
          <w:color w:val="0F1B2A"/>
          <w:sz w:val="27"/>
          <w:szCs w:val="27"/>
        </w:rPr>
        <w:t xml:space="preserve">8. Exceptions &amp; escalation</w:t>
      </w:r>
    </w:p>
    <w:p>
      <w:pPr>
        <w:pStyle w:val="ListParagraph"/>
        <w:numPr>
          <w:ilvl w:val="0"/>
          <w:numId w:val="2"/>
        </w:numPr>
        <w:spacing w:after="90" w:line="290"/>
      </w:pPr>
      <w:r>
        <w:rPr>
          <w:rFonts w:ascii="Calibri" w:cs="Calibri" w:eastAsia="Calibri" w:hAnsi="Calibri"/>
          <w:b w:val="false"/>
          <w:bCs w:val="false"/>
          <w:i w:val="false"/>
          <w:iCs w:val="false"/>
          <w:caps w:val="false"/>
          <w:color w:val="40536B"/>
          <w:sz w:val="21"/>
          <w:szCs w:val="21"/>
        </w:rPr>
        <w:t xml:space="preserve">Notes don't support a requirement → mark "not covered"; never infer.</w:t>
      </w:r>
    </w:p>
    <w:p>
      <w:pPr>
        <w:pStyle w:val="ListParagraph"/>
        <w:numPr>
          <w:ilvl w:val="0"/>
          <w:numId w:val="2"/>
        </w:numPr>
        <w:spacing w:after="90" w:line="290"/>
      </w:pPr>
      <w:r>
        <w:rPr>
          <w:rFonts w:ascii="Calibri" w:cs="Calibri" w:eastAsia="Calibri" w:hAnsi="Calibri"/>
          <w:b w:val="false"/>
          <w:bCs w:val="false"/>
          <w:i w:val="false"/>
          <w:iCs w:val="false"/>
          <w:caps w:val="false"/>
          <w:color w:val="40536B"/>
          <w:sz w:val="21"/>
          <w:szCs w:val="21"/>
        </w:rPr>
        <w:t xml:space="preserve">Any protected-attribute content appears → remove it; report the pattern to the AI Champion so the prompt/knowledge can be tightened.</w:t>
      </w:r>
    </w:p>
    <w:p>
      <w:pPr>
        <w:pStyle w:val="ListParagraph"/>
        <w:numPr>
          <w:ilvl w:val="0"/>
          <w:numId w:val="2"/>
        </w:numPr>
        <w:spacing w:after="90" w:line="290"/>
      </w:pPr>
      <w:r>
        <w:rPr>
          <w:rFonts w:ascii="Calibri" w:cs="Calibri" w:eastAsia="Calibri" w:hAnsi="Calibri"/>
          <w:b w:val="false"/>
          <w:bCs w:val="false"/>
          <w:i w:val="false"/>
          <w:iCs w:val="false"/>
          <w:caps w:val="false"/>
          <w:color w:val="40536B"/>
          <w:sz w:val="21"/>
          <w:szCs w:val="21"/>
        </w:rPr>
        <w:t xml:space="preserve">Doubt about fairness → the recruiter's judgement and the fairness rules prevail.</w:t>
      </w:r>
    </w:p>
    <w:p>
      <w:pPr>
        <w:spacing w:after="60"/>
      </w:pPr>
    </w:p>
    <w:p>
      <w:pPr>
        <w:pStyle w:val="Heading2"/>
        <w:keepNext/>
        <w:spacing w:after="130" w:before="300"/>
      </w:pPr>
      <w:r>
        <w:rPr>
          <w:rFonts w:ascii="Cambria" w:cs="Cambria" w:eastAsia="Cambria" w:hAnsi="Cambria"/>
          <w:b/>
          <w:bCs/>
          <w:i w:val="false"/>
          <w:iCs w:val="false"/>
          <w:caps w:val="false"/>
          <w:color w:val="0F1B2A"/>
          <w:sz w:val="27"/>
          <w:szCs w:val="27"/>
        </w:rPr>
        <w:t xml:space="preserve">9. Records &amp; version control</w:t>
      </w:r>
    </w:p>
    <w:tbl>
      <w:tblPr>
        <w:tblW w:type="dxa" w:w="9070"/>
        <w:tblBorders>
          <w:top w:val="none" w:color="auto" w:sz="0"/>
          <w:left w:val="none" w:color="auto" w:sz="0"/>
          <w:bottom w:val="none" w:color="auto" w:sz="0"/>
          <w:right w:val="none" w:color="auto" w:sz="0"/>
          <w:insideH w:val="single" w:color="auto" w:sz="4"/>
          <w:insideV w:val="single" w:color="auto" w:sz="4"/>
        </w:tblBorders>
      </w:tblPr>
      <w:tblGrid>
        <w:gridCol w:w="2748"/>
        <w:gridCol w:w="2107"/>
        <w:gridCol w:w="2107"/>
        <w:gridCol w:w="2107"/>
      </w:tblGrid>
      <w:tr>
        <w:trPr>
          <w:tblHeader/>
        </w:trPr>
        <w:tc>
          <w:tcPr>
            <w:tcW w:type="dxa" w:w="2748"/>
            <w:tcBorders>
              <w:top w:val="none" w:color="auto" w:sz="0"/>
              <w:left w:val="none" w:color="auto" w:sz="0"/>
              <w:bottom w:val="single" w:color="0F1B2A" w:sz="10"/>
              <w:right w:val="none" w:color="auto" w:sz="0"/>
            </w:tcBorders>
            <w:tcMar>
              <w:top w:type="dxa" w:w="60"/>
              <w:left w:type="dxa" w:w="0"/>
              <w:bottom w:type="dxa" w:w="100"/>
              <w:right w:type="dxa" w:w="160"/>
            </w:tcMar>
          </w:tcPr>
          <w:p>
            <w:pPr>
              <w:spacing w:after="0" w:before="0" w:line="240"/>
            </w:pPr>
            <w:r>
              <w:rPr>
                <w:rFonts w:ascii="Calibri" w:cs="Calibri" w:eastAsia="Calibri" w:hAnsi="Calibri"/>
                <w:b/>
                <w:bCs/>
                <w:i w:val="false"/>
                <w:iCs w:val="false"/>
                <w:caps/>
                <w:color w:val="7A8899"/>
                <w:spacing w:val="20"/>
                <w:sz w:val="15"/>
                <w:szCs w:val="15"/>
              </w:rPr>
              <w:t xml:space="preserve">Version</w:t>
            </w:r>
          </w:p>
        </w:tc>
        <w:tc>
          <w:tcPr>
            <w:tcW w:type="dxa" w:w="2107"/>
            <w:tcBorders>
              <w:top w:val="none" w:color="auto" w:sz="0"/>
              <w:left w:val="none" w:color="auto" w:sz="0"/>
              <w:bottom w:val="single" w:color="0F1B2A" w:sz="10"/>
              <w:right w:val="none" w:color="auto" w:sz="0"/>
            </w:tcBorders>
            <w:tcMar>
              <w:top w:type="dxa" w:w="60"/>
              <w:left w:type="dxa" w:w="0"/>
              <w:bottom w:type="dxa" w:w="100"/>
              <w:right w:type="dxa" w:w="160"/>
            </w:tcMar>
          </w:tcPr>
          <w:p>
            <w:pPr>
              <w:spacing w:after="0" w:before="0" w:line="240"/>
            </w:pPr>
            <w:r>
              <w:rPr>
                <w:rFonts w:ascii="Calibri" w:cs="Calibri" w:eastAsia="Calibri" w:hAnsi="Calibri"/>
                <w:b/>
                <w:bCs/>
                <w:i w:val="false"/>
                <w:iCs w:val="false"/>
                <w:caps/>
                <w:color w:val="7A8899"/>
                <w:spacing w:val="20"/>
                <w:sz w:val="15"/>
                <w:szCs w:val="15"/>
              </w:rPr>
              <w:t xml:space="preserve">Date</w:t>
            </w:r>
          </w:p>
        </w:tc>
        <w:tc>
          <w:tcPr>
            <w:tcW w:type="dxa" w:w="2107"/>
            <w:tcBorders>
              <w:top w:val="none" w:color="auto" w:sz="0"/>
              <w:left w:val="none" w:color="auto" w:sz="0"/>
              <w:bottom w:val="single" w:color="0F1B2A" w:sz="10"/>
              <w:right w:val="none" w:color="auto" w:sz="0"/>
            </w:tcBorders>
            <w:tcMar>
              <w:top w:type="dxa" w:w="60"/>
              <w:left w:type="dxa" w:w="0"/>
              <w:bottom w:type="dxa" w:w="100"/>
              <w:right w:type="dxa" w:w="160"/>
            </w:tcMar>
          </w:tcPr>
          <w:p>
            <w:pPr>
              <w:spacing w:after="0" w:before="0" w:line="240"/>
            </w:pPr>
            <w:r>
              <w:rPr>
                <w:rFonts w:ascii="Calibri" w:cs="Calibri" w:eastAsia="Calibri" w:hAnsi="Calibri"/>
                <w:b/>
                <w:bCs/>
                <w:i w:val="false"/>
                <w:iCs w:val="false"/>
                <w:caps/>
                <w:color w:val="7A8899"/>
                <w:spacing w:val="20"/>
                <w:sz w:val="15"/>
                <w:szCs w:val="15"/>
              </w:rPr>
              <w:t xml:space="preserve">Change</w:t>
            </w:r>
          </w:p>
        </w:tc>
        <w:tc>
          <w:tcPr>
            <w:tcW w:type="dxa" w:w="2107"/>
            <w:tcBorders>
              <w:top w:val="none" w:color="auto" w:sz="0"/>
              <w:left w:val="none" w:color="auto" w:sz="0"/>
              <w:bottom w:val="single" w:color="0F1B2A" w:sz="10"/>
              <w:right w:val="none" w:color="auto" w:sz="0"/>
            </w:tcBorders>
            <w:tcMar>
              <w:top w:type="dxa" w:w="60"/>
              <w:left w:type="dxa" w:w="0"/>
              <w:bottom w:type="dxa" w:w="100"/>
              <w:right w:type="dxa" w:w="160"/>
            </w:tcMar>
          </w:tcPr>
          <w:p>
            <w:pPr>
              <w:spacing w:after="0" w:before="0" w:line="240"/>
            </w:pPr>
            <w:r>
              <w:rPr>
                <w:rFonts w:ascii="Calibri" w:cs="Calibri" w:eastAsia="Calibri" w:hAnsi="Calibri"/>
                <w:b/>
                <w:bCs/>
                <w:i w:val="false"/>
                <w:iCs w:val="false"/>
                <w:caps/>
                <w:color w:val="7A8899"/>
                <w:spacing w:val="20"/>
                <w:sz w:val="15"/>
                <w:szCs w:val="15"/>
              </w:rPr>
              <w:t xml:space="preserve">Author</w:t>
            </w:r>
          </w:p>
        </w:tc>
      </w:tr>
      <w:tr>
        <w:tc>
          <w:tcPr>
            <w:tcW w:type="dxa" w:w="2748"/>
            <w:tcBorders>
              <w:top w:val="none" w:color="auto" w:sz="0"/>
              <w:left w:val="none" w:color="auto" w:sz="0"/>
              <w:bottom w:val="single" w:color="0F1B2A" w:sz="10"/>
              <w:right w:val="none" w:color="auto" w:sz="0"/>
            </w:tcBorders>
            <w:tcMar>
              <w:top w:type="dxa" w:w="110"/>
              <w:left w:type="dxa" w:w="0"/>
              <w:bottom w:type="dxa" w:w="110"/>
              <w:right w:type="dxa" w:w="160"/>
            </w:tcMar>
          </w:tcPr>
          <w:p>
            <w:pPr>
              <w:spacing w:after="0" w:before="0" w:line="260"/>
            </w:pPr>
            <w:r>
              <w:rPr>
                <w:rFonts w:ascii="Calibri" w:cs="Calibri" w:eastAsia="Calibri" w:hAnsi="Calibri"/>
                <w:b/>
                <w:bCs/>
                <w:i w:val="false"/>
                <w:iCs w:val="false"/>
                <w:caps w:val="false"/>
                <w:color w:val="0F1B2A"/>
                <w:sz w:val="20"/>
                <w:szCs w:val="20"/>
              </w:rPr>
              <w:t xml:space="preserve">1.0</w:t>
            </w:r>
          </w:p>
        </w:tc>
        <w:tc>
          <w:tcPr>
            <w:tcW w:type="dxa" w:w="2107"/>
            <w:tcBorders>
              <w:top w:val="none" w:color="auto" w:sz="0"/>
              <w:left w:val="none" w:color="auto" w:sz="0"/>
              <w:bottom w:val="single" w:color="0F1B2A" w:sz="10"/>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2026</w:t>
            </w:r>
          </w:p>
        </w:tc>
        <w:tc>
          <w:tcPr>
            <w:tcW w:type="dxa" w:w="2107"/>
            <w:tcBorders>
              <w:top w:val="none" w:color="auto" w:sz="0"/>
              <w:left w:val="none" w:color="auto" w:sz="0"/>
              <w:bottom w:val="single" w:color="0F1B2A" w:sz="10"/>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Initial SOP</w:t>
            </w:r>
          </w:p>
        </w:tc>
        <w:tc>
          <w:tcPr>
            <w:tcW w:type="dxa" w:w="2107"/>
            <w:tcBorders>
              <w:top w:val="none" w:color="auto" w:sz="0"/>
              <w:left w:val="none" w:color="auto" w:sz="0"/>
              <w:bottom w:val="single" w:color="0F1B2A" w:sz="10"/>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QuantAI (portfolio)</w:t>
            </w:r>
          </w:p>
        </w:tc>
      </w:tr>
    </w:tbl>
    <w:p>
      <w:pPr>
        <w:spacing w:after="160"/>
      </w:pPr>
    </w:p>
    <w:sectPr>
      <w:headerReference w:type="default" r:id="rId7"/>
      <w:footerReference w:type="default" r:id="rId8"/>
      <w:pgSz w:w="11906" w:h="16838" w:orient="portrait"/>
      <w:pgMar w:top="1247" w:right="1417" w:bottom="1133" w:left="1417" w:header="680" w:footer="623"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E7EBEF" w:sz="4"/>
      </w:pBdr>
      <w:spacing w:after="100"/>
    </w:pPr>
  </w:p>
  <w:p>
    <w:pPr>
      <w:spacing w:after="0" w:line="300" w:lineRule="atLeast"/>
    </w:pPr>
    <w:r>
      <w:drawing>
        <wp:inline distT="0" distB="0" distL="0" distR="0">
          <wp:extent cx="123825" cy="12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 cy="123825"/>
                  </a:xfrm>
                  <a:prstGeom prst="rect">
                    <a:avLst/>
                  </a:prstGeom>
                </pic:spPr>
              </pic:pic>
            </a:graphicData>
          </a:graphic>
        </wp:inline>
      </w:drawing>
    </w:r>
    <w:r>
      <w:rPr>
        <w:rFonts w:ascii="Calibri" w:cs="Calibri" w:eastAsia="Calibri" w:hAnsi="Calibri"/>
        <w:b w:val="false"/>
        <w:bCs w:val="false"/>
        <w:i w:val="false"/>
        <w:iCs w:val="false"/>
        <w:caps w:val="false"/>
        <w:color w:val="7A8899"/>
        <w:sz w:val="15"/>
        <w:szCs w:val="15"/>
      </w:rPr>
      <w:t xml:space="preserve">   QuantAI  ·  Confidential</w:t>
    </w:r>
    <w:r>
      <w:ptab w:alignment="right" w:relativeTo="margin" w:leader="none"/>
    </w:r>
    <w:r>
      <w:rPr>
        <w:rFonts w:ascii="Calibri" w:cs="Calibri" w:eastAsia="Calibri" w:hAnsi="Calibri"/>
        <w:b w:val="false"/>
        <w:bCs w:val="false"/>
        <w:i w:val="false"/>
        <w:iCs w:val="false"/>
        <w:caps w:val="false"/>
        <w:color w:val="7A8899"/>
        <w:sz w:val="15"/>
        <w:szCs w:val="15"/>
      </w:rPr>
      <w:t xml:space="preserve">Page </w:t>
    </w:r>
    <w:r>
      <w:rPr>
        <w:rFonts w:ascii="Calibri" w:cs="Calibri" w:eastAsia="Calibri" w:hAnsi="Calibri"/>
        <w:color w:val="7A8899"/>
        <w:sz w:val="15"/>
        <w:szCs w:val="15"/>
      </w:rPr>
      <w:fldChar w:fldCharType="begin"/>
      <w:instrText xml:space="preserve">PAGE</w:instrText>
      <w:fldChar w:fldCharType="separate"/>
      <w:fldChar w:fldCharType="end"/>
    </w:r>
    <w:r>
      <w:rPr>
        <w:rFonts w:ascii="Calibri" w:cs="Calibri" w:eastAsia="Calibri" w:hAnsi="Calibri"/>
        <w:b w:val="false"/>
        <w:bCs w:val="false"/>
        <w:i w:val="false"/>
        <w:iCs w:val="false"/>
        <w:caps w:val="false"/>
        <w:color w:val="7A8899"/>
        <w:sz w:val="15"/>
        <w:szCs w:val="15"/>
      </w:rPr>
      <w:t xml:space="preserve"> of </w:t>
    </w:r>
    <w:r>
      <w:rPr>
        <w:rFonts w:ascii="Calibri" w:cs="Calibri" w:eastAsia="Calibri" w:hAnsi="Calibri"/>
        <w:color w:val="7A889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b w:val="false"/>
        <w:bCs w:val="false"/>
        <w:i w:val="false"/>
        <w:iCs w:val="false"/>
        <w:caps/>
        <w:color w:val="7A8899"/>
        <w:spacing w:val="20"/>
        <w:sz w:val="15"/>
        <w:szCs w:val="15"/>
      </w:rPr>
      <w:t xml:space="preserve">QuantAI · SOP: AI-assisted interview summarisation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Calibri" w:cs="Calibri" w:eastAsia="Calibri" w:hAnsi="Calibri"/>
        <w:color w:val="14655C"/>
      </w:rPr>
    </w:lvl>
  </w:abstractNum>
  <w:abstractNum w:abstractNumId="3" w15:restartNumberingAfterBreak="0">
    <w:multiLevelType w:val="hybridMultilevel"/>
    <w:lvl w:ilvl="0" w15:tentative="1">
      <w:start w:val="1"/>
      <w:numFmt w:val="decimal"/>
      <w:lvlText w:val="%1."/>
      <w:lvlJc w:val="left"/>
      <w:pPr>
        <w:ind w:left="400" w:hanging="280"/>
      </w:pPr>
      <w:rPr>
        <w:rFonts w:ascii="Calibri" w:cs="Calibri" w:eastAsia="Calibri" w:hAnsi="Calibri"/>
        <w:b/>
        <w:bCs/>
        <w:color w:val="14655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0536B"/>
        <w:sz w:val="21"/>
        <w:szCs w:val="21"/>
      </w:rPr>
    </w:rPrDefault>
    <w:pPrDefault>
      <w:pPr>
        <w:spacing w:after="16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0F1B2A"/>
      <w:sz w:val="40"/>
      <w:szCs w:val="40"/>
    </w:rPr>
  </w:style>
  <w:style w:type="paragraph" w:styleId="Heading2">
    <w:name w:val="Heading 2"/>
    <w:basedOn w:val="Normal"/>
    <w:next w:val="Normal"/>
    <w:qFormat/>
    <w:rPr>
      <w:rFonts w:ascii="Cambria" w:cs="Cambria" w:eastAsia="Cambria" w:hAnsi="Cambria"/>
      <w:b/>
      <w:bCs/>
      <w:color w:val="0F1B2A"/>
      <w:sz w:val="27"/>
      <w:szCs w:val="27"/>
    </w:rPr>
  </w:style>
  <w:style w:type="paragraph" w:styleId="Heading3">
    <w:name w:val="Heading 3"/>
    <w:basedOn w:val="Normal"/>
    <w:next w:val="Normal"/>
    <w:qFormat/>
    <w:rPr>
      <w:rFonts w:ascii="Calibri" w:cs="Calibri" w:eastAsia="Calibri" w:hAnsi="Calibri"/>
      <w:b/>
      <w:bCs/>
      <w:color w:val="0F1B2A"/>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9063891a95e34455f6c12621055a25d1a4404e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55104f0c9ba081919c81f924f81c6f51e29e013.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QuantAI · SOP: AI-assisted interview summarisation</dc:title>
  <dc:creator>QuantAI</dc:creator>
  <dc:description>QuantAI document</dc:description>
  <cp:lastModifiedBy>Un-named</cp:lastModifiedBy>
  <cp:revision>1</cp:revision>
  <dcterms:created xsi:type="dcterms:W3CDTF">2026-07-31T05:14:39.856Z</dcterms:created>
  <dcterms:modified xsi:type="dcterms:W3CDTF">2026-07-31T05:14:39.856Z</dcterms:modified>
</cp:coreProperties>
</file>

<file path=docProps/custom.xml><?xml version="1.0" encoding="utf-8"?>
<Properties xmlns="http://schemas.openxmlformats.org/officeDocument/2006/custom-properties" xmlns:vt="http://schemas.openxmlformats.org/officeDocument/2006/docPropsVTypes"/>
</file>