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5"/>
        <w:tblBorders>
          <w:top w:val="none" w:color="auto" w:sz="0"/>
          <w:left w:val="none" w:color="auto" w:sz="0"/>
          <w:bottom w:val="none" w:color="auto" w:sz="0"/>
          <w:right w:val="none" w:color="auto" w:sz="0"/>
          <w:insideH w:val="single" w:color="auto" w:sz="4"/>
          <w:insideV w:val="single" w:color="auto" w:sz="4"/>
        </w:tblBorders>
      </w:tblPr>
      <w:tblGrid>
        <w:gridCol w:w="11905"/>
      </w:tblGrid>
      <w:tr>
        <w:trPr>
          <w:trHeight w:val="16611" w:hRule="atLeast"/>
        </w:trPr>
        <w:tc>
          <w:tcPr>
            <w:tcW w:type="dxa" w:w="11905"/>
            <w:tcBorders>
              <w:top w:val="none" w:color="auto" w:sz="0"/>
              <w:left w:val="none" w:color="auto" w:sz="0"/>
              <w:bottom w:val="none" w:color="auto" w:sz="0"/>
              <w:right w:val="none" w:color="auto" w:sz="0"/>
            </w:tcBorders>
            <w:shd w:fill="0F1B2A" w:color="auto" w:val="clear"/>
            <w:tcMar>
              <w:top w:type="dxa" w:w="2607"/>
              <w:left w:type="dxa" w:w="1417"/>
              <w:bottom w:type="dxa" w:w="1360"/>
              <w:right w:type="dxa" w:w="1417"/>
            </w:tcMar>
            <w:vAlign w:val="top"/>
          </w:tcPr>
          <w:p>
            <w:pPr>
              <w:spacing w:after="900" w:line="620" w:lineRule="atLeast"/>
            </w:pPr>
            <w:r>
              <w:drawing>
                <wp:inline distT="0" distB="0" distL="0" distR="0">
                  <wp:extent cx="15049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04950" cy="257175"/>
                          </a:xfrm>
                          <a:prstGeom prst="rect">
                            <a:avLst/>
                          </a:prstGeom>
                        </pic:spPr>
                      </pic:pic>
                    </a:graphicData>
                  </a:graphic>
                </wp:inline>
              </w:drawing>
            </w:r>
          </w:p>
          <w:p>
            <w:pPr>
              <w:spacing w:after="180" w:before="0" w:line="300"/>
            </w:pPr>
            <w:r>
              <w:rPr>
                <w:rFonts w:ascii="Calibri" w:cs="Calibri" w:eastAsia="Calibri" w:hAnsi="Calibri"/>
                <w:b/>
                <w:bCs/>
                <w:i w:val="false"/>
                <w:iCs w:val="false"/>
                <w:caps/>
                <w:color w:val="8FA6B8"/>
                <w:spacing w:val="32"/>
                <w:sz w:val="16"/>
                <w:szCs w:val="16"/>
              </w:rPr>
              <w:t xml:space="preserve">Administrator guide</w:t>
            </w:r>
          </w:p>
          <w:p>
            <w:pPr>
              <w:spacing w:after="200" w:before="0" w:line="600"/>
            </w:pPr>
            <w:r>
              <w:rPr>
                <w:rFonts w:ascii="Cambria" w:cs="Cambria" w:eastAsia="Cambria" w:hAnsi="Cambria"/>
                <w:b/>
                <w:bCs/>
                <w:i w:val="false"/>
                <w:iCs w:val="false"/>
                <w:caps w:val="false"/>
                <w:color w:val="FFFFFF"/>
                <w:sz w:val="54"/>
                <w:szCs w:val="54"/>
              </w:rPr>
              <w:t xml:space="preserve">Meeting intelligence, administrator guide</w:t>
            </w:r>
          </w:p>
          <w:p>
            <w:pPr>
              <w:spacing w:after="820" w:before="0" w:line="340"/>
            </w:pPr>
            <w:r>
              <w:rPr>
                <w:rFonts w:ascii="Calibri" w:cs="Calibri" w:eastAsia="Calibri" w:hAnsi="Calibri"/>
                <w:b w:val="false"/>
                <w:bCs w:val="false"/>
                <w:i w:val="false"/>
                <w:iCs w:val="false"/>
                <w:caps w:val="false"/>
                <w:color w:val="B9C4D0"/>
                <w:sz w:val="22"/>
                <w:szCs w:val="22"/>
              </w:rPr>
              <w:t xml:space="preserve">Configuring and maintaining the assistant, the registers, the dashboard and the access controls that make the system reliable.</w:t>
            </w:r>
          </w:p>
          <w:p>
            <w:pPr>
              <w:pBdr>
                <w:bottom w:val="single" w:color="A9803E" w:sz="8"/>
              </w:pBdr>
              <w:spacing w:after="240"/>
            </w:pPr>
          </w:p>
          <w:p>
            <w:pPr>
              <w:spacing w:after="90" w:line="280"/>
            </w:pPr>
            <w:r>
              <w:rPr>
                <w:rFonts w:ascii="Consolas" w:cs="Consolas" w:eastAsia="Consolas" w:hAnsi="Consolas"/>
                <w:b w:val="false"/>
                <w:bCs w:val="false"/>
                <w:i w:val="false"/>
                <w:iCs w:val="false"/>
                <w:caps/>
                <w:color w:val="8FA6B8"/>
                <w:spacing w:val="20"/>
                <w:sz w:val="15"/>
                <w:szCs w:val="15"/>
              </w:rPr>
              <w:t xml:space="preserve">Prepared for        </w:t>
            </w:r>
            <w:r>
              <w:rPr>
                <w:rFonts w:ascii="Calibri" w:cs="Calibri" w:eastAsia="Calibri" w:hAnsi="Calibri"/>
                <w:b w:val="false"/>
                <w:bCs w:val="false"/>
                <w:i w:val="false"/>
                <w:iCs w:val="false"/>
                <w:caps w:val="false"/>
                <w:color w:val="FFFFFF"/>
                <w:sz w:val="19"/>
                <w:szCs w:val="19"/>
              </w:rPr>
              <w:t xml:space="preserve">NorthStar Consulting</w:t>
            </w:r>
          </w:p>
          <w:p>
            <w:pPr>
              <w:spacing w:after="90" w:line="280"/>
            </w:pPr>
            <w:r>
              <w:rPr>
                <w:rFonts w:ascii="Consolas" w:cs="Consolas" w:eastAsia="Consolas" w:hAnsi="Consolas"/>
                <w:b w:val="false"/>
                <w:bCs w:val="false"/>
                <w:i w:val="false"/>
                <w:iCs w:val="false"/>
                <w:caps/>
                <w:color w:val="8FA6B8"/>
                <w:spacing w:val="20"/>
                <w:sz w:val="15"/>
                <w:szCs w:val="15"/>
              </w:rPr>
              <w:t xml:space="preserve">Prepared by         </w:t>
            </w:r>
            <w:r>
              <w:rPr>
                <w:rFonts w:ascii="Calibri" w:cs="Calibri" w:eastAsia="Calibri" w:hAnsi="Calibri"/>
                <w:b w:val="false"/>
                <w:bCs w:val="false"/>
                <w:i w:val="false"/>
                <w:iCs w:val="false"/>
                <w:caps w:val="false"/>
                <w:color w:val="FFFFFF"/>
                <w:sz w:val="19"/>
                <w:szCs w:val="19"/>
              </w:rPr>
              <w:t xml:space="preserve">QuantAI</w:t>
            </w:r>
          </w:p>
          <w:p>
            <w:pPr>
              <w:spacing w:after="90" w:line="280"/>
            </w:pPr>
            <w:r>
              <w:rPr>
                <w:rFonts w:ascii="Consolas" w:cs="Consolas" w:eastAsia="Consolas" w:hAnsi="Consolas"/>
                <w:b w:val="false"/>
                <w:bCs w:val="false"/>
                <w:i w:val="false"/>
                <w:iCs w:val="false"/>
                <w:caps/>
                <w:color w:val="8FA6B8"/>
                <w:spacing w:val="20"/>
                <w:sz w:val="15"/>
                <w:szCs w:val="15"/>
              </w:rPr>
              <w:t xml:space="preserve">Owner               </w:t>
            </w:r>
            <w:r>
              <w:rPr>
                <w:rFonts w:ascii="Calibri" w:cs="Calibri" w:eastAsia="Calibri" w:hAnsi="Calibri"/>
                <w:b w:val="false"/>
                <w:bCs w:val="false"/>
                <w:i w:val="false"/>
                <w:iCs w:val="false"/>
                <w:caps w:val="false"/>
                <w:color w:val="FFFFFF"/>
                <w:sz w:val="19"/>
                <w:szCs w:val="19"/>
              </w:rPr>
              <w:t xml:space="preserve">PMO Manager</w:t>
            </w:r>
          </w:p>
          <w:p>
            <w:pPr>
              <w:spacing w:after="90" w:line="280"/>
            </w:pPr>
            <w:r>
              <w:rPr>
                <w:rFonts w:ascii="Consolas" w:cs="Consolas" w:eastAsia="Consolas" w:hAnsi="Consolas"/>
                <w:b w:val="false"/>
                <w:bCs w:val="false"/>
                <w:i w:val="false"/>
                <w:iCs w:val="false"/>
                <w:caps/>
                <w:color w:val="8FA6B8"/>
                <w:spacing w:val="20"/>
                <w:sz w:val="15"/>
                <w:szCs w:val="15"/>
              </w:rPr>
              <w:t xml:space="preserve">Version             </w:t>
            </w:r>
            <w:r>
              <w:rPr>
                <w:rFonts w:ascii="Calibri" w:cs="Calibri" w:eastAsia="Calibri" w:hAnsi="Calibri"/>
                <w:b w:val="false"/>
                <w:bCs w:val="false"/>
                <w:i w:val="false"/>
                <w:iCs w:val="false"/>
                <w:caps w:val="false"/>
                <w:color w:val="FFFFFF"/>
                <w:sz w:val="19"/>
                <w:szCs w:val="19"/>
              </w:rPr>
              <w:t xml:space="preserve">1.0</w:t>
            </w:r>
          </w:p>
          <w:p>
            <w:pPr>
              <w:spacing w:after="90" w:line="280"/>
            </w:pPr>
            <w:r>
              <w:rPr>
                <w:rFonts w:ascii="Consolas" w:cs="Consolas" w:eastAsia="Consolas" w:hAnsi="Consolas"/>
                <w:b w:val="false"/>
                <w:bCs w:val="false"/>
                <w:i w:val="false"/>
                <w:iCs w:val="false"/>
                <w:caps/>
                <w:color w:val="8FA6B8"/>
                <w:spacing w:val="20"/>
                <w:sz w:val="15"/>
                <w:szCs w:val="15"/>
              </w:rPr>
              <w:t xml:space="preserve">Status              </w:t>
            </w:r>
            <w:r>
              <w:rPr>
                <w:rFonts w:ascii="Calibri" w:cs="Calibri" w:eastAsia="Calibri" w:hAnsi="Calibri"/>
                <w:b w:val="false"/>
                <w:bCs w:val="false"/>
                <w:i w:val="false"/>
                <w:iCs w:val="false"/>
                <w:caps w:val="false"/>
                <w:color w:val="FFFFFF"/>
                <w:sz w:val="19"/>
                <w:szCs w:val="19"/>
              </w:rPr>
              <w:t xml:space="preserve">Demonstration</w:t>
            </w:r>
          </w:p>
        </w:tc>
      </w:tr>
    </w:tbl>
    <w:p>
      <w:pPr>
        <w:spacing w:after="0" w:line="20" w:lineRule="exact"/>
      </w:pPr>
      <w:r>
        <w:rPr>
          <w:sz w:val="2"/>
          <w:szCs w:val="2"/>
        </w:rPr>
        <w:t xml:space="preserve"/>
      </w:r>
    </w:p>
    <w:p>
      <w:pPr>
        <w:sectPr>
          <w:pgSz w:w="11906" w:h="16838" w:orient="portrait"/>
          <w:pgMar w:top="0" w:right="0" w:bottom="0" w:left="0" w:header="0" w:footer="0" w:gutter="0"/>
          <w:pgNumType/>
          <w:docGrid w:linePitch="360"/>
        </w:sectPr>
      </w:pP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9070"/>
      </w:tblGrid>
      <w:tr>
        <w:tc>
          <w:tcPr>
            <w:tcW w:type="dxa" w:w="9070"/>
            <w:tcBorders>
              <w:top w:val="none" w:color="auto" w:sz="0"/>
              <w:left w:val="none" w:color="auto" w:sz="0"/>
              <w:bottom w:val="none" w:color="auto" w:sz="0"/>
              <w:right w:val="none" w:color="auto" w:sz="0"/>
            </w:tcBorders>
            <w:shd w:fill="E5F8F5" w:color="auto" w:val="clear"/>
            <w:tcMar>
              <w:top w:type="dxa" w:w="300"/>
              <w:left w:type="dxa" w:w="400"/>
              <w:bottom w:type="dxa" w:w="300"/>
              <w:right w:type="dxa" w:w="400"/>
            </w:tcMar>
          </w:tcPr>
          <w:p>
            <w:pPr>
              <w:spacing w:after="0" w:before="0" w:line="320"/>
            </w:pPr>
            <w:r>
              <w:rPr>
                <w:rFonts w:ascii="Calibri" w:cs="Calibri" w:eastAsia="Calibri" w:hAnsi="Calibri"/>
                <w:b/>
                <w:bCs/>
                <w:i w:val="false"/>
                <w:iCs w:val="false"/>
                <w:caps w:val="false"/>
                <w:color w:val="0F1B2A"/>
                <w:sz w:val="20"/>
                <w:szCs w:val="20"/>
              </w:rPr>
              <w:t xml:space="preserve">Demonstration guide.</w:t>
            </w:r>
            <w:r>
              <w:rPr>
                <w:rFonts w:ascii="Calibri" w:cs="Calibri" w:eastAsia="Calibri" w:hAnsi="Calibri"/>
                <w:b w:val="false"/>
                <w:bCs w:val="false"/>
                <w:i w:val="false"/>
                <w:iCs w:val="false"/>
                <w:caps w:val="false"/>
                <w:color w:val="0F1B2A"/>
                <w:sz w:val="20"/>
                <w:szCs w:val="20"/>
              </w:rPr>
              <w:t xml:space="preserve"> A real deployment would be configured with the firm's Microsoft 365 administrator and Information Governance Lead. This is a practitioner-level operating guide, not legal or records-management advice.</w:t>
            </w:r>
          </w:p>
        </w:tc>
      </w:tr>
    </w:tbl>
    <w:p>
      <w:pPr>
        <w:spacing w:after="160"/>
      </w:pPr>
    </w:p>
    <w:p>
      <w:pPr>
        <w:pStyle w:val="Heading2"/>
        <w:keepNext/>
        <w:spacing w:after="130" w:before="300"/>
      </w:pPr>
      <w:r>
        <w:rPr>
          <w:rFonts w:ascii="Cambria" w:cs="Cambria" w:eastAsia="Cambria" w:hAnsi="Cambria"/>
          <w:b/>
          <w:bCs/>
          <w:i w:val="false"/>
          <w:iCs w:val="false"/>
          <w:caps w:val="false"/>
          <w:color w:val="0F1B2A"/>
          <w:sz w:val="27"/>
          <w:szCs w:val="27"/>
        </w:rPr>
        <w:t xml:space="preserve">1. What you own</w:t>
      </w:r>
    </w:p>
    <w:p>
      <w:pPr>
        <w:spacing w:after="160" w:before="0" w:line="320"/>
      </w:pPr>
      <w:r>
        <w:rPr>
          <w:rFonts w:ascii="Calibri" w:cs="Calibri" w:eastAsia="Calibri" w:hAnsi="Calibri"/>
          <w:b w:val="false"/>
          <w:bCs w:val="false"/>
          <w:i w:val="false"/>
          <w:iCs w:val="false"/>
          <w:caps w:val="false"/>
          <w:color w:val="40536B"/>
          <w:sz w:val="21"/>
          <w:szCs w:val="21"/>
        </w:rPr>
        <w:t xml:space="preserve">The plumbing that makes the system reliable: the Claude Project, the registers in Planner and Lists, the field mapping, the dashboard, and the access and confidentiality controls. The goal is that meeting owners and reviewers can run the workflow without touching configuration.</w:t>
      </w:r>
    </w:p>
    <w:p>
      <w:pPr>
        <w:pStyle w:val="Heading2"/>
        <w:keepNext/>
        <w:spacing w:after="130" w:before="300"/>
      </w:pPr>
      <w:r>
        <w:rPr>
          <w:rFonts w:ascii="Cambria" w:cs="Cambria" w:eastAsia="Cambria" w:hAnsi="Cambria"/>
          <w:b/>
          <w:bCs/>
          <w:i w:val="false"/>
          <w:iCs w:val="false"/>
          <w:caps w:val="false"/>
          <w:color w:val="0F1B2A"/>
          <w:sz w:val="27"/>
          <w:szCs w:val="27"/>
        </w:rPr>
        <w:t xml:space="preserve">2. The Claude Project</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Set up the Meeting Intelligence Assistant Project in Claude Team (see </w:t>
      </w:r>
      <w:r>
        <w:rPr>
          <w:rFonts w:ascii="Consolas" w:cs="Consolas" w:eastAsia="Consolas" w:hAnsi="Consolas"/>
          <w:b w:val="false"/>
          <w:bCs w:val="false"/>
          <w:i w:val="false"/>
          <w:iCs w:val="false"/>
          <w:caps w:val="false"/>
          <w:color w:val="0F1B2A"/>
          <w:sz w:val="19"/>
          <w:szCs w:val="19"/>
        </w:rPr>
        <w:t xml:space="preserve">claude-project/</w:t>
      </w:r>
      <w:r>
        <w:rPr>
          <w:rFonts w:ascii="Calibri" w:cs="Calibri" w:eastAsia="Calibri" w:hAnsi="Calibri"/>
          <w:b w:val="false"/>
          <w:bCs w:val="false"/>
          <w:i w:val="false"/>
          <w:iCs w:val="false"/>
          <w:caps w:val="false"/>
          <w:color w:val="40536B"/>
          <w:sz w:val="21"/>
          <w:szCs w:val="21"/>
        </w:rPr>
        <w:t xml:space="preserve">).</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Attach the taxonomy and record standard, the minutes template, the workflow design, and the confidentiality levels as Project knowledge.</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Do not attach real client-confidential transcripts as permanent knowledge; transcripts are provided per meeting, and the prototype uses de-identified data.</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Review the instructions each quarter and whenever a meeting type or confidentiality rule changes.</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3. The registers (Planner and Lists)</w:t>
      </w:r>
    </w:p>
    <w:p>
      <w:pPr>
        <w:spacing w:after="160" w:before="0" w:line="320"/>
      </w:pPr>
      <w:r>
        <w:rPr>
          <w:rFonts w:ascii="Calibri" w:cs="Calibri" w:eastAsia="Calibri" w:hAnsi="Calibri"/>
          <w:b w:val="false"/>
          <w:bCs w:val="false"/>
          <w:i w:val="false"/>
          <w:iCs w:val="false"/>
          <w:caps w:val="false"/>
          <w:color w:val="40536B"/>
          <w:sz w:val="21"/>
          <w:szCs w:val="21"/>
        </w:rPr>
        <w:t xml:space="preserve">Build the three registers per the field mapping in </w:t>
      </w:r>
      <w:r>
        <w:rPr>
          <w:rFonts w:ascii="Consolas" w:cs="Consolas" w:eastAsia="Consolas" w:hAnsi="Consolas"/>
          <w:b w:val="false"/>
          <w:bCs w:val="false"/>
          <w:i w:val="false"/>
          <w:iCs w:val="false"/>
          <w:caps w:val="false"/>
          <w:color w:val="0F1B2A"/>
          <w:sz w:val="19"/>
          <w:szCs w:val="19"/>
        </w:rPr>
        <w:t xml:space="preserve">05_registers_and_field_mapping.md</w:t>
      </w:r>
      <w:r>
        <w:rPr>
          <w:rFonts w:ascii="Calibri" w:cs="Calibri" w:eastAsia="Calibri" w:hAnsi="Calibri"/>
          <w:b w:val="false"/>
          <w:bCs w:val="false"/>
          <w:i w:val="false"/>
          <w:iCs w:val="false"/>
          <w:caps w:val="false"/>
          <w:color w:val="40536B"/>
          <w:sz w:val="21"/>
          <w:szCs w:val="21"/>
        </w:rPr>
        <w:t xml:space="preserve">:</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Action register</w:t>
      </w:r>
      <w:r>
        <w:rPr>
          <w:rFonts w:ascii="Calibri" w:cs="Calibri" w:eastAsia="Calibri" w:hAnsi="Calibri"/>
          <w:b w:val="false"/>
          <w:bCs w:val="false"/>
          <w:i w:val="false"/>
          <w:iCs w:val="false"/>
          <w:caps w:val="false"/>
          <w:color w:val="40536B"/>
          <w:sz w:val="21"/>
          <w:szCs w:val="21"/>
        </w:rPr>
        <w:t xml:space="preserve"> (Planner and Lists): action, owner, due date, status, team, source meeting, carried-forward-from.</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Decision register</w:t>
      </w:r>
      <w:r>
        <w:rPr>
          <w:rFonts w:ascii="Calibri" w:cs="Calibri" w:eastAsia="Calibri" w:hAnsi="Calibri"/>
          <w:b w:val="false"/>
          <w:bCs w:val="false"/>
          <w:i w:val="false"/>
          <w:iCs w:val="false"/>
          <w:caps w:val="false"/>
          <w:color w:val="40536B"/>
          <w:sz w:val="21"/>
          <w:szCs w:val="21"/>
        </w:rPr>
        <w:t xml:space="preserve"> (Lists): decision, date, meeting, authority, link.</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Risk register</w:t>
      </w:r>
      <w:r>
        <w:rPr>
          <w:rFonts w:ascii="Calibri" w:cs="Calibri" w:eastAsia="Calibri" w:hAnsi="Calibri"/>
          <w:b w:val="false"/>
          <w:bCs w:val="false"/>
          <w:i w:val="false"/>
          <w:iCs w:val="false"/>
          <w:caps w:val="false"/>
          <w:color w:val="40536B"/>
          <w:sz w:val="21"/>
          <w:szCs w:val="21"/>
        </w:rPr>
        <w:t xml:space="preserve"> (Lists): risk, severity, owner, meeting, status.</w:t>
      </w:r>
    </w:p>
    <w:p>
      <w:pPr>
        <w:spacing w:after="60"/>
      </w:pPr>
    </w:p>
    <w:p>
      <w:pPr>
        <w:spacing w:after="160" w:before="0" w:line="320"/>
      </w:pPr>
      <w:r>
        <w:rPr>
          <w:rFonts w:ascii="Calibri" w:cs="Calibri" w:eastAsia="Calibri" w:hAnsi="Calibri"/>
          <w:b w:val="false"/>
          <w:bCs w:val="false"/>
          <w:i w:val="false"/>
          <w:iCs w:val="false"/>
          <w:caps w:val="false"/>
          <w:color w:val="40536B"/>
          <w:sz w:val="21"/>
          <w:szCs w:val="21"/>
        </w:rPr>
        <w:t xml:space="preserve">Key rules to enforce in configuration:</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Owner is mandatory</w:t>
      </w:r>
      <w:r>
        <w:rPr>
          <w:rFonts w:ascii="Calibri" w:cs="Calibri" w:eastAsia="Calibri" w:hAnsi="Calibri"/>
          <w:b w:val="false"/>
          <w:bCs w:val="false"/>
          <w:i w:val="false"/>
          <w:iCs w:val="false"/>
          <w:caps w:val="false"/>
          <w:color w:val="40536B"/>
          <w:sz w:val="21"/>
          <w:szCs w:val="21"/>
        </w:rPr>
        <w:t xml:space="preserve"> on an action; a record with an unresolved owner flag cannot be published.</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Overdue is computed</w:t>
      </w:r>
      <w:r>
        <w:rPr>
          <w:rFonts w:ascii="Calibri" w:cs="Calibri" w:eastAsia="Calibri" w:hAnsi="Calibri"/>
          <w:b w:val="false"/>
          <w:bCs w:val="false"/>
          <w:i w:val="false"/>
          <w:iCs w:val="false"/>
          <w:caps w:val="false"/>
          <w:color w:val="40536B"/>
          <w:sz w:val="21"/>
          <w:szCs w:val="21"/>
        </w:rPr>
        <w:t xml:space="preserve"> from the due date, not set by hand.</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Carried-forward-from</w:t>
      </w:r>
      <w:r>
        <w:rPr>
          <w:rFonts w:ascii="Calibri" w:cs="Calibri" w:eastAsia="Calibri" w:hAnsi="Calibri"/>
          <w:b w:val="false"/>
          <w:bCs w:val="false"/>
          <w:i w:val="false"/>
          <w:iCs w:val="false"/>
          <w:caps w:val="false"/>
          <w:color w:val="40536B"/>
          <w:sz w:val="21"/>
          <w:szCs w:val="21"/>
        </w:rPr>
        <w:t xml:space="preserve"> is stamped when an action rolls into a later meeting, so the dashboard can count slippage.</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4. The dashboard</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The manager dashboard reads the action register and shows open, overdue and carried-forward actions by team, with the stuck items surfaced. The prototype (</w:t>
      </w:r>
      <w:r>
        <w:rPr>
          <w:rFonts w:ascii="Consolas" w:cs="Consolas" w:eastAsia="Consolas" w:hAnsi="Consolas"/>
          <w:b w:val="false"/>
          <w:bCs w:val="false"/>
          <w:i w:val="false"/>
          <w:iCs w:val="false"/>
          <w:caps w:val="false"/>
          <w:color w:val="0F1B2A"/>
          <w:sz w:val="19"/>
          <w:szCs w:val="19"/>
        </w:rPr>
        <w:t xml:space="preserve">dashboard/index.html</w:t>
      </w:r>
      <w:r>
        <w:rPr>
          <w:rFonts w:ascii="Calibri" w:cs="Calibri" w:eastAsia="Calibri" w:hAnsi="Calibri"/>
          <w:b w:val="false"/>
          <w:bCs w:val="false"/>
          <w:i w:val="false"/>
          <w:iCs w:val="false"/>
          <w:caps w:val="false"/>
          <w:color w:val="40536B"/>
          <w:sz w:val="21"/>
          <w:szCs w:val="21"/>
        </w:rPr>
        <w:t xml:space="preserve">) shows the intended behaviour and status logic.</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For leadership, build the Power BI executive view over the same registers per the specification in </w:t>
      </w:r>
      <w:r>
        <w:rPr>
          <w:rFonts w:ascii="Consolas" w:cs="Consolas" w:eastAsia="Consolas" w:hAnsi="Consolas"/>
          <w:b w:val="false"/>
          <w:bCs w:val="false"/>
          <w:i w:val="false"/>
          <w:iCs w:val="false"/>
          <w:caps w:val="false"/>
          <w:color w:val="0F1B2A"/>
          <w:sz w:val="19"/>
          <w:szCs w:val="19"/>
        </w:rPr>
        <w:t xml:space="preserve">06_dashboard_specifications.md</w:t>
      </w:r>
      <w:r>
        <w:rPr>
          <w:rFonts w:ascii="Calibri" w:cs="Calibri" w:eastAsia="Calibri" w:hAnsi="Calibri"/>
          <w:b w:val="false"/>
          <w:bCs w:val="false"/>
          <w:i w:val="false"/>
          <w:iCs w:val="false"/>
          <w:caps w:val="false"/>
          <w:color w:val="40536B"/>
          <w:sz w:val="21"/>
          <w:szCs w:val="21"/>
        </w:rPr>
        <w:t xml:space="preserve">: firm-wide accountability, by-team breakdown, decisions and risks, and the adoption and quality measures.</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Refresh daily from Planner and Lists.</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5. Access and confidentiality controls</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Apply the access model with the Information Governance Lead: teams see their records, managers see their teams, leadership sees the firm.</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Confidentiality levels follow the meeting type; client-delivery records get the strictest handling.</w:t>
      </w:r>
    </w:p>
    <w:p>
      <w:pPr>
        <w:pStyle w:val="ListParagraph"/>
        <w:numPr>
          <w:ilvl w:val="0"/>
          <w:numId w:val="2"/>
        </w:numPr>
        <w:spacing w:after="90" w:line="290"/>
      </w:pPr>
      <w:r>
        <w:rPr>
          <w:rFonts w:ascii="Calibri" w:cs="Calibri" w:eastAsia="Calibri" w:hAnsi="Calibri"/>
          <w:b w:val="false"/>
          <w:bCs w:val="false"/>
          <w:i w:val="false"/>
          <w:iCs w:val="false"/>
          <w:caps w:val="false"/>
          <w:color w:val="40536B"/>
          <w:sz w:val="21"/>
          <w:szCs w:val="21"/>
        </w:rPr>
        <w:t xml:space="preserve">Keep everything in approved tools; the system never requires content to leave them.</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6. Health checks</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Weekly:</w:t>
      </w:r>
      <w:r>
        <w:rPr>
          <w:rFonts w:ascii="Calibri" w:cs="Calibri" w:eastAsia="Calibri" w:hAnsi="Calibri"/>
          <w:b w:val="false"/>
          <w:bCs w:val="false"/>
          <w:i w:val="false"/>
          <w:iCs w:val="false"/>
          <w:caps w:val="false"/>
          <w:color w:val="40536B"/>
          <w:sz w:val="21"/>
          <w:szCs w:val="21"/>
        </w:rPr>
        <w:t xml:space="preserve"> confirm records are publishing to the registers and the dashboard is refreshing.</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Monthly:</w:t>
      </w:r>
      <w:r>
        <w:rPr>
          <w:rFonts w:ascii="Calibri" w:cs="Calibri" w:eastAsia="Calibri" w:hAnsi="Calibri"/>
          <w:b w:val="false"/>
          <w:bCs w:val="false"/>
          <w:i w:val="false"/>
          <w:iCs w:val="false"/>
          <w:caps w:val="false"/>
          <w:color w:val="40536B"/>
          <w:sz w:val="21"/>
          <w:szCs w:val="21"/>
        </w:rPr>
        <w:t xml:space="preserve"> check the adoption and quality measures (meetings processed, action-completeness, reviewer-usable rate, admin-time trend) for the monthly report.</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Quarterly:</w:t>
      </w:r>
      <w:r>
        <w:rPr>
          <w:rFonts w:ascii="Calibri" w:cs="Calibri" w:eastAsia="Calibri" w:hAnsi="Calibri"/>
          <w:b w:val="false"/>
          <w:bCs w:val="false"/>
          <w:i w:val="false"/>
          <w:iCs w:val="false"/>
          <w:caps w:val="false"/>
          <w:color w:val="40536B"/>
          <w:sz w:val="21"/>
          <w:szCs w:val="21"/>
        </w:rPr>
        <w:t xml:space="preserve"> review the Project, the field mapping and the access model with the PMO Manager and Information Governance Lead.</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7. Common issues</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Actions not appearing on the dashboard:</w:t>
      </w:r>
      <w:r>
        <w:rPr>
          <w:rFonts w:ascii="Calibri" w:cs="Calibri" w:eastAsia="Calibri" w:hAnsi="Calibri"/>
          <w:b w:val="false"/>
          <w:bCs w:val="false"/>
          <w:i w:val="false"/>
          <w:iCs w:val="false"/>
          <w:caps w:val="false"/>
          <w:color w:val="40536B"/>
          <w:sz w:val="21"/>
          <w:szCs w:val="21"/>
        </w:rPr>
        <w:t xml:space="preserve"> check the field mapping and that the record was published (approved), not just drafted.</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A record cannot publish:</w:t>
      </w:r>
      <w:r>
        <w:rPr>
          <w:rFonts w:ascii="Calibri" w:cs="Calibri" w:eastAsia="Calibri" w:hAnsi="Calibri"/>
          <w:b w:val="false"/>
          <w:bCs w:val="false"/>
          <w:i w:val="false"/>
          <w:iCs w:val="false"/>
          <w:caps w:val="false"/>
          <w:color w:val="40536B"/>
          <w:sz w:val="21"/>
          <w:szCs w:val="21"/>
        </w:rPr>
        <w:t xml:space="preserve"> an unresolved owner or confidentiality flag; the reviewer resolves it.</w:t>
      </w:r>
    </w:p>
    <w:p>
      <w:pPr>
        <w:pStyle w:val="ListParagraph"/>
        <w:numPr>
          <w:ilvl w:val="0"/>
          <w:numId w:val="2"/>
        </w:numPr>
        <w:spacing w:after="90" w:line="290"/>
      </w:pPr>
      <w:r>
        <w:rPr>
          <w:rFonts w:ascii="Calibri" w:cs="Calibri" w:eastAsia="Calibri" w:hAnsi="Calibri"/>
          <w:b/>
          <w:bCs/>
          <w:i w:val="false"/>
          <w:iCs w:val="false"/>
          <w:caps w:val="false"/>
          <w:color w:val="0F1B2A"/>
          <w:sz w:val="21"/>
          <w:szCs w:val="21"/>
        </w:rPr>
        <w:t xml:space="preserve">Overdue not showing:</w:t>
      </w:r>
      <w:r>
        <w:rPr>
          <w:rFonts w:ascii="Calibri" w:cs="Calibri" w:eastAsia="Calibri" w:hAnsi="Calibri"/>
          <w:b w:val="false"/>
          <w:bCs w:val="false"/>
          <w:i w:val="false"/>
          <w:iCs w:val="false"/>
          <w:caps w:val="false"/>
          <w:color w:val="40536B"/>
          <w:sz w:val="21"/>
          <w:szCs w:val="21"/>
        </w:rPr>
        <w:t xml:space="preserve"> confirm the due date is populated and the computed-status rule is applied.</w:t>
      </w:r>
    </w:p>
    <w:p>
      <w:pPr>
        <w:spacing w:after="60"/>
      </w:pPr>
    </w:p>
    <w:p>
      <w:pPr>
        <w:pStyle w:val="Heading2"/>
        <w:keepNext/>
        <w:spacing w:after="130" w:before="300"/>
      </w:pPr>
      <w:r>
        <w:rPr>
          <w:rFonts w:ascii="Cambria" w:cs="Cambria" w:eastAsia="Cambria" w:hAnsi="Cambria"/>
          <w:b/>
          <w:bCs/>
          <w:i w:val="false"/>
          <w:iCs w:val="false"/>
          <w:caps w:val="false"/>
          <w:color w:val="0F1B2A"/>
          <w:sz w:val="27"/>
          <w:szCs w:val="27"/>
        </w:rPr>
        <w:t xml:space="preserve">8. Records and version control</w:t>
      </w:r>
    </w:p>
    <w:tbl>
      <w:tblPr>
        <w:tblW w:type="dxa" w:w="9070"/>
        <w:tblBorders>
          <w:top w:val="none" w:color="auto" w:sz="0"/>
          <w:left w:val="none" w:color="auto" w:sz="0"/>
          <w:bottom w:val="none" w:color="auto" w:sz="0"/>
          <w:right w:val="none" w:color="auto" w:sz="0"/>
          <w:insideH w:val="single" w:color="auto" w:sz="4"/>
          <w:insideV w:val="single" w:color="auto" w:sz="4"/>
        </w:tblBorders>
      </w:tblPr>
      <w:tblGrid>
        <w:gridCol w:w="2748"/>
        <w:gridCol w:w="2107"/>
        <w:gridCol w:w="2107"/>
        <w:gridCol w:w="2107"/>
      </w:tblGrid>
      <w:tr>
        <w:trPr>
          <w:tblHeader/>
        </w:trPr>
        <w:tc>
          <w:tcPr>
            <w:tcW w:type="dxa" w:w="2748"/>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Version</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Date</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Change</w:t>
            </w:r>
          </w:p>
        </w:tc>
        <w:tc>
          <w:tcPr>
            <w:tcW w:type="dxa" w:w="2107"/>
            <w:tcBorders>
              <w:top w:val="none" w:color="auto" w:sz="0"/>
              <w:left w:val="none" w:color="auto" w:sz="0"/>
              <w:bottom w:val="single" w:color="0F1B2A" w:sz="10"/>
              <w:right w:val="none" w:color="auto" w:sz="0"/>
            </w:tcBorders>
            <w:tcMar>
              <w:top w:type="dxa" w:w="60"/>
              <w:left w:type="dxa" w:w="0"/>
              <w:bottom w:type="dxa" w:w="100"/>
              <w:right w:type="dxa" w:w="160"/>
            </w:tcMar>
          </w:tcPr>
          <w:p>
            <w:pPr>
              <w:spacing w:after="0" w:before="0" w:line="240"/>
            </w:pPr>
            <w:r>
              <w:rPr>
                <w:rFonts w:ascii="Calibri" w:cs="Calibri" w:eastAsia="Calibri" w:hAnsi="Calibri"/>
                <w:b/>
                <w:bCs/>
                <w:i w:val="false"/>
                <w:iCs w:val="false"/>
                <w:caps/>
                <w:color w:val="7A8899"/>
                <w:spacing w:val="20"/>
                <w:sz w:val="15"/>
                <w:szCs w:val="15"/>
              </w:rPr>
              <w:t xml:space="preserve">Author</w:t>
            </w:r>
          </w:p>
        </w:tc>
      </w:tr>
      <w:tr>
        <w:tc>
          <w:tcPr>
            <w:tcW w:type="dxa" w:w="2748"/>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bCs/>
                <w:i w:val="false"/>
                <w:iCs w:val="false"/>
                <w:caps w:val="false"/>
                <w:color w:val="0F1B2A"/>
                <w:sz w:val="20"/>
                <w:szCs w:val="20"/>
              </w:rPr>
              <w:t xml:space="preserve">1.0</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2026</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Initial guide</w:t>
            </w:r>
          </w:p>
        </w:tc>
        <w:tc>
          <w:tcPr>
            <w:tcW w:type="dxa" w:w="2107"/>
            <w:tcBorders>
              <w:top w:val="none" w:color="auto" w:sz="0"/>
              <w:left w:val="none" w:color="auto" w:sz="0"/>
              <w:bottom w:val="single" w:color="0F1B2A" w:sz="10"/>
              <w:right w:val="none" w:color="auto" w:sz="0"/>
            </w:tcBorders>
            <w:tcMar>
              <w:top w:type="dxa" w:w="110"/>
              <w:left w:type="dxa" w:w="0"/>
              <w:bottom w:type="dxa" w:w="110"/>
              <w:right w:type="dxa" w:w="160"/>
            </w:tcMar>
          </w:tcPr>
          <w:p>
            <w:pPr>
              <w:spacing w:after="0" w:before="0" w:line="260"/>
            </w:pPr>
            <w:r>
              <w:rPr>
                <w:rFonts w:ascii="Calibri" w:cs="Calibri" w:eastAsia="Calibri" w:hAnsi="Calibri"/>
                <w:b w:val="false"/>
                <w:bCs w:val="false"/>
                <w:i w:val="false"/>
                <w:iCs w:val="false"/>
                <w:caps w:val="false"/>
                <w:color w:val="40536B"/>
                <w:sz w:val="20"/>
                <w:szCs w:val="20"/>
              </w:rPr>
              <w:t xml:space="preserve">QuantAI (portfolio)</w:t>
            </w:r>
          </w:p>
        </w:tc>
      </w:tr>
    </w:tbl>
    <w:p>
      <w:pPr>
        <w:spacing w:after="160"/>
      </w:pPr>
    </w:p>
    <w:sectPr>
      <w:headerReference w:type="default" r:id="rId7"/>
      <w:footerReference w:type="default" r:id="rId8"/>
      <w:pgSz w:w="11906" w:h="16838" w:orient="portrait"/>
      <w:pgMar w:top="1247" w:right="1417" w:bottom="1133" w:left="1417" w:header="680" w:footer="623"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7EBEF" w:sz="4"/>
      </w:pBdr>
      <w:spacing w:after="100"/>
    </w:pPr>
  </w:p>
  <w:p>
    <w:pPr>
      <w:spacing w:after="0" w:line="300" w:lineRule="atLeast"/>
    </w:pPr>
    <w:r>
      <w:drawing>
        <wp:inline distT="0" distB="0" distL="0" distR="0">
          <wp:extent cx="12382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 cy="123825"/>
                  </a:xfrm>
                  <a:prstGeom prst="rect">
                    <a:avLst/>
                  </a:prstGeom>
                </pic:spPr>
              </pic:pic>
            </a:graphicData>
          </a:graphic>
        </wp:inline>
      </w:drawing>
    </w:r>
    <w:r>
      <w:rPr>
        <w:rFonts w:ascii="Calibri" w:cs="Calibri" w:eastAsia="Calibri" w:hAnsi="Calibri"/>
        <w:b w:val="false"/>
        <w:bCs w:val="false"/>
        <w:i w:val="false"/>
        <w:iCs w:val="false"/>
        <w:caps w:val="false"/>
        <w:color w:val="7A8899"/>
        <w:sz w:val="15"/>
        <w:szCs w:val="15"/>
      </w:rPr>
      <w:t xml:space="preserve">   QuantAI  ·  Confidential</w:t>
    </w:r>
    <w:r>
      <w:ptab w:alignment="right" w:relativeTo="margin" w:leader="none"/>
    </w:r>
    <w:r>
      <w:rPr>
        <w:rFonts w:ascii="Calibri" w:cs="Calibri" w:eastAsia="Calibri" w:hAnsi="Calibri"/>
        <w:b w:val="false"/>
        <w:bCs w:val="false"/>
        <w:i w:val="false"/>
        <w:iCs w:val="false"/>
        <w:caps w:val="false"/>
        <w:color w:val="7A8899"/>
        <w:sz w:val="15"/>
        <w:szCs w:val="15"/>
      </w:rPr>
      <w:t xml:space="preserve">Page </w:t>
    </w:r>
    <w:r>
      <w:rPr>
        <w:rFonts w:ascii="Calibri" w:cs="Calibri" w:eastAsia="Calibri" w:hAnsi="Calibri"/>
        <w:color w:val="7A8899"/>
        <w:sz w:val="15"/>
        <w:szCs w:val="15"/>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7A8899"/>
        <w:sz w:val="15"/>
        <w:szCs w:val="15"/>
      </w:rPr>
      <w:t xml:space="preserve"> of </w:t>
    </w:r>
    <w:r>
      <w:rPr>
        <w:rFonts w:ascii="Calibri" w:cs="Calibri" w:eastAsia="Calibri" w:hAnsi="Calibri"/>
        <w:color w:val="7A88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val="false"/>
        <w:bCs w:val="false"/>
        <w:i w:val="false"/>
        <w:iCs w:val="false"/>
        <w:caps/>
        <w:color w:val="7A8899"/>
        <w:spacing w:val="20"/>
        <w:sz w:val="15"/>
        <w:szCs w:val="15"/>
      </w:rPr>
      <w:t xml:space="preserve">QuantAI · Meeting intelligence, administrator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Calibri" w:cs="Calibri" w:eastAsia="Calibri" w:hAnsi="Calibri"/>
        <w:color w:val="14655C"/>
      </w:rPr>
    </w:lvl>
  </w:abstractNum>
  <w:abstractNum w:abstractNumId="3" w15:restartNumberingAfterBreak="0">
    <w:multiLevelType w:val="hybridMultilevel"/>
    <w:lvl w:ilvl="0" w15:tentative="1">
      <w:start w:val="1"/>
      <w:numFmt w:val="decimal"/>
      <w:lvlText w:val="%1."/>
      <w:lvlJc w:val="left"/>
      <w:pPr>
        <w:ind w:left="400" w:hanging="280"/>
      </w:pPr>
      <w:rPr>
        <w:rFonts w:ascii="Calibri" w:cs="Calibri" w:eastAsia="Calibri" w:hAnsi="Calibri"/>
        <w:b/>
        <w:bCs/>
        <w:color w:val="14655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536B"/>
        <w:sz w:val="21"/>
        <w:szCs w:val="21"/>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0F1B2A"/>
      <w:sz w:val="40"/>
      <w:szCs w:val="40"/>
    </w:rPr>
  </w:style>
  <w:style w:type="paragraph" w:styleId="Heading2">
    <w:name w:val="Heading 2"/>
    <w:basedOn w:val="Normal"/>
    <w:next w:val="Normal"/>
    <w:qFormat/>
    <w:rPr>
      <w:rFonts w:ascii="Cambria" w:cs="Cambria" w:eastAsia="Cambria" w:hAnsi="Cambria"/>
      <w:b/>
      <w:bCs/>
      <w:color w:val="0F1B2A"/>
      <w:sz w:val="27"/>
      <w:szCs w:val="27"/>
    </w:rPr>
  </w:style>
  <w:style w:type="paragraph" w:styleId="Heading3">
    <w:name w:val="Heading 3"/>
    <w:basedOn w:val="Normal"/>
    <w:next w:val="Normal"/>
    <w:qFormat/>
    <w:rPr>
      <w:rFonts w:ascii="Calibri" w:cs="Calibri" w:eastAsia="Calibri" w:hAnsi="Calibri"/>
      <w:b/>
      <w:bCs/>
      <w:color w:val="0F1B2A"/>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063891a95e34455f6c12621055a25d1a4404e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55104f0c9ba081919c81f924f81c6f51e29e01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QuantAI · Meeting intelligence, administrator guide</dc:title>
  <dc:creator>QuantAI</dc:creator>
  <dc:description>QuantAI document</dc:description>
  <cp:lastModifiedBy>Un-named</cp:lastModifiedBy>
  <cp:revision>1</cp:revision>
  <dcterms:created xsi:type="dcterms:W3CDTF">2026-08-01T22:30:18.847Z</dcterms:created>
  <dcterms:modified xsi:type="dcterms:W3CDTF">2026-08-01T22:30:18.847Z</dcterms:modified>
</cp:coreProperties>
</file>

<file path=docProps/custom.xml><?xml version="1.0" encoding="utf-8"?>
<Properties xmlns="http://schemas.openxmlformats.org/officeDocument/2006/custom-properties" xmlns:vt="http://schemas.openxmlformats.org/officeDocument/2006/docPropsVTypes"/>
</file>