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1905"/>
      </w:tblGrid>
      <w:tr>
        <w:trPr>
          <w:trHeight w:val="16611" w:hRule="atLeast"/>
        </w:trPr>
        <w:tc>
          <w:tcPr>
            <w:tcW w:type="dxa" w:w="1190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B2A" w:color="auto" w:val="clear"/>
            <w:tcMar>
              <w:top w:type="dxa" w:w="2607"/>
              <w:left w:type="dxa" w:w="1417"/>
              <w:bottom w:type="dxa" w:w="1360"/>
              <w:right w:type="dxa" w:w="1417"/>
            </w:tcMar>
            <w:vAlign w:val="top"/>
          </w:tcPr>
          <w:p>
            <w:pPr>
              <w:spacing w:after="900" w:line="620" w:lineRule="atLeast"/>
            </w:pPr>
            <w:r>
              <w:drawing>
                <wp:inline distT="0" distB="0" distL="0" distR="0">
                  <wp:extent cx="1504950" cy="257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FA6B8"/>
                <w:spacing w:val="32"/>
                <w:sz w:val="16"/>
                <w:szCs w:val="16"/>
              </w:rPr>
              <w:t xml:space="preserve">Governance procedures</w:t>
            </w:r>
          </w:p>
          <w:p>
            <w:pPr>
              <w:spacing w:after="200" w:before="0" w:line="60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54"/>
                <w:szCs w:val="54"/>
              </w:rPr>
              <w:t xml:space="preserve">Human review, exceptions and confidentiality</w:t>
            </w:r>
          </w:p>
          <w:p>
            <w:pPr>
              <w:spacing w:after="820" w:before="0" w:line="3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C4D0"/>
                <w:sz w:val="22"/>
                <w:szCs w:val="22"/>
              </w:rPr>
              <w:t xml:space="preserve">The controls that make an AI meeting record trustworthy and safe to publish: a human reviews everything, exceptions are handled consistently, and confidential content follows a clear protocol.</w:t>
            </w:r>
          </w:p>
          <w:p>
            <w:pPr>
              <w:pBdr>
                <w:bottom w:val="single" w:color="A9803E" w:sz="8"/>
              </w:pBdr>
              <w:spacing w:after="240"/>
            </w:pP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Prepared for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NorthStar Consulting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Prepared by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QuantAI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Owner  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PMO Manager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Version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1.0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Status 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Demonstration</w:t>
            </w:r>
          </w:p>
        </w:tc>
      </w:tr>
    </w:tbl>
    <w:p>
      <w:pPr>
        <w:spacing w:after="0" w:line="20" w:lineRule="exact"/>
      </w:pPr>
      <w:r>
        <w:rPr>
          <w:sz w:val="2"/>
          <w:szCs w:val="2"/>
        </w:rPr>
        <w:t xml:space="preserve"/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The one rule everything rests on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5F8F5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The assistant drafts the record. A nominated human reviews and approves before anything is published. Nothing is auto-published, ever.</w:t>
            </w:r>
          </w:p>
        </w:tc>
      </w:tr>
    </w:tbl>
    <w:p>
      <w:pPr>
        <w:spacing w:after="160"/>
      </w:pP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Automated publishing is a stated exclusion of the brief, and for good reason: an unreviewed error in a client meeting record is a professional and client-trust problem. The review gate is not optional.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Human review: who, what, when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Who.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A nominated reviewer for each meeting, usually the meeting owner. For client-delivery and leadership meetings the reviewer is the accountable senior person for that engagement or decision.</w:t>
      </w: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What they check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(the review, stage 3 of the workflow):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summary is accurate and usable;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decisions are correct and complete;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every action has the right owner and a real due date (no [OWNER TO CONFIRM] or [DUE DATE TO CONFIRM] left);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risks are captured with sensible severity and owners;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confidentiality flags are handled and the client-facing vs internal split is right.</w:t>
      </w:r>
    </w:p>
    <w:p>
      <w:pPr>
        <w:spacing w:after="60"/>
      </w:pP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When.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Before publish, every time. The reviewer checklist is built into the minutes template, and a record cannot be published with unresolved owner or confidentiality flags.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The RACI for a meeting record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721"/>
        <w:gridCol w:w="6349"/>
      </w:tblGrid>
      <w:tr>
        <w:trPr>
          <w:tblHeader/>
        </w:trPr>
        <w:tc>
          <w:tcPr>
            <w:tcW w:type="dxa" w:w="2721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Role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Responsibility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Meeting owner (Accountable)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Owns the meeting and, usually, the review. Approves the record for publishing.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Reviewer (Responsible)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Checks and corrects the draft; resolves the flags. Often the same person as the owner.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Assistant (drafts only)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Produces the draft record. Never a reviewer, never an approver, never publishes.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PMO Manager (process owner)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Owns the method, the registers and the standard. Sees adoption and quality, not every record.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Information Governance Lead (Consulted)</w:t>
            </w:r>
          </w:p>
        </w:tc>
        <w:tc>
          <w:tcPr>
            <w:tcW w:type="dxa" w:w="6349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Owns the confidentiality and access rules the system runs under.</w:t>
            </w:r>
          </w:p>
        </w:tc>
      </w:tr>
    </w:tbl>
    <w:p>
      <w:pPr>
        <w:spacing w:after="160"/>
      </w:pP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assistant is never Accountable or Responsible. It drafts; named humans own everything else.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Exception handling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Exceptions are named so they are handled the same way every time, not improvised: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The transcript is poor or incomplete.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The assistant says so and does not fill gaps with assumptions (guaranteed accuracy on poor audio is a stated exclusion). The reviewer works from what is reliable and notes what is missing.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An action has no clear owner.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It is published only once the reviewer assigns an owner. An unowned action never goes into the register.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A decision or risk is ambiguous.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The reviewer confirms or removes it; the assistant does not guess intent.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Confidential content appears.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The confidentiality protocol below applies before publishing.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A record is disputed after publishing.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It is corrected through the normal record-correction process, with the change logged, so the memory stays trustworthy.</w:t>
      </w:r>
    </w:p>
    <w:p>
      <w:pPr>
        <w:spacing w:after="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Confidentiality protocol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firm's real exposure is client-confidential content moving between tools without a rule. The protocol closes that.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Approved tools only.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Transcripts and records stay in the firm's approved tools (Teams, Otter.ai, SharePoint, Lists, Claude Team). Client-confidential content is never copied into a personal or unapproved tool.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Confidentiality by meeting type.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Each meeting type carries a default confidentiality level (client-confidential, commercially sensitive, or internal, see the taxonomy). Client-delivery meetings get the strictest handling.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Least exposure.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Only what is needed to produce the record is put in front of the assistant. The assistant flags client-identifying, commercially sensitive and personal content for deliberate handling; it never makes the confidentiality decision.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Client-facing vs internal split.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Where a record has both, it is split so the client-facing part can be shared without exposing internal notes.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Access model.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Published records and registers follow the firm's access rules: teams see their own records; managers see their teams; leadership sees the firm. The Information Governance Lead owns this.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Personal 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is handled consistent with the Privacy Act 1988 (Australian Privacy Principles).</w:t>
      </w:r>
    </w:p>
    <w:p>
      <w:pPr>
        <w:spacing w:after="60"/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Practitioner-level, not legal advice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This model is designed to sit inside the expectations NorthStar already works to: client confidentiality obligations, the firm's information-governance and records policies, and the Privacy Act 1988. It is a practitioner-level operating control, not legal or records-management advice; the firm's own information-governance controls remain the authority, and the Information Governance Lead should confirm the model against them before rollout. Enterprise data-retention and records-management redesign are out of scope (a stated exclusion).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Why the controls are what make it adoptable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An AI that could publish an unreviewed, client-confidential record on its own would never be trusted in a professional services firm, and rightly so. By keeping a named human accountable for every record, refusing to invent owners, and handling confidential content under a clear protocol, the system earns the trust that makes people actually use it. The governance here is not the price of the system; it is what makes the system safe to rely on.</w:t>
      </w:r>
    </w:p>
    <w:sectPr>
      <w:headerReference w:type="default" r:id="rId7"/>
      <w:footerReference w:type="default" r:id="rId8"/>
      <w:pgSz w:w="11906" w:h="16838" w:orient="portrait"/>
      <w:pgMar w:top="1247" w:right="1417" w:bottom="1133" w:left="1417" w:header="680" w:footer="623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7EBEF" w:sz="4"/>
      </w:pBdr>
      <w:spacing w:after="100"/>
    </w:pPr>
  </w:p>
  <w:p>
    <w:pPr>
      <w:spacing w:after="0" w:line="300" w:lineRule="atLeast"/>
    </w:pPr>
    <w:r>
      <w:drawing>
        <wp:inline distT="0" distB="0" distL="0" distR="0">
          <wp:extent cx="123825" cy="123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   QuantAI  ·  Confidential</w:t>
    </w:r>
    <w:r>
      <w:ptab w:alignment="right" w:relativeTo="margin" w:leader="none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Page </w:t>
    </w:r>
    <w:r>
      <w:rPr>
        <w:rFonts w:ascii="Calibri" w:cs="Calibri" w:eastAsia="Calibri" w:hAnsi="Calibri"/>
        <w:color w:val="7A88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 of </w:t>
    </w:r>
    <w:r>
      <w:rPr>
        <w:rFonts w:ascii="Calibri" w:cs="Calibri" w:eastAsia="Calibri" w:hAnsi="Calibri"/>
        <w:color w:val="7A88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/>
        <w:color w:val="7A8899"/>
        <w:spacing w:val="20"/>
        <w:sz w:val="15"/>
        <w:szCs w:val="15"/>
      </w:rPr>
      <w:t xml:space="preserve">QuantAI · Meeting intelligence, governance and confidentiality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40" w:hanging="220"/>
      </w:pPr>
      <w:rPr>
        <w:rFonts w:ascii="Calibri" w:cs="Calibri" w:eastAsia="Calibri" w:hAnsi="Calibri"/>
        <w:color w:val="1465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Calibri" w:cs="Calibri" w:eastAsia="Calibri" w:hAnsi="Calibri"/>
        <w:b/>
        <w:bCs/>
        <w:color w:val="1465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536B"/>
        <w:sz w:val="21"/>
        <w:szCs w:val="21"/>
      </w:rPr>
    </w:rPrDefault>
    <w:pPrDefault>
      <w:pPr>
        <w:spacing w:after="16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0F1B2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0F1B2A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F1B2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063891a95e34455f6c12621055a25d1a4404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55104f0c9ba081919c81f924f81c6f51e29e013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QuantAI · Meeting intelligence, governance and confidentiality</dc:title>
  <dc:creator>QuantAI</dc:creator>
  <dc:description>QuantAI document</dc:description>
  <cp:lastModifiedBy>Un-named</cp:lastModifiedBy>
  <cp:revision>1</cp:revision>
  <dcterms:created xsi:type="dcterms:W3CDTF">2026-08-01T22:30:18.912Z</dcterms:created>
  <dcterms:modified xsi:type="dcterms:W3CDTF">2026-08-01T22:30:18.912Z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