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1905"/>
      </w:tblGrid>
      <w:tr>
        <w:trPr>
          <w:trHeight w:val="16611" w:hRule="atLeast"/>
        </w:trPr>
        <w:tc>
          <w:tcPr>
            <w:tcW w:type="dxa" w:w="1190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B2A" w:color="auto" w:val="clear"/>
            <w:tcMar>
              <w:top w:type="dxa" w:w="2607"/>
              <w:left w:type="dxa" w:w="1417"/>
              <w:bottom w:type="dxa" w:w="1360"/>
              <w:right w:type="dxa" w:w="1417"/>
            </w:tcMar>
            <w:vAlign w:val="top"/>
          </w:tcPr>
          <w:p>
            <w:pPr>
              <w:spacing w:after="900" w:line="620" w:lineRule="atLeast"/>
            </w:pPr>
            <w:r>
              <w:drawing>
                <wp:inline distT="0" distB="0" distL="0" distR="0">
                  <wp:extent cx="1504950" cy="257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FA6B8"/>
                <w:spacing w:val="32"/>
                <w:sz w:val="16"/>
                <w:szCs w:val="16"/>
              </w:rPr>
              <w:t xml:space="preserve">User guide</w:t>
            </w:r>
          </w:p>
          <w:p>
            <w:pPr>
              <w:spacing w:after="200" w:before="0" w:line="60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54"/>
                <w:szCs w:val="54"/>
              </w:rPr>
              <w:t xml:space="preserve">Meeting intelligence, user and reviewer guide</w:t>
            </w:r>
          </w:p>
          <w:p>
            <w:pPr>
              <w:spacing w:after="820" w:before="0" w:line="3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C4D0"/>
                <w:sz w:val="22"/>
                <w:szCs w:val="22"/>
              </w:rPr>
              <w:t xml:space="preserve">How meeting owners draft records and reviewers approve them, so every meeting produces a reliable, owned record. The assistant drafts; a human approves before anything is published.</w:t>
            </w:r>
          </w:p>
          <w:p>
            <w:pPr>
              <w:pBdr>
                <w:bottom w:val="single" w:color="A9803E" w:sz="8"/>
              </w:pBdr>
              <w:spacing w:after="240"/>
            </w:pP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for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NorthStar Consulting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by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QuantAI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Owner 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PMO Manager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Version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1.0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Status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Demonstration</w:t>
            </w:r>
          </w:p>
        </w:tc>
      </w:tr>
    </w:tbl>
    <w:p>
      <w:pPr>
        <w:spacing w:after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5F8F5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Demonstration guide.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 A real deployment would be confirmed against the firm's information-governance controls. This is a practitioner-level operating guide, not legal or records-management advice.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1. What this system does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It turns a meeting transcript into a reliable, structured record (summary, decisions, risks, and actions with owners and due dates), so the firm has a searchable memory and clear accountability. The assistant drafts; you review and approve. Nothing is published until a human approves it.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2. The one rule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5F8F5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The assistant drafts the record. You review and approve before anything is published. Every action gets a named owner and a due date, or it is flagged, never guessed.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3. If you are a meeting owner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1, Intake.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Have the transcript (from Teams or Otter.ai) ready and decide the meeting type: client delivery/project, leadership/decision, internal team/status, sales/pursuit, or governance/risk/PMO. The type sets the record standard and the confidentiality handling.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2, Draft.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In the Meeting Intelligence Assistant Project (Claude Team), run the record prompt (M1, or M2 for a light meeting). The assistant produces the record to the standard for your meeting type, and ends with a reviewer checklist of anything it flagged (missing owners or dates, ambiguities, confidentiality).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3, Hand to review.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If you are also the reviewer, go to section 4. Otherwise pass the draft and the checklist to the nominated reviewer.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4. If you are a reviewer (the accountable role)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You are the gate. Nothing is published until you approve it. Check: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is accurate and usable;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decisions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are correct and complete;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every action has the right owner and a real due 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(resolve every [OWNER TO CONFIRM] and [DUE DATE TO CONFIRM]; never publish with one left);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risks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are captured with sensible severity and owners;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confidentiality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flags are handled, and the client-facing vs internal split is right for the meeting type.</w:t>
      </w:r>
    </w:p>
    <w:p>
      <w:pPr>
        <w:spacing w:after="60"/>
      </w:pP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Then approve. On publishing, the record's actions, decisions and risks flow to the registers, and the actions appear on the dashboard.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5. The carry-forward habit (recurring meetings)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Before a recurring meeting, run the carry-forward check (prompt A3) against the previous record. It tells you which previous actions were completed, updated, or still open and not mentioned. Carry the still-open ones into this meeting's record so nothing quietly dies. The dashboard counts carry-forwards, so an item carried forward twice or more is flagged as stuck.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6. Confidentiality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Keep transcripts and records in approved tools only (Teams, Otter.ai, SharePoint, Lists, Claude Team). Never copy client-confidential content into a personal or unapproved tool.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For client-delivery meetings, keep the client-facing vs internal split. The assistant flags sensitive content; you decide the handling.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7. What the assistant will not do (by design)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It will not publish anything itself.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It will not invent an owner, a due date, a decision, a risk or an action.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It will not make a management judgement (whether an action matters, whether a risk is acceptable). That is yours.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8. Getting a better result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Set the meeting type correctly; it changes the record standard.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If the transcript is poor, the assistant will say so rather than guess; work from what is reliable and note what is missing.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Tighten a vague action into a specific, assigned one at review; that is what makes the record drive work.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9. Records and version control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48"/>
        <w:gridCol w:w="2107"/>
        <w:gridCol w:w="2107"/>
        <w:gridCol w:w="2107"/>
      </w:tblGrid>
      <w:tr>
        <w:trPr>
          <w:tblHeader/>
        </w:trP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Version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Date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Change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Author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1.0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2026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Initial guide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QuantAI (portfolio)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680" w:footer="62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7EBEF" w:sz="4"/>
      </w:pBdr>
      <w:spacing w:after="100"/>
    </w:pPr>
  </w:p>
  <w:p>
    <w:pPr>
      <w:spacing w:after="0" w:line="300" w:lineRule="atLeast"/>
    </w:pPr>
    <w:r>
      <w:drawing>
        <wp:inline distT="0" distB="0" distL="0" distR="0">
          <wp:extent cx="1238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  QuantAI  ·  Confidential</w:t>
    </w:r>
    <w: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Page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of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/>
        <w:color w:val="7A8899"/>
        <w:spacing w:val="20"/>
        <w:sz w:val="15"/>
        <w:szCs w:val="15"/>
      </w:rPr>
      <w:t xml:space="preserve">QuantAI · Meeting intelligence, user and reviewer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40" w:hanging="220"/>
      </w:pPr>
      <w:rPr>
        <w:rFonts w:ascii="Calibri" w:cs="Calibri" w:eastAsia="Calibri" w:hAnsi="Calibri"/>
        <w:color w:val="1465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Calibri" w:cs="Calibri" w:eastAsia="Calibri" w:hAnsi="Calibri"/>
        <w:b/>
        <w:bCs/>
        <w:color w:val="1465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536B"/>
        <w:sz w:val="21"/>
        <w:szCs w:val="21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F1B2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F1B2A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1B2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063891a95e34455f6c12621055a25d1a4404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55104f0c9ba081919c81f924f81c6f51e29e01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QuantAI · Meeting intelligence, user and reviewer guide</dc:title>
  <dc:creator>QuantAI</dc:creator>
  <dc:description>QuantAI document</dc:description>
  <cp:lastModifiedBy>Un-named</cp:lastModifiedBy>
  <cp:revision>1</cp:revision>
  <dcterms:created xsi:type="dcterms:W3CDTF">2026-08-01T22:30:18.756Z</dcterms:created>
  <dcterms:modified xsi:type="dcterms:W3CDTF">2026-08-01T22:30:18.769Z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