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5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1905"/>
      </w:tblGrid>
      <w:tr>
        <w:trPr>
          <w:trHeight w:val="16611" w:hRule="atLeast"/>
        </w:trPr>
        <w:tc>
          <w:tcPr>
            <w:tcW w:type="dxa" w:w="1190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1B2A" w:color="auto" w:val="clear"/>
            <w:tcMar>
              <w:top w:type="dxa" w:w="2607"/>
              <w:left w:type="dxa" w:w="1417"/>
              <w:bottom w:type="dxa" w:w="1360"/>
              <w:right w:type="dxa" w:w="1417"/>
            </w:tcMar>
            <w:vAlign w:val="top"/>
          </w:tcPr>
          <w:p>
            <w:pPr>
              <w:spacing w:after="900" w:line="620" w:lineRule="atLeast"/>
            </w:pPr>
            <w:r>
              <w:drawing>
                <wp:inline distT="0" distB="0" distL="0" distR="0">
                  <wp:extent cx="1504950" cy="257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8FA6B8"/>
                <w:spacing w:val="32"/>
                <w:sz w:val="16"/>
                <w:szCs w:val="16"/>
              </w:rPr>
              <w:t xml:space="preserve">Onboarding standard</w:t>
            </w:r>
          </w:p>
          <w:p>
            <w:pPr>
              <w:spacing w:after="200" w:before="0" w:line="60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z w:val="54"/>
                <w:szCs w:val="54"/>
              </w:rPr>
              <w:t xml:space="preserve">Document-request matrix and completeness rules</w:t>
            </w:r>
          </w:p>
          <w:p>
            <w:pPr>
              <w:spacing w:after="820" w:before="0" w:line="3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9C4D0"/>
                <w:sz w:val="22"/>
                <w:szCs w:val="22"/>
              </w:rPr>
              <w:t xml:space="preserve">Exactly which documents each service line needs, and when an onboarding has enough to proceed. The single source of truth for what to ask each client.</w:t>
            </w:r>
          </w:p>
          <w:p>
            <w:pPr>
              <w:pBdr>
                <w:bottom w:val="single" w:color="A9803E" w:sz="8"/>
              </w:pBdr>
              <w:spacing w:after="240"/>
            </w:pP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Prepared for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Elevate Accounting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Prepared by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QuantAI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Owner      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Practice Manager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Version    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1.0</w:t>
            </w:r>
          </w:p>
          <w:p>
            <w:pPr>
              <w:spacing w:after="90" w:line="28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/>
                <w:color w:val="8FA6B8"/>
                <w:spacing w:val="20"/>
                <w:sz w:val="15"/>
                <w:szCs w:val="15"/>
              </w:rPr>
              <w:t xml:space="preserve">Status           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Demonstration</w:t>
            </w:r>
          </w:p>
        </w:tc>
      </w:tr>
    </w:tbl>
    <w:p>
      <w:pPr>
        <w:spacing w:after="0" w:line="20" w:lineRule="exact"/>
      </w:pPr>
      <w:r>
        <w:rPr>
          <w:sz w:val="2"/>
          <w:szCs w:val="2"/>
        </w:rPr>
        <w:t xml:space="preserve"/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The document-request matrix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Legend: ● required · ◐ if applicable · ○ not usually needed. "Core" items are requested for every client.</w:t>
      </w: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748"/>
        <w:gridCol w:w="2107"/>
        <w:gridCol w:w="2107"/>
        <w:gridCol w:w="2107"/>
      </w:tblGrid>
      <w:tr>
        <w:trPr>
          <w:tblHeader/>
        </w:trPr>
        <w:tc>
          <w:tcPr>
            <w:tcW w:type="dxa" w:w="2748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Document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Business advisory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Tax compliance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Bookkeeping</w:t>
            </w:r>
          </w:p>
        </w:tc>
      </w:tr>
      <w:tr>
        <w:tc>
          <w:tcPr>
            <w:tcW w:type="dxa" w:w="2748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Core: identity of signatory (per firm AML/KYC control)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2748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Core: entity details (ABN, structure, registrations)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2748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Core: authority to act / prior accountant contact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2748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Core: bank account details (for reporting, not payment)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2748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TFN and ATO agent linking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◐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2748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Prior-year financial statements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◐</w:t>
            </w:r>
          </w:p>
        </w:tc>
      </w:tr>
      <w:tr>
        <w:tc>
          <w:tcPr>
            <w:tcW w:type="dxa" w:w="2748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Prior-year tax returns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◐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2748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Current-year management accounts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◐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◐</w:t>
            </w:r>
          </w:p>
        </w:tc>
      </w:tr>
      <w:tr>
        <w:tc>
          <w:tcPr>
            <w:tcW w:type="dxa" w:w="2748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Accounting software access (Xero and similar)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◐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2748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Bank feed authority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◐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○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2748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Chart-of-accounts preferences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◐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○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2748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Entity structure diagram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◐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2748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Advisory goals / pre-meeting note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●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○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2748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Other advisers (planner, lawyer, banker)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◐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○</w:t>
            </w:r>
          </w:p>
        </w:tc>
        <w:tc>
          <w:tcPr>
            <w:tcW w:type="dxa" w:w="2107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○</w:t>
            </w:r>
          </w:p>
        </w:tc>
      </w:tr>
    </w:tbl>
    <w:p>
      <w:pPr>
        <w:spacing w:after="160"/>
      </w:pP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The matrix is the single source of truth for "what do we ask this client for." When a service line's needs change, the matrix changes once, and every future request follows, because the assistant reads from it rather than from whatever an individual remembers.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Completeness rules (when can we start?)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"Complete enough to proceed" is defined, not guessed. Each service line has a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must-have set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(onboarding cannot proceed to setup without these) and a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nice-to-have set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(chased, but do not block a start).</w:t>
      </w:r>
    </w:p>
    <w:tbl>
      <w:tblPr>
        <w:tblW w:type="dxa" w:w="90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721"/>
        <w:gridCol w:w="3175"/>
        <w:gridCol w:w="3175"/>
      </w:tblGrid>
      <w:tr>
        <w:trPr>
          <w:tblHeader/>
        </w:trPr>
        <w:tc>
          <w:tcPr>
            <w:tcW w:type="dxa" w:w="2721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Service line</w:t>
            </w:r>
          </w:p>
        </w:tc>
        <w:tc>
          <w:tcPr>
            <w:tcW w:type="dxa" w:w="3175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Must-have to proceed (step 6)</w:t>
            </w:r>
          </w:p>
        </w:tc>
        <w:tc>
          <w:tcPr>
            <w:tcW w:type="dxa" w:w="3175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60"/>
              <w:left w:type="dxa" w:w="0"/>
              <w:bottom w:type="dxa" w:w="10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8899"/>
                <w:spacing w:val="20"/>
                <w:sz w:val="15"/>
                <w:szCs w:val="15"/>
              </w:rPr>
              <w:t xml:space="preserve">Chased, but not blocking</w:t>
            </w:r>
          </w:p>
        </w:tc>
      </w:tr>
      <w:tr>
        <w:tc>
          <w:tcPr>
            <w:tcW w:type="dxa" w:w="2721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Business advisory</w:t>
            </w:r>
          </w:p>
        </w:tc>
        <w:tc>
          <w:tcPr>
            <w:tcW w:type="dxa" w:w="3175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All Core items; prior-year financials; software access; advisory goals note</w:t>
            </w:r>
          </w:p>
        </w:tc>
        <w:tc>
          <w:tcPr>
            <w:tcW w:type="dxa" w:w="3175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Management accounts; structure diagram; other advisers</w:t>
            </w:r>
          </w:p>
        </w:tc>
      </w:tr>
      <w:tr>
        <w:tc>
          <w:tcPr>
            <w:tcW w:type="dxa" w:w="2721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Tax compliance</w:t>
            </w:r>
          </w:p>
        </w:tc>
        <w:tc>
          <w:tcPr>
            <w:tcW w:type="dxa" w:w="3175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All Core items; TFN and ATO linking; prior-year returns</w:t>
            </w:r>
          </w:p>
        </w:tc>
        <w:tc>
          <w:tcPr>
            <w:tcW w:type="dxa" w:w="3175"/>
            <w:tcBorders>
              <w:top w:val="none" w:color="auto" w:sz="0"/>
              <w:left w:val="none" w:color="auto" w:sz="0"/>
              <w:bottom w:val="single" w:color="E7EBEF" w:sz="4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Prior-year financials; management accounts</w:t>
            </w:r>
          </w:p>
        </w:tc>
      </w:tr>
      <w:tr>
        <w:tc>
          <w:tcPr>
            <w:tcW w:type="dxa" w:w="2721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B2A"/>
                <w:sz w:val="20"/>
                <w:szCs w:val="20"/>
              </w:rPr>
              <w:t xml:space="preserve">Bookkeeping</w:t>
            </w:r>
          </w:p>
        </w:tc>
        <w:tc>
          <w:tcPr>
            <w:tcW w:type="dxa" w:w="3175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All Core items; software access; bank feed authority</w:t>
            </w:r>
          </w:p>
        </w:tc>
        <w:tc>
          <w:tcPr>
            <w:tcW w:type="dxa" w:w="3175"/>
            <w:tcBorders>
              <w:top w:val="none" w:color="auto" w:sz="0"/>
              <w:left w:val="none" w:color="auto" w:sz="0"/>
              <w:bottom w:val="single" w:color="0F1B2A" w:sz="10"/>
              <w:right w:val="none" w:color="auto" w:sz="0"/>
            </w:tcBorders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40536B"/>
                <w:sz w:val="20"/>
                <w:szCs w:val="20"/>
              </w:rPr>
              <w:t xml:space="preserve">Chart-of-accounts preferences</w:t>
            </w:r>
          </w:p>
        </w:tc>
      </w:tr>
    </w:tbl>
    <w:p>
      <w:pPr>
        <w:spacing w:after="160"/>
      </w:pPr>
    </w:p>
    <w:p>
      <w:pPr>
        <w:spacing w:after="160" w:before="0" w:line="3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The 95% rule (the brief's success target).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The firm's target is that at least 95% of required documents are in before the first advisory meeting. Operationally that means: an onboarding is not booked for its first advisory meeting until its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must-have set is complete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, and the tracker shows the must-have completeness for every onboarding so nobody schedules a meeting that will be spent chasing paperwork.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Reminder cadence (consistent, never duplicated)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Reminders were manual and sometimes doubled up. Now they are a defined, gentle cadence, drafted by the assistant and sent by the owner, and the tracker records the last reminder so two people never chase the same client: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Day 0: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document request sent (warm, clear, with the list and how to upload).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Day 3: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a light "just checking these reached you" nudge, only for outstanding must-have items.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Day 7: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a short "anything we can help with?" that offers to walk the client through it.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Day 10: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the tracker flags a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stall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; the owner makes a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personal call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, not another email.</w:t>
      </w:r>
    </w:p>
    <w:p>
      <w:pPr>
        <w:spacing w:after="60"/>
      </w:pP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The cadence stops as soon as the must-have set is complete. Reminders only ever mention what is actually outstanding, so a client is never asked for something they already sent, which was one of the most damaging small failures in the current process.</w:t>
      </w:r>
    </w:p>
    <w:p>
      <w:pPr>
        <w:pStyle w:val="Heading2"/>
        <w:keepNext/>
        <w:spacing w:after="130" w:before="30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1B2A"/>
          <w:sz w:val="27"/>
          <w:szCs w:val="27"/>
        </w:rPr>
        <w:t xml:space="preserve">How this connects to the rest of the build</w:t>
      </w:r>
    </w:p>
    <w:p>
      <w:pPr>
        <w:spacing w:after="160" w:before="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The assistant's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document-request prompt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0F1B2A"/>
          <w:sz w:val="19"/>
          <w:szCs w:val="19"/>
        </w:rPr>
        <w:t xml:space="preserve">prompts/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) reads this matrix to build a correct, warm request for the client's service line. The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tracker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0F1B2A"/>
          <w:sz w:val="19"/>
          <w:szCs w:val="19"/>
        </w:rPr>
        <w:t xml:space="preserve">tracker/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) shows must-have completeness and the reminder state for every onboarding, and raises the stall flag at day 10. The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B2A"/>
          <w:sz w:val="21"/>
          <w:szCs w:val="21"/>
        </w:rPr>
        <w:t xml:space="preserve">completeness rule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0536B"/>
          <w:sz w:val="21"/>
          <w:szCs w:val="21"/>
        </w:rPr>
        <w:t xml:space="preserve"> is the gate the tracker uses to say an onboarding is ready for its first meeting. One matrix, one set of rules, applied the same way to every client.</w:t>
      </w:r>
    </w:p>
    <w:sectPr>
      <w:headerReference w:type="default" r:id="rId7"/>
      <w:footerReference w:type="default" r:id="rId8"/>
      <w:pgSz w:w="11906" w:h="16838" w:orient="portrait"/>
      <w:pgMar w:top="1247" w:right="1417" w:bottom="1133" w:left="1417" w:header="680" w:footer="623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7EBEF" w:sz="4"/>
      </w:pBdr>
      <w:spacing w:after="100"/>
    </w:pPr>
  </w:p>
  <w:p>
    <w:pPr>
      <w:spacing w:after="0" w:line="300" w:lineRule="atLeast"/>
    </w:pPr>
    <w:r>
      <w:drawing>
        <wp:inline distT="0" distB="0" distL="0" distR="0">
          <wp:extent cx="123825" cy="123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" cy="123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7A8899"/>
        <w:sz w:val="15"/>
        <w:szCs w:val="15"/>
      </w:rPr>
      <w:t xml:space="preserve">   QuantAI  ·  Confidential</w:t>
    </w:r>
    <w:r>
      <w:ptab w:alignment="right" w:relativeTo="margin" w:leader="none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7A8899"/>
        <w:sz w:val="15"/>
        <w:szCs w:val="15"/>
      </w:rPr>
      <w:t xml:space="preserve">Page </w:t>
    </w:r>
    <w:r>
      <w:rPr>
        <w:rFonts w:ascii="Calibri" w:cs="Calibri" w:eastAsia="Calibri" w:hAnsi="Calibri"/>
        <w:color w:val="7A88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7A8899"/>
        <w:sz w:val="15"/>
        <w:szCs w:val="15"/>
      </w:rPr>
      <w:t xml:space="preserve"> of </w:t>
    </w:r>
    <w:r>
      <w:rPr>
        <w:rFonts w:ascii="Calibri" w:cs="Calibri" w:eastAsia="Calibri" w:hAnsi="Calibri"/>
        <w:color w:val="7A88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/>
        <w:color w:val="7A8899"/>
        <w:spacing w:val="20"/>
        <w:sz w:val="15"/>
        <w:szCs w:val="15"/>
      </w:rPr>
      <w:t xml:space="preserve">QuantAI · Elevate document-request matrix and completeness rules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40" w:hanging="220"/>
      </w:pPr>
      <w:rPr>
        <w:rFonts w:ascii="Calibri" w:cs="Calibri" w:eastAsia="Calibri" w:hAnsi="Calibri"/>
        <w:color w:val="14655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  <w:rPr>
        <w:rFonts w:ascii="Calibri" w:cs="Calibri" w:eastAsia="Calibri" w:hAnsi="Calibri"/>
        <w:b/>
        <w:bCs/>
        <w:color w:val="14655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536B"/>
        <w:sz w:val="21"/>
        <w:szCs w:val="21"/>
      </w:rPr>
    </w:rPrDefault>
    <w:pPrDefault>
      <w:pPr>
        <w:spacing w:after="16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0F1B2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0F1B2A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F1B2A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9063891a95e34455f6c12621055a25d1a4404e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55104f0c9ba081919c81f924f81c6f51e29e013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QuantAI · Elevate document-request matrix and completeness rules</dc:title>
  <dc:creator>QuantAI</dc:creator>
  <dc:description>QuantAI document</dc:description>
  <cp:lastModifiedBy>Un-named</cp:lastModifiedBy>
  <cp:revision>1</cp:revision>
  <dcterms:created xsi:type="dcterms:W3CDTF">2026-08-01T08:01:31.281Z</dcterms:created>
  <dcterms:modified xsi:type="dcterms:W3CDTF">2026-08-01T08:01:31.281Z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