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5"/>
        <w:tblBorders>
          <w:top w:val="none" w:color="auto" w:sz="0"/>
          <w:left w:val="none" w:color="auto" w:sz="0"/>
          <w:bottom w:val="none" w:color="auto" w:sz="0"/>
          <w:right w:val="none" w:color="auto" w:sz="0"/>
          <w:insideH w:val="single" w:color="auto" w:sz="4"/>
          <w:insideV w:val="single" w:color="auto" w:sz="4"/>
        </w:tblBorders>
      </w:tblPr>
      <w:tblGrid>
        <w:gridCol w:w="11905"/>
      </w:tblGrid>
      <w:tr>
        <w:trPr>
          <w:trHeight w:val="16611" w:hRule="atLeast"/>
        </w:trPr>
        <w:tc>
          <w:tcPr>
            <w:tcW w:type="dxa" w:w="11905"/>
            <w:tcBorders>
              <w:top w:val="none" w:color="auto" w:sz="0"/>
              <w:left w:val="none" w:color="auto" w:sz="0"/>
              <w:bottom w:val="none" w:color="auto" w:sz="0"/>
              <w:right w:val="none" w:color="auto" w:sz="0"/>
            </w:tcBorders>
            <w:shd w:fill="0F1B2A" w:color="auto" w:val="clear"/>
            <w:tcMar>
              <w:top w:type="dxa" w:w="2607"/>
              <w:left w:type="dxa" w:w="1417"/>
              <w:bottom w:type="dxa" w:w="1360"/>
              <w:right w:type="dxa" w:w="1417"/>
            </w:tcMar>
            <w:vAlign w:val="top"/>
          </w:tcPr>
          <w:p>
            <w:pPr>
              <w:spacing w:after="900" w:line="620" w:lineRule="atLeast"/>
            </w:pPr>
            <w:r>
              <w:drawing>
                <wp:inline distT="0" distB="0" distL="0" distR="0">
                  <wp:extent cx="15049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04950" cy="257175"/>
                          </a:xfrm>
                          <a:prstGeom prst="rect">
                            <a:avLst/>
                          </a:prstGeom>
                        </pic:spPr>
                      </pic:pic>
                    </a:graphicData>
                  </a:graphic>
                </wp:inline>
              </w:drawing>
            </w:r>
          </w:p>
          <w:p>
            <w:pPr>
              <w:spacing w:after="180" w:before="0" w:line="300"/>
            </w:pPr>
            <w:r>
              <w:rPr>
                <w:rFonts w:ascii="Calibri" w:cs="Calibri" w:eastAsia="Calibri" w:hAnsi="Calibri"/>
                <w:b/>
                <w:bCs/>
                <w:i w:val="false"/>
                <w:iCs w:val="false"/>
                <w:caps/>
                <w:color w:val="8FA6B8"/>
                <w:spacing w:val="32"/>
                <w:sz w:val="16"/>
                <w:szCs w:val="16"/>
              </w:rPr>
              <w:t xml:space="preserve">Standard operating procedure</w:t>
            </w:r>
          </w:p>
          <w:p>
            <w:pPr>
              <w:spacing w:after="200" w:before="0" w:line="600"/>
            </w:pPr>
            <w:r>
              <w:rPr>
                <w:rFonts w:ascii="Cambria" w:cs="Cambria" w:eastAsia="Cambria" w:hAnsi="Cambria"/>
                <w:b/>
                <w:bCs/>
                <w:i w:val="false"/>
                <w:iCs w:val="false"/>
                <w:caps w:val="false"/>
                <w:color w:val="FFFFFF"/>
                <w:sz w:val="54"/>
                <w:szCs w:val="54"/>
              </w:rPr>
              <w:t xml:space="preserve">Managing the onboarding tracker and stalls</w:t>
            </w:r>
          </w:p>
          <w:p>
            <w:pPr>
              <w:spacing w:after="820" w:before="0" w:line="340"/>
            </w:pPr>
            <w:r>
              <w:rPr>
                <w:rFonts w:ascii="Calibri" w:cs="Calibri" w:eastAsia="Calibri" w:hAnsi="Calibri"/>
                <w:b w:val="false"/>
                <w:bCs w:val="false"/>
                <w:i w:val="false"/>
                <w:iCs w:val="false"/>
                <w:caps w:val="false"/>
                <w:color w:val="B9C4D0"/>
                <w:sz w:val="22"/>
                <w:szCs w:val="22"/>
              </w:rPr>
              <w:t xml:space="preserve">One shared, trustworthy view of every onboarding, so nothing quietly stalls and the pipeline is always visible.</w:t>
            </w:r>
          </w:p>
          <w:p>
            <w:pPr>
              <w:pBdr>
                <w:bottom w:val="single" w:color="A9803E" w:sz="8"/>
              </w:pBdr>
              <w:spacing w:after="240"/>
            </w:pPr>
          </w:p>
          <w:p>
            <w:pPr>
              <w:spacing w:after="90" w:line="280"/>
            </w:pPr>
            <w:r>
              <w:rPr>
                <w:rFonts w:ascii="Consolas" w:cs="Consolas" w:eastAsia="Consolas" w:hAnsi="Consolas"/>
                <w:b w:val="false"/>
                <w:bCs w:val="false"/>
                <w:i w:val="false"/>
                <w:iCs w:val="false"/>
                <w:caps/>
                <w:color w:val="8FA6B8"/>
                <w:spacing w:val="20"/>
                <w:sz w:val="15"/>
                <w:szCs w:val="15"/>
              </w:rPr>
              <w:t xml:space="preserve">Prepared for        </w:t>
            </w:r>
            <w:r>
              <w:rPr>
                <w:rFonts w:ascii="Calibri" w:cs="Calibri" w:eastAsia="Calibri" w:hAnsi="Calibri"/>
                <w:b w:val="false"/>
                <w:bCs w:val="false"/>
                <w:i w:val="false"/>
                <w:iCs w:val="false"/>
                <w:caps w:val="false"/>
                <w:color w:val="FFFFFF"/>
                <w:sz w:val="19"/>
                <w:szCs w:val="19"/>
              </w:rPr>
              <w:t xml:space="preserve">Elevate Accounting</w:t>
            </w:r>
          </w:p>
          <w:p>
            <w:pPr>
              <w:spacing w:after="90" w:line="280"/>
            </w:pPr>
            <w:r>
              <w:rPr>
                <w:rFonts w:ascii="Consolas" w:cs="Consolas" w:eastAsia="Consolas" w:hAnsi="Consolas"/>
                <w:b w:val="false"/>
                <w:bCs w:val="false"/>
                <w:i w:val="false"/>
                <w:iCs w:val="false"/>
                <w:caps/>
                <w:color w:val="8FA6B8"/>
                <w:spacing w:val="20"/>
                <w:sz w:val="15"/>
                <w:szCs w:val="15"/>
              </w:rPr>
              <w:t xml:space="preserve">Prepared by         </w:t>
            </w:r>
            <w:r>
              <w:rPr>
                <w:rFonts w:ascii="Calibri" w:cs="Calibri" w:eastAsia="Calibri" w:hAnsi="Calibri"/>
                <w:b w:val="false"/>
                <w:bCs w:val="false"/>
                <w:i w:val="false"/>
                <w:iCs w:val="false"/>
                <w:caps w:val="false"/>
                <w:color w:val="FFFFFF"/>
                <w:sz w:val="19"/>
                <w:szCs w:val="19"/>
              </w:rPr>
              <w:t xml:space="preserve">QuantAI</w:t>
            </w:r>
          </w:p>
          <w:p>
            <w:pPr>
              <w:spacing w:after="90" w:line="280"/>
            </w:pPr>
            <w:r>
              <w:rPr>
                <w:rFonts w:ascii="Consolas" w:cs="Consolas" w:eastAsia="Consolas" w:hAnsi="Consolas"/>
                <w:b w:val="false"/>
                <w:bCs w:val="false"/>
                <w:i w:val="false"/>
                <w:iCs w:val="false"/>
                <w:caps/>
                <w:color w:val="8FA6B8"/>
                <w:spacing w:val="20"/>
                <w:sz w:val="15"/>
                <w:szCs w:val="15"/>
              </w:rPr>
              <w:t xml:space="preserve">Owner               </w:t>
            </w:r>
            <w:r>
              <w:rPr>
                <w:rFonts w:ascii="Calibri" w:cs="Calibri" w:eastAsia="Calibri" w:hAnsi="Calibri"/>
                <w:b w:val="false"/>
                <w:bCs w:val="false"/>
                <w:i w:val="false"/>
                <w:iCs w:val="false"/>
                <w:caps w:val="false"/>
                <w:color w:val="FFFFFF"/>
                <w:sz w:val="19"/>
                <w:szCs w:val="19"/>
              </w:rPr>
              <w:t xml:space="preserve">Practice Manager</w:t>
            </w:r>
          </w:p>
          <w:p>
            <w:pPr>
              <w:spacing w:after="90" w:line="280"/>
            </w:pPr>
            <w:r>
              <w:rPr>
                <w:rFonts w:ascii="Consolas" w:cs="Consolas" w:eastAsia="Consolas" w:hAnsi="Consolas"/>
                <w:b w:val="false"/>
                <w:bCs w:val="false"/>
                <w:i w:val="false"/>
                <w:iCs w:val="false"/>
                <w:caps/>
                <w:color w:val="8FA6B8"/>
                <w:spacing w:val="20"/>
                <w:sz w:val="15"/>
                <w:szCs w:val="15"/>
              </w:rPr>
              <w:t xml:space="preserve">Version             </w:t>
            </w:r>
            <w:r>
              <w:rPr>
                <w:rFonts w:ascii="Calibri" w:cs="Calibri" w:eastAsia="Calibri" w:hAnsi="Calibri"/>
                <w:b w:val="false"/>
                <w:bCs w:val="false"/>
                <w:i w:val="false"/>
                <w:iCs w:val="false"/>
                <w:caps w:val="false"/>
                <w:color w:val="FFFFFF"/>
                <w:sz w:val="19"/>
                <w:szCs w:val="19"/>
              </w:rPr>
              <w:t xml:space="preserve">1.0</w:t>
            </w:r>
          </w:p>
          <w:p>
            <w:pPr>
              <w:spacing w:after="90" w:line="280"/>
            </w:pPr>
            <w:r>
              <w:rPr>
                <w:rFonts w:ascii="Consolas" w:cs="Consolas" w:eastAsia="Consolas" w:hAnsi="Consolas"/>
                <w:b w:val="false"/>
                <w:bCs w:val="false"/>
                <w:i w:val="false"/>
                <w:iCs w:val="false"/>
                <w:caps/>
                <w:color w:val="8FA6B8"/>
                <w:spacing w:val="20"/>
                <w:sz w:val="15"/>
                <w:szCs w:val="15"/>
              </w:rPr>
              <w:t xml:space="preserve">Status              </w:t>
            </w:r>
            <w:r>
              <w:rPr>
                <w:rFonts w:ascii="Calibri" w:cs="Calibri" w:eastAsia="Calibri" w:hAnsi="Calibri"/>
                <w:b w:val="false"/>
                <w:bCs w:val="false"/>
                <w:i w:val="false"/>
                <w:iCs w:val="false"/>
                <w:caps w:val="false"/>
                <w:color w:val="FFFFFF"/>
                <w:sz w:val="19"/>
                <w:szCs w:val="19"/>
              </w:rPr>
              <w:t xml:space="preserve">Demonstration</w:t>
            </w:r>
          </w:p>
        </w:tc>
      </w:tr>
    </w:tbl>
    <w:p>
      <w:pPr>
        <w:spacing w:after="0" w:line="20" w:lineRule="exact"/>
      </w:pPr>
      <w:r>
        <w:rPr>
          <w:sz w:val="2"/>
          <w:szCs w:val="2"/>
        </w:rPr>
        <w:t xml:space="preserve"/>
      </w:r>
    </w:p>
    <w:p>
      <w:pPr>
        <w:sectPr>
          <w:pgSz w:w="11906" w:h="16838" w:orient="portrait"/>
          <w:pgMar w:top="0" w:right="0" w:bottom="0" w:left="0" w:header="0" w:footer="0" w:gutter="0"/>
          <w:pgNumType/>
          <w:docGrid w:linePitch="360"/>
        </w:sectPr>
      </w:pP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9070"/>
      </w:tblGrid>
      <w:tr>
        <w:tc>
          <w:tcPr>
            <w:tcW w:type="dxa" w:w="9070"/>
            <w:tcBorders>
              <w:top w:val="none" w:color="auto" w:sz="0"/>
              <w:left w:val="none" w:color="auto" w:sz="0"/>
              <w:bottom w:val="none" w:color="auto" w:sz="0"/>
              <w:right w:val="none" w:color="auto" w:sz="0"/>
            </w:tcBorders>
            <w:shd w:fill="E5F8F5" w:color="auto" w:val="clear"/>
            <w:tcMar>
              <w:top w:type="dxa" w:w="300"/>
              <w:left w:type="dxa" w:w="400"/>
              <w:bottom w:type="dxa" w:w="300"/>
              <w:right w:type="dxa" w:w="400"/>
            </w:tcMar>
          </w:tcPr>
          <w:p>
            <w:pPr>
              <w:spacing w:after="0" w:before="0" w:line="320"/>
            </w:pPr>
            <w:r>
              <w:rPr>
                <w:rFonts w:ascii="Calibri" w:cs="Calibri" w:eastAsia="Calibri" w:hAnsi="Calibri"/>
                <w:b/>
                <w:bCs/>
                <w:i w:val="false"/>
                <w:iCs w:val="false"/>
                <w:caps w:val="false"/>
                <w:color w:val="0F1B2A"/>
                <w:sz w:val="20"/>
                <w:szCs w:val="20"/>
              </w:rPr>
              <w:t xml:space="preserve">Demonstration SOP.</w:t>
            </w:r>
            <w:r>
              <w:rPr>
                <w:rFonts w:ascii="Calibri" w:cs="Calibri" w:eastAsia="Calibri" w:hAnsi="Calibri"/>
                <w:b w:val="false"/>
                <w:bCs w:val="false"/>
                <w:i w:val="false"/>
                <w:iCs w:val="false"/>
                <w:caps w:val="false"/>
                <w:color w:val="0F1B2A"/>
                <w:sz w:val="20"/>
                <w:szCs w:val="20"/>
              </w:rPr>
              <w:t xml:space="preserve"> A real deployment would be confirmed against the firm's processes. This is a practitioner-level operating control, not legal, tax or compliance advice.</w:t>
            </w:r>
          </w:p>
        </w:tc>
      </w:tr>
    </w:tbl>
    <w:p>
      <w:pPr>
        <w:spacing w:after="160"/>
      </w:pPr>
    </w:p>
    <w:p>
      <w:pPr>
        <w:pStyle w:val="Heading2"/>
        <w:keepNext/>
        <w:spacing w:after="130" w:before="300"/>
      </w:pPr>
      <w:r>
        <w:rPr>
          <w:rFonts w:ascii="Cambria" w:cs="Cambria" w:eastAsia="Cambria" w:hAnsi="Cambria"/>
          <w:b/>
          <w:bCs/>
          <w:i w:val="false"/>
          <w:iCs w:val="false"/>
          <w:caps w:val="false"/>
          <w:color w:val="0F1B2A"/>
          <w:sz w:val="27"/>
          <w:szCs w:val="27"/>
        </w:rPr>
        <w:t xml:space="preserve">1. Purpose</w:t>
      </w:r>
    </w:p>
    <w:p>
      <w:pPr>
        <w:spacing w:after="160" w:before="0" w:line="320"/>
      </w:pPr>
      <w:r>
        <w:rPr>
          <w:rFonts w:ascii="Calibri" w:cs="Calibri" w:eastAsia="Calibri" w:hAnsi="Calibri"/>
          <w:b w:val="false"/>
          <w:bCs w:val="false"/>
          <w:i w:val="false"/>
          <w:iCs w:val="false"/>
          <w:caps w:val="false"/>
          <w:color w:val="40536B"/>
          <w:sz w:val="21"/>
          <w:szCs w:val="21"/>
        </w:rPr>
        <w:t xml:space="preserve">To keep one shared, trustworthy view of every onboarding, so staff and partners always know where each client is, what is outstanding, and what needs attention, and so no onboarding quietly stalls unnoticed. The tracker replaces the separate spreadsheets and inboxes.</w:t>
      </w:r>
    </w:p>
    <w:p>
      <w:pPr>
        <w:pStyle w:val="Heading2"/>
        <w:keepNext/>
        <w:spacing w:after="130" w:before="300"/>
      </w:pPr>
      <w:r>
        <w:rPr>
          <w:rFonts w:ascii="Cambria" w:cs="Cambria" w:eastAsia="Cambria" w:hAnsi="Cambria"/>
          <w:b/>
          <w:bCs/>
          <w:i w:val="false"/>
          <w:iCs w:val="false"/>
          <w:caps w:val="false"/>
          <w:color w:val="0F1B2A"/>
          <w:sz w:val="27"/>
          <w:szCs w:val="27"/>
        </w:rPr>
        <w:t xml:space="preserve">2. Scope</w:t>
      </w:r>
    </w:p>
    <w:p>
      <w:pPr>
        <w:spacing w:after="160" w:before="0" w:line="320"/>
      </w:pPr>
      <w:r>
        <w:rPr>
          <w:rFonts w:ascii="Calibri" w:cs="Calibri" w:eastAsia="Calibri" w:hAnsi="Calibri"/>
          <w:b w:val="false"/>
          <w:bCs w:val="false"/>
          <w:i w:val="false"/>
          <w:iCs w:val="false"/>
          <w:caps w:val="false"/>
          <w:color w:val="40536B"/>
          <w:sz w:val="21"/>
          <w:szCs w:val="21"/>
        </w:rPr>
        <w:t xml:space="preserve">Applies to everyone running or overseeing onboardings. It covers keeping the tracker current and handling stalls. It does not change who owns a client or who makes professional judgements.</w:t>
      </w:r>
    </w:p>
    <w:p>
      <w:pPr>
        <w:pStyle w:val="Heading2"/>
        <w:keepNext/>
        <w:spacing w:after="130" w:before="300"/>
      </w:pPr>
      <w:r>
        <w:rPr>
          <w:rFonts w:ascii="Cambria" w:cs="Cambria" w:eastAsia="Cambria" w:hAnsi="Cambria"/>
          <w:b/>
          <w:bCs/>
          <w:i w:val="false"/>
          <w:iCs w:val="false"/>
          <w:caps w:val="false"/>
          <w:color w:val="0F1B2A"/>
          <w:sz w:val="27"/>
          <w:szCs w:val="27"/>
        </w:rPr>
        <w:t xml:space="preserve">3. Roles</w:t>
      </w: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2721"/>
        <w:gridCol w:w="6349"/>
      </w:tblGrid>
      <w:tr>
        <w:trPr>
          <w:tblHeader/>
        </w:trPr>
        <w:tc>
          <w:tcPr>
            <w:tcW w:type="dxa" w:w="2721"/>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Role</w:t>
            </w:r>
          </w:p>
        </w:tc>
        <w:tc>
          <w:tcPr>
            <w:tcW w:type="dxa" w:w="6349"/>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Responsibility</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Client owner</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Keeps their onboardings current in the tracker; acts on their next actions</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Practice Manager</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Owns the tracker; reviews the pipeline; keeps the standard current</w:t>
            </w:r>
          </w:p>
        </w:tc>
      </w:tr>
      <w:tr>
        <w:tc>
          <w:tcPr>
            <w:tcW w:type="dxa" w:w="2721"/>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Partner</w:t>
            </w:r>
          </w:p>
        </w:tc>
        <w:tc>
          <w:tcPr>
            <w:tcW w:type="dxa" w:w="6349"/>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Acts on exceptions and stalls escalated to them</w:t>
            </w:r>
          </w:p>
        </w:tc>
      </w:tr>
    </w:tbl>
    <w:p>
      <w:pPr>
        <w:spacing w:after="160"/>
      </w:pPr>
    </w:p>
    <w:p>
      <w:pPr>
        <w:pStyle w:val="Heading2"/>
        <w:keepNext/>
        <w:spacing w:after="130" w:before="300"/>
      </w:pPr>
      <w:r>
        <w:rPr>
          <w:rFonts w:ascii="Cambria" w:cs="Cambria" w:eastAsia="Cambria" w:hAnsi="Cambria"/>
          <w:b/>
          <w:bCs/>
          <w:i w:val="false"/>
          <w:iCs w:val="false"/>
          <w:caps w:val="false"/>
          <w:color w:val="0F1B2A"/>
          <w:sz w:val="27"/>
          <w:szCs w:val="27"/>
        </w:rPr>
        <w:t xml:space="preserve">4. Keeping the tracker current</w:t>
      </w:r>
    </w:p>
    <w:p>
      <w:pPr>
        <w:spacing w:after="160" w:before="0" w:line="320"/>
      </w:pPr>
      <w:r>
        <w:rPr>
          <w:rFonts w:ascii="Calibri" w:cs="Calibri" w:eastAsia="Calibri" w:hAnsi="Calibri"/>
          <w:b/>
          <w:bCs/>
          <w:i w:val="false"/>
          <w:iCs w:val="false"/>
          <w:caps w:val="false"/>
          <w:color w:val="0F1B2A"/>
          <w:sz w:val="21"/>
          <w:szCs w:val="21"/>
        </w:rPr>
        <w:t xml:space="preserve">One shared view, not personal spreadsheets.</w:t>
      </w:r>
      <w:r>
        <w:rPr>
          <w:rFonts w:ascii="Calibri" w:cs="Calibri" w:eastAsia="Calibri" w:hAnsi="Calibri"/>
          <w:b w:val="false"/>
          <w:bCs w:val="false"/>
          <w:i w:val="false"/>
          <w:iCs w:val="false"/>
          <w:caps w:val="false"/>
          <w:color w:val="40536B"/>
          <w:sz w:val="21"/>
          <w:szCs w:val="21"/>
        </w:rPr>
        <w:t xml:space="preserve"> All onboardings live in the tracker. Do not keep a private copy; if it is not in the tracker, the firm cannot see it.</w:t>
      </w:r>
    </w:p>
    <w:p>
      <w:pPr>
        <w:spacing w:after="160" w:before="0" w:line="320"/>
      </w:pPr>
      <w:r>
        <w:rPr>
          <w:rFonts w:ascii="Calibri" w:cs="Calibri" w:eastAsia="Calibri" w:hAnsi="Calibri"/>
          <w:b/>
          <w:bCs/>
          <w:i w:val="false"/>
          <w:iCs w:val="false"/>
          <w:caps w:val="false"/>
          <w:color w:val="0F1B2A"/>
          <w:sz w:val="21"/>
          <w:szCs w:val="21"/>
        </w:rPr>
        <w:t xml:space="preserve">Update as you go.</w:t>
      </w:r>
      <w:r>
        <w:rPr>
          <w:rFonts w:ascii="Calibri" w:cs="Calibri" w:eastAsia="Calibri" w:hAnsi="Calibri"/>
          <w:b w:val="false"/>
          <w:bCs w:val="false"/>
          <w:i w:val="false"/>
          <w:iCs w:val="false"/>
          <w:caps w:val="false"/>
          <w:color w:val="40536B"/>
          <w:sz w:val="21"/>
          <w:szCs w:val="21"/>
        </w:rPr>
        <w:t xml:space="preserve"> When something changes (a document arrives, a stage completes, a reminder is sent), update the row. Prompt B3 turns a quick note into a clean status line; you decide the status, the assistant just tidies it.</w:t>
      </w:r>
    </w:p>
    <w:p>
      <w:pPr>
        <w:spacing w:after="160" w:before="0" w:line="320"/>
      </w:pPr>
      <w:r>
        <w:rPr>
          <w:rFonts w:ascii="Calibri" w:cs="Calibri" w:eastAsia="Calibri" w:hAnsi="Calibri"/>
          <w:b/>
          <w:bCs/>
          <w:i w:val="false"/>
          <w:iCs w:val="false"/>
          <w:caps w:val="false"/>
          <w:color w:val="0F1B2A"/>
          <w:sz w:val="21"/>
          <w:szCs w:val="21"/>
        </w:rPr>
        <w:t xml:space="preserve">Trust the colour.</w:t>
      </w:r>
      <w:r>
        <w:rPr>
          <w:rFonts w:ascii="Calibri" w:cs="Calibri" w:eastAsia="Calibri" w:hAnsi="Calibri"/>
          <w:b w:val="false"/>
          <w:bCs w:val="false"/>
          <w:i w:val="false"/>
          <w:iCs w:val="false"/>
          <w:caps w:val="false"/>
          <w:color w:val="40536B"/>
          <w:sz w:val="21"/>
          <w:szCs w:val="21"/>
        </w:rPr>
        <w:t xml:space="preserve"> Status is computed from the data, not set by hand: green on track, amber needs attention, red stalled. Because it is computed, the colour is reliable, so act on it.</w:t>
      </w:r>
    </w:p>
    <w:p>
      <w:pPr>
        <w:pStyle w:val="Heading2"/>
        <w:keepNext/>
        <w:spacing w:after="130" w:before="300"/>
      </w:pPr>
      <w:r>
        <w:rPr>
          <w:rFonts w:ascii="Cambria" w:cs="Cambria" w:eastAsia="Cambria" w:hAnsi="Cambria"/>
          <w:b/>
          <w:bCs/>
          <w:i w:val="false"/>
          <w:iCs w:val="false"/>
          <w:caps w:val="false"/>
          <w:color w:val="0F1B2A"/>
          <w:sz w:val="27"/>
          <w:szCs w:val="27"/>
        </w:rPr>
        <w:t xml:space="preserve">5. The daily and weekly rhythm</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Daily (client owners):</w:t>
      </w:r>
      <w:r>
        <w:rPr>
          <w:rFonts w:ascii="Calibri" w:cs="Calibri" w:eastAsia="Calibri" w:hAnsi="Calibri"/>
          <w:b w:val="false"/>
          <w:bCs w:val="false"/>
          <w:i w:val="false"/>
          <w:iCs w:val="false"/>
          <w:caps w:val="false"/>
          <w:color w:val="40536B"/>
          <w:sz w:val="21"/>
          <w:szCs w:val="21"/>
        </w:rPr>
        <w:t xml:space="preserve"> check your rows. Do the next action on anything amber. Clear anything that has become ready.</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Daily (Practice Manager):</w:t>
      </w:r>
      <w:r>
        <w:rPr>
          <w:rFonts w:ascii="Calibri" w:cs="Calibri" w:eastAsia="Calibri" w:hAnsi="Calibri"/>
          <w:b w:val="false"/>
          <w:bCs w:val="false"/>
          <w:i w:val="false"/>
          <w:iCs w:val="false"/>
          <w:caps w:val="false"/>
          <w:color w:val="40536B"/>
          <w:sz w:val="21"/>
          <w:szCs w:val="21"/>
        </w:rPr>
        <w:t xml:space="preserve"> check the "stalled" and "need attention" tiles. Make sure every red has an owner acting on it.</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Weekly (Practice Manager + partners):</w:t>
      </w:r>
      <w:r>
        <w:rPr>
          <w:rFonts w:ascii="Calibri" w:cs="Calibri" w:eastAsia="Calibri" w:hAnsi="Calibri"/>
          <w:b w:val="false"/>
          <w:bCs w:val="false"/>
          <w:i w:val="false"/>
          <w:iCs w:val="false"/>
          <w:caps w:val="false"/>
          <w:color w:val="40536B"/>
          <w:sz w:val="21"/>
          <w:szCs w:val="21"/>
        </w:rPr>
        <w:t xml:space="preserve"> a five-minute pipeline glance: how many active, how many ready for a meeting, anything stuck, average completeness. Filter by owner if a person is overloaded.</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6. Handling a stall (the red flag)</w:t>
      </w:r>
    </w:p>
    <w:p>
      <w:pPr>
        <w:spacing w:after="160" w:before="0" w:line="320"/>
      </w:pPr>
      <w:r>
        <w:rPr>
          <w:rFonts w:ascii="Calibri" w:cs="Calibri" w:eastAsia="Calibri" w:hAnsi="Calibri"/>
          <w:b w:val="false"/>
          <w:bCs w:val="false"/>
          <w:i w:val="false"/>
          <w:iCs w:val="false"/>
          <w:caps w:val="false"/>
          <w:color w:val="40536B"/>
          <w:sz w:val="21"/>
          <w:szCs w:val="21"/>
        </w:rPr>
        <w:t xml:space="preserve">A row goes red when it is in the Collect stage at day 10 or more with must-have items still outstanding, after the full reminder cadence. When that happens:</w:t>
      </w:r>
    </w:p>
    <w:p>
      <w:pPr>
        <w:pStyle w:val="ListParagraph"/>
        <w:numPr>
          <w:ilvl w:val="0"/>
          <w:numId w:val="3"/>
        </w:numPr>
        <w:spacing w:after="90" w:line="290"/>
      </w:pPr>
      <w:r>
        <w:rPr>
          <w:rFonts w:ascii="Calibri" w:cs="Calibri" w:eastAsia="Calibri" w:hAnsi="Calibri"/>
          <w:b/>
          <w:bCs/>
          <w:i w:val="false"/>
          <w:iCs w:val="false"/>
          <w:caps w:val="false"/>
          <w:color w:val="0F1B2A"/>
          <w:sz w:val="21"/>
          <w:szCs w:val="21"/>
        </w:rPr>
        <w:t xml:space="preserve">Stop the emails.</w:t>
      </w:r>
      <w:r>
        <w:rPr>
          <w:rFonts w:ascii="Calibri" w:cs="Calibri" w:eastAsia="Calibri" w:hAnsi="Calibri"/>
          <w:b w:val="false"/>
          <w:bCs w:val="false"/>
          <w:i w:val="false"/>
          <w:iCs w:val="false"/>
          <w:caps w:val="false"/>
          <w:color w:val="40536B"/>
          <w:sz w:val="21"/>
          <w:szCs w:val="21"/>
        </w:rPr>
        <w:t xml:space="preserve"> The cadence is exhausted; another email will not help.</w:t>
      </w:r>
    </w:p>
    <w:p>
      <w:pPr>
        <w:pStyle w:val="ListParagraph"/>
        <w:numPr>
          <w:ilvl w:val="0"/>
          <w:numId w:val="3"/>
        </w:numPr>
        <w:spacing w:after="90" w:line="290"/>
      </w:pPr>
      <w:r>
        <w:rPr>
          <w:rFonts w:ascii="Calibri" w:cs="Calibri" w:eastAsia="Calibri" w:hAnsi="Calibri"/>
          <w:b/>
          <w:bCs/>
          <w:i w:val="false"/>
          <w:iCs w:val="false"/>
          <w:caps w:val="false"/>
          <w:color w:val="0F1B2A"/>
          <w:sz w:val="21"/>
          <w:szCs w:val="21"/>
        </w:rPr>
        <w:t xml:space="preserve">Make a personal call.</w:t>
      </w:r>
      <w:r>
        <w:rPr>
          <w:rFonts w:ascii="Calibri" w:cs="Calibri" w:eastAsia="Calibri" w:hAnsi="Calibri"/>
          <w:b w:val="false"/>
          <w:bCs w:val="false"/>
          <w:i w:val="false"/>
          <w:iCs w:val="false"/>
          <w:caps w:val="false"/>
          <w:color w:val="40536B"/>
          <w:sz w:val="21"/>
          <w:szCs w:val="21"/>
        </w:rPr>
        <w:t xml:space="preserve"> Prompt R2 prepares a short call-prep note (what is outstanding, what has already been sent so you do not repeat it, a warm way to open). A human call is the firm's response to a stall.</w:t>
      </w:r>
    </w:p>
    <w:p>
      <w:pPr>
        <w:pStyle w:val="ListParagraph"/>
        <w:numPr>
          <w:ilvl w:val="0"/>
          <w:numId w:val="3"/>
        </w:numPr>
        <w:spacing w:after="90" w:line="290"/>
      </w:pPr>
      <w:r>
        <w:rPr>
          <w:rFonts w:ascii="Calibri" w:cs="Calibri" w:eastAsia="Calibri" w:hAnsi="Calibri"/>
          <w:b/>
          <w:bCs/>
          <w:i w:val="false"/>
          <w:iCs w:val="false"/>
          <w:caps w:val="false"/>
          <w:color w:val="0F1B2A"/>
          <w:sz w:val="21"/>
          <w:szCs w:val="21"/>
        </w:rPr>
        <w:t xml:space="preserve">Log the outcome</w:t>
      </w:r>
      <w:r>
        <w:rPr>
          <w:rFonts w:ascii="Calibri" w:cs="Calibri" w:eastAsia="Calibri" w:hAnsi="Calibri"/>
          <w:b w:val="false"/>
          <w:bCs w:val="false"/>
          <w:i w:val="false"/>
          <w:iCs w:val="false"/>
          <w:caps w:val="false"/>
          <w:color w:val="40536B"/>
          <w:sz w:val="21"/>
          <w:szCs w:val="21"/>
        </w:rPr>
        <w:t xml:space="preserve"> in the tracker: a new date agreed, help offered, or an escalation to the partner if the onboarding cannot progress.</w:t>
      </w:r>
    </w:p>
    <w:p>
      <w:pPr>
        <w:pStyle w:val="ListParagraph"/>
        <w:numPr>
          <w:ilvl w:val="0"/>
          <w:numId w:val="3"/>
        </w:numPr>
        <w:spacing w:after="90" w:line="290"/>
      </w:pPr>
      <w:r>
        <w:rPr>
          <w:rFonts w:ascii="Calibri" w:cs="Calibri" w:eastAsia="Calibri" w:hAnsi="Calibri"/>
          <w:b/>
          <w:bCs/>
          <w:i w:val="false"/>
          <w:iCs w:val="false"/>
          <w:caps w:val="false"/>
          <w:color w:val="0F1B2A"/>
          <w:sz w:val="21"/>
          <w:szCs w:val="21"/>
        </w:rPr>
        <w:t xml:space="preserve">Escalate if needed.</w:t>
      </w:r>
      <w:r>
        <w:rPr>
          <w:rFonts w:ascii="Calibri" w:cs="Calibri" w:eastAsia="Calibri" w:hAnsi="Calibri"/>
          <w:b w:val="false"/>
          <w:bCs w:val="false"/>
          <w:i w:val="false"/>
          <w:iCs w:val="false"/>
          <w:caps w:val="false"/>
          <w:color w:val="40536B"/>
          <w:sz w:val="21"/>
          <w:szCs w:val="21"/>
        </w:rPr>
        <w:t xml:space="preserve"> If a stall cannot be cleared, or an exception is blocking it, hand it to the responsible partner.</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7. Handling exceptions (amber)</w:t>
      </w:r>
    </w:p>
    <w:p>
      <w:pPr>
        <w:spacing w:after="160" w:before="0" w:line="320"/>
      </w:pPr>
      <w:r>
        <w:rPr>
          <w:rFonts w:ascii="Calibri" w:cs="Calibri" w:eastAsia="Calibri" w:hAnsi="Calibri"/>
          <w:b w:val="false"/>
          <w:bCs w:val="false"/>
          <w:i w:val="false"/>
          <w:iCs w:val="false"/>
          <w:caps w:val="false"/>
          <w:color w:val="40536B"/>
          <w:sz w:val="21"/>
          <w:szCs w:val="21"/>
        </w:rPr>
        <w:t xml:space="preserve">Exceptions (complex structure, overdue lodgements, migrating file) show as amber with the reason. The rule is to resolve the exception before proceeding: route to the partner, agree the approach, then continue the journey. Do not push an exception forward just to keep the row green.</w:t>
      </w:r>
    </w:p>
    <w:p>
      <w:pPr>
        <w:pStyle w:val="Heading2"/>
        <w:keepNext/>
        <w:spacing w:after="130" w:before="300"/>
      </w:pPr>
      <w:r>
        <w:rPr>
          <w:rFonts w:ascii="Cambria" w:cs="Cambria" w:eastAsia="Cambria" w:hAnsi="Cambria"/>
          <w:b/>
          <w:bCs/>
          <w:i w:val="false"/>
          <w:iCs w:val="false"/>
          <w:caps w:val="false"/>
          <w:color w:val="0F1B2A"/>
          <w:sz w:val="27"/>
          <w:szCs w:val="27"/>
        </w:rPr>
        <w:t xml:space="preserve">8. Data handling</w:t>
      </w:r>
    </w:p>
    <w:p>
      <w:pPr>
        <w:spacing w:after="160" w:before="0" w:line="320"/>
      </w:pPr>
      <w:r>
        <w:rPr>
          <w:rFonts w:ascii="Calibri" w:cs="Calibri" w:eastAsia="Calibri" w:hAnsi="Calibri"/>
          <w:b w:val="false"/>
          <w:bCs w:val="false"/>
          <w:i w:val="false"/>
          <w:iCs w:val="false"/>
          <w:caps w:val="false"/>
          <w:color w:val="40536B"/>
          <w:sz w:val="21"/>
          <w:szCs w:val="21"/>
        </w:rPr>
        <w:t xml:space="preserve">The tracker coordinates; the systems of record (Xero, FYI, HubSpot, SharePoint) hold the client data. Keep sensitive detail in those systems, not in free-text tracker notes.</w:t>
      </w:r>
    </w:p>
    <w:p>
      <w:pPr>
        <w:pStyle w:val="Heading2"/>
        <w:keepNext/>
        <w:spacing w:after="130" w:before="300"/>
      </w:pPr>
      <w:r>
        <w:rPr>
          <w:rFonts w:ascii="Cambria" w:cs="Cambria" w:eastAsia="Cambria" w:hAnsi="Cambria"/>
          <w:b/>
          <w:bCs/>
          <w:i w:val="false"/>
          <w:iCs w:val="false"/>
          <w:caps w:val="false"/>
          <w:color w:val="0F1B2A"/>
          <w:sz w:val="27"/>
          <w:szCs w:val="27"/>
        </w:rPr>
        <w:t xml:space="preserve">9. Records and version control</w:t>
      </w: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2748"/>
        <w:gridCol w:w="2107"/>
        <w:gridCol w:w="2107"/>
        <w:gridCol w:w="2107"/>
      </w:tblGrid>
      <w:tr>
        <w:trPr>
          <w:tblHeader/>
        </w:trPr>
        <w:tc>
          <w:tcPr>
            <w:tcW w:type="dxa" w:w="2748"/>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Version</w:t>
            </w:r>
          </w:p>
        </w:tc>
        <w:tc>
          <w:tcPr>
            <w:tcW w:type="dxa" w:w="2107"/>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Date</w:t>
            </w:r>
          </w:p>
        </w:tc>
        <w:tc>
          <w:tcPr>
            <w:tcW w:type="dxa" w:w="2107"/>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Change</w:t>
            </w:r>
          </w:p>
        </w:tc>
        <w:tc>
          <w:tcPr>
            <w:tcW w:type="dxa" w:w="2107"/>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Author</w:t>
            </w:r>
          </w:p>
        </w:tc>
      </w:tr>
      <w:tr>
        <w:tc>
          <w:tcPr>
            <w:tcW w:type="dxa" w:w="2748"/>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1.0</w:t>
            </w:r>
          </w:p>
        </w:tc>
        <w:tc>
          <w:tcPr>
            <w:tcW w:type="dxa" w:w="2107"/>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2026</w:t>
            </w:r>
          </w:p>
        </w:tc>
        <w:tc>
          <w:tcPr>
            <w:tcW w:type="dxa" w:w="2107"/>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Initial SOP</w:t>
            </w:r>
          </w:p>
        </w:tc>
        <w:tc>
          <w:tcPr>
            <w:tcW w:type="dxa" w:w="2107"/>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QuantAI (portfolio)</w:t>
            </w:r>
          </w:p>
        </w:tc>
      </w:tr>
    </w:tbl>
    <w:p>
      <w:pPr>
        <w:spacing w:after="160"/>
      </w:pPr>
    </w:p>
    <w:sectPr>
      <w:headerReference w:type="default" r:id="rId7"/>
      <w:footerReference w:type="default" r:id="rId8"/>
      <w:pgSz w:w="11906" w:h="16838" w:orient="portrait"/>
      <w:pgMar w:top="1247" w:right="1417" w:bottom="1133" w:left="1417" w:header="680" w:footer="623"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7EBEF" w:sz="4"/>
      </w:pBdr>
      <w:spacing w:after="100"/>
    </w:pPr>
  </w:p>
  <w:p>
    <w:pPr>
      <w:spacing w:after="0" w:line="300" w:lineRule="atLeast"/>
    </w:pPr>
    <w:r>
      <w:drawing>
        <wp:inline distT="0" distB="0" distL="0" distR="0">
          <wp:extent cx="123825"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 cy="123825"/>
                  </a:xfrm>
                  <a:prstGeom prst="rect">
                    <a:avLst/>
                  </a:prstGeom>
                </pic:spPr>
              </pic:pic>
            </a:graphicData>
          </a:graphic>
        </wp:inline>
      </w:drawing>
    </w:r>
    <w:r>
      <w:rPr>
        <w:rFonts w:ascii="Calibri" w:cs="Calibri" w:eastAsia="Calibri" w:hAnsi="Calibri"/>
        <w:b w:val="false"/>
        <w:bCs w:val="false"/>
        <w:i w:val="false"/>
        <w:iCs w:val="false"/>
        <w:caps w:val="false"/>
        <w:color w:val="7A8899"/>
        <w:sz w:val="15"/>
        <w:szCs w:val="15"/>
      </w:rPr>
      <w:t xml:space="preserve">   QuantAI  ·  Confidential</w:t>
    </w:r>
    <w:r>
      <w:ptab w:alignment="right" w:relativeTo="margin" w:leader="none"/>
    </w:r>
    <w:r>
      <w:rPr>
        <w:rFonts w:ascii="Calibri" w:cs="Calibri" w:eastAsia="Calibri" w:hAnsi="Calibri"/>
        <w:b w:val="false"/>
        <w:bCs w:val="false"/>
        <w:i w:val="false"/>
        <w:iCs w:val="false"/>
        <w:caps w:val="false"/>
        <w:color w:val="7A8899"/>
        <w:sz w:val="15"/>
        <w:szCs w:val="15"/>
      </w:rPr>
      <w:t xml:space="preserve">Page </w:t>
    </w:r>
    <w:r>
      <w:rPr>
        <w:rFonts w:ascii="Calibri" w:cs="Calibri" w:eastAsia="Calibri" w:hAnsi="Calibri"/>
        <w:color w:val="7A8899"/>
        <w:sz w:val="15"/>
        <w:szCs w:val="15"/>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7A8899"/>
        <w:sz w:val="15"/>
        <w:szCs w:val="15"/>
      </w:rPr>
      <w:t xml:space="preserve"> of </w:t>
    </w:r>
    <w:r>
      <w:rPr>
        <w:rFonts w:ascii="Calibri" w:cs="Calibri" w:eastAsia="Calibri" w:hAnsi="Calibri"/>
        <w:color w:val="7A88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val="false"/>
        <w:bCs w:val="false"/>
        <w:i w:val="false"/>
        <w:iCs w:val="false"/>
        <w:caps/>
        <w:color w:val="7A8899"/>
        <w:spacing w:val="20"/>
        <w:sz w:val="15"/>
        <w:szCs w:val="15"/>
      </w:rPr>
      <w:t xml:space="preserve">QuantAI · SOP: Managing the onboarding tracker and stalls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Calibri" w:cs="Calibri" w:eastAsia="Calibri" w:hAnsi="Calibri"/>
        <w:color w:val="14655C"/>
      </w:rPr>
    </w:lvl>
  </w:abstractNum>
  <w:abstractNum w:abstractNumId="3" w15:restartNumberingAfterBreak="0">
    <w:multiLevelType w:val="hybridMultilevel"/>
    <w:lvl w:ilvl="0" w15:tentative="1">
      <w:start w:val="1"/>
      <w:numFmt w:val="decimal"/>
      <w:lvlText w:val="%1."/>
      <w:lvlJc w:val="left"/>
      <w:pPr>
        <w:ind w:left="400" w:hanging="280"/>
      </w:pPr>
      <w:rPr>
        <w:rFonts w:ascii="Calibri" w:cs="Calibri" w:eastAsia="Calibri" w:hAnsi="Calibri"/>
        <w:b/>
        <w:bCs/>
        <w:color w:val="1465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536B"/>
        <w:sz w:val="21"/>
        <w:szCs w:val="21"/>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0F1B2A"/>
      <w:sz w:val="40"/>
      <w:szCs w:val="40"/>
    </w:rPr>
  </w:style>
  <w:style w:type="paragraph" w:styleId="Heading2">
    <w:name w:val="Heading 2"/>
    <w:basedOn w:val="Normal"/>
    <w:next w:val="Normal"/>
    <w:qFormat/>
    <w:rPr>
      <w:rFonts w:ascii="Cambria" w:cs="Cambria" w:eastAsia="Cambria" w:hAnsi="Cambria"/>
      <w:b/>
      <w:bCs/>
      <w:color w:val="0F1B2A"/>
      <w:sz w:val="27"/>
      <w:szCs w:val="27"/>
    </w:rPr>
  </w:style>
  <w:style w:type="paragraph" w:styleId="Heading3">
    <w:name w:val="Heading 3"/>
    <w:basedOn w:val="Normal"/>
    <w:next w:val="Normal"/>
    <w:qFormat/>
    <w:rPr>
      <w:rFonts w:ascii="Calibri" w:cs="Calibri" w:eastAsia="Calibri" w:hAnsi="Calibri"/>
      <w:b/>
      <w:bCs/>
      <w:color w:val="0F1B2A"/>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063891a95e34455f6c12621055a25d1a4404e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55104f0c9ba081919c81f924f81c6f51e29e01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QuantAI · SOP: Managing the onboarding tracker and stalls</dc:title>
  <dc:creator>QuantAI</dc:creator>
  <dc:description>QuantAI document</dc:description>
  <cp:lastModifiedBy>Un-named</cp:lastModifiedBy>
  <cp:revision>1</cp:revision>
  <dcterms:created xsi:type="dcterms:W3CDTF">2026-08-01T08:01:31.222Z</dcterms:created>
  <dcterms:modified xsi:type="dcterms:W3CDTF">2026-08-01T08:01:31.222Z</dcterms:modified>
</cp:coreProperties>
</file>

<file path=docProps/custom.xml><?xml version="1.0" encoding="utf-8"?>
<Properties xmlns="http://schemas.openxmlformats.org/officeDocument/2006/custom-properties" xmlns:vt="http://schemas.openxmlformats.org/officeDocument/2006/docPropsVTypes"/>
</file>