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5"/>
        <w:tblBorders>
          <w:top w:val="none" w:color="auto" w:sz="0"/>
          <w:left w:val="none" w:color="auto" w:sz="0"/>
          <w:bottom w:val="none" w:color="auto" w:sz="0"/>
          <w:right w:val="none" w:color="auto" w:sz="0"/>
          <w:insideH w:val="single" w:color="auto" w:sz="4"/>
          <w:insideV w:val="single" w:color="auto" w:sz="4"/>
        </w:tblBorders>
      </w:tblPr>
      <w:tblGrid>
        <w:gridCol w:w="11905"/>
      </w:tblGrid>
      <w:tr>
        <w:trPr>
          <w:trHeight w:val="16611" w:hRule="atLeast"/>
        </w:trPr>
        <w:tc>
          <w:tcPr>
            <w:tcW w:type="dxa" w:w="11905"/>
            <w:tcBorders>
              <w:top w:val="none" w:color="auto" w:sz="0"/>
              <w:left w:val="none" w:color="auto" w:sz="0"/>
              <w:bottom w:val="none" w:color="auto" w:sz="0"/>
              <w:right w:val="none" w:color="auto" w:sz="0"/>
            </w:tcBorders>
            <w:shd w:fill="0F1B2A" w:color="auto" w:val="clear"/>
            <w:tcMar>
              <w:top w:type="dxa" w:w="2607"/>
              <w:left w:type="dxa" w:w="1417"/>
              <w:bottom w:type="dxa" w:w="1360"/>
              <w:right w:type="dxa" w:w="1417"/>
            </w:tcMar>
            <w:vAlign w:val="top"/>
          </w:tcPr>
          <w:p>
            <w:pPr>
              <w:spacing w:after="900" w:line="620" w:lineRule="atLeast"/>
            </w:pPr>
            <w:r>
              <w:drawing>
                <wp:inline distT="0" distB="0" distL="0" distR="0">
                  <wp:extent cx="15049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257175"/>
                          </a:xfrm>
                          <a:prstGeom prst="rect">
                            <a:avLst/>
                          </a:prstGeom>
                        </pic:spPr>
                      </pic:pic>
                    </a:graphicData>
                  </a:graphic>
                </wp:inline>
              </w:drawing>
            </w:r>
          </w:p>
          <w:p>
            <w:pPr>
              <w:spacing w:after="180" w:before="0" w:line="300"/>
            </w:pPr>
            <w:r>
              <w:rPr>
                <w:rFonts w:ascii="Calibri" w:cs="Calibri" w:eastAsia="Calibri" w:hAnsi="Calibri"/>
                <w:b/>
                <w:bCs/>
                <w:i w:val="false"/>
                <w:iCs w:val="false"/>
                <w:caps/>
                <w:color w:val="8FA6B8"/>
                <w:spacing w:val="32"/>
                <w:sz w:val="16"/>
                <w:szCs w:val="16"/>
              </w:rPr>
              <w:t xml:space="preserve">Standard operating procedure</w:t>
            </w:r>
          </w:p>
          <w:p>
            <w:pPr>
              <w:spacing w:after="200" w:before="0" w:line="600"/>
            </w:pPr>
            <w:r>
              <w:rPr>
                <w:rFonts w:ascii="Cambria" w:cs="Cambria" w:eastAsia="Cambria" w:hAnsi="Cambria"/>
                <w:b/>
                <w:bCs/>
                <w:i w:val="false"/>
                <w:iCs w:val="false"/>
                <w:caps w:val="false"/>
                <w:color w:val="FFFFFF"/>
                <w:sz w:val="54"/>
                <w:szCs w:val="54"/>
              </w:rPr>
              <w:t xml:space="preserve">Running a client onboarding with the assistant</w:t>
            </w:r>
          </w:p>
          <w:p>
            <w:pPr>
              <w:spacing w:after="820" w:before="0" w:line="340"/>
            </w:pPr>
            <w:r>
              <w:rPr>
                <w:rFonts w:ascii="Calibri" w:cs="Calibri" w:eastAsia="Calibri" w:hAnsi="Calibri"/>
                <w:b w:val="false"/>
                <w:bCs w:val="false"/>
                <w:i w:val="false"/>
                <w:iCs w:val="false"/>
                <w:caps w:val="false"/>
                <w:color w:val="B9C4D0"/>
                <w:sz w:val="22"/>
                <w:szCs w:val="22"/>
              </w:rPr>
              <w:t xml:space="preserve">One warm, consistent, well-organised onboarding for every new client. The assistant drafts and organises; a staff member owns the relationship and sends every message.</w:t>
            </w:r>
          </w:p>
          <w:p>
            <w:pPr>
              <w:pBdr>
                <w:bottom w:val="single" w:color="A9803E" w:sz="8"/>
              </w:pBdr>
              <w:spacing w:after="240"/>
            </w:pPr>
          </w:p>
          <w:p>
            <w:pPr>
              <w:spacing w:after="90" w:line="280"/>
            </w:pPr>
            <w:r>
              <w:rPr>
                <w:rFonts w:ascii="Consolas" w:cs="Consolas" w:eastAsia="Consolas" w:hAnsi="Consolas"/>
                <w:b w:val="false"/>
                <w:bCs w:val="false"/>
                <w:i w:val="false"/>
                <w:iCs w:val="false"/>
                <w:caps/>
                <w:color w:val="8FA6B8"/>
                <w:spacing w:val="20"/>
                <w:sz w:val="15"/>
                <w:szCs w:val="15"/>
              </w:rPr>
              <w:t xml:space="preserve">Prepared for        </w:t>
            </w:r>
            <w:r>
              <w:rPr>
                <w:rFonts w:ascii="Calibri" w:cs="Calibri" w:eastAsia="Calibri" w:hAnsi="Calibri"/>
                <w:b w:val="false"/>
                <w:bCs w:val="false"/>
                <w:i w:val="false"/>
                <w:iCs w:val="false"/>
                <w:caps w:val="false"/>
                <w:color w:val="FFFFFF"/>
                <w:sz w:val="19"/>
                <w:szCs w:val="19"/>
              </w:rPr>
              <w:t xml:space="preserve">Elevate Accounting</w:t>
            </w:r>
          </w:p>
          <w:p>
            <w:pPr>
              <w:spacing w:after="90" w:line="280"/>
            </w:pPr>
            <w:r>
              <w:rPr>
                <w:rFonts w:ascii="Consolas" w:cs="Consolas" w:eastAsia="Consolas" w:hAnsi="Consolas"/>
                <w:b w:val="false"/>
                <w:bCs w:val="false"/>
                <w:i w:val="false"/>
                <w:iCs w:val="false"/>
                <w:caps/>
                <w:color w:val="8FA6B8"/>
                <w:spacing w:val="20"/>
                <w:sz w:val="15"/>
                <w:szCs w:val="15"/>
              </w:rPr>
              <w:t xml:space="preserve">Prepared by         </w:t>
            </w:r>
            <w:r>
              <w:rPr>
                <w:rFonts w:ascii="Calibri" w:cs="Calibri" w:eastAsia="Calibri" w:hAnsi="Calibri"/>
                <w:b w:val="false"/>
                <w:bCs w:val="false"/>
                <w:i w:val="false"/>
                <w:iCs w:val="false"/>
                <w:caps w:val="false"/>
                <w:color w:val="FFFFFF"/>
                <w:sz w:val="19"/>
                <w:szCs w:val="19"/>
              </w:rPr>
              <w:t xml:space="preserve">QuantAI</w:t>
            </w:r>
          </w:p>
          <w:p>
            <w:pPr>
              <w:spacing w:after="90" w:line="280"/>
            </w:pPr>
            <w:r>
              <w:rPr>
                <w:rFonts w:ascii="Consolas" w:cs="Consolas" w:eastAsia="Consolas" w:hAnsi="Consolas"/>
                <w:b w:val="false"/>
                <w:bCs w:val="false"/>
                <w:i w:val="false"/>
                <w:iCs w:val="false"/>
                <w:caps/>
                <w:color w:val="8FA6B8"/>
                <w:spacing w:val="20"/>
                <w:sz w:val="15"/>
                <w:szCs w:val="15"/>
              </w:rPr>
              <w:t xml:space="preserve">Owner               </w:t>
            </w:r>
            <w:r>
              <w:rPr>
                <w:rFonts w:ascii="Calibri" w:cs="Calibri" w:eastAsia="Calibri" w:hAnsi="Calibri"/>
                <w:b w:val="false"/>
                <w:bCs w:val="false"/>
                <w:i w:val="false"/>
                <w:iCs w:val="false"/>
                <w:caps w:val="false"/>
                <w:color w:val="FFFFFF"/>
                <w:sz w:val="19"/>
                <w:szCs w:val="19"/>
              </w:rPr>
              <w:t xml:space="preserve">Practice Manager</w:t>
            </w:r>
          </w:p>
          <w:p>
            <w:pPr>
              <w:spacing w:after="90" w:line="280"/>
            </w:pPr>
            <w:r>
              <w:rPr>
                <w:rFonts w:ascii="Consolas" w:cs="Consolas" w:eastAsia="Consolas" w:hAnsi="Consolas"/>
                <w:b w:val="false"/>
                <w:bCs w:val="false"/>
                <w:i w:val="false"/>
                <w:iCs w:val="false"/>
                <w:caps/>
                <w:color w:val="8FA6B8"/>
                <w:spacing w:val="20"/>
                <w:sz w:val="15"/>
                <w:szCs w:val="15"/>
              </w:rPr>
              <w:t xml:space="preserve">Version             </w:t>
            </w:r>
            <w:r>
              <w:rPr>
                <w:rFonts w:ascii="Calibri" w:cs="Calibri" w:eastAsia="Calibri" w:hAnsi="Calibri"/>
                <w:b w:val="false"/>
                <w:bCs w:val="false"/>
                <w:i w:val="false"/>
                <w:iCs w:val="false"/>
                <w:caps w:val="false"/>
                <w:color w:val="FFFFFF"/>
                <w:sz w:val="19"/>
                <w:szCs w:val="19"/>
              </w:rPr>
              <w:t xml:space="preserve">1.0</w:t>
            </w:r>
          </w:p>
          <w:p>
            <w:pPr>
              <w:spacing w:after="90" w:line="280"/>
            </w:pPr>
            <w:r>
              <w:rPr>
                <w:rFonts w:ascii="Consolas" w:cs="Consolas" w:eastAsia="Consolas" w:hAnsi="Consolas"/>
                <w:b w:val="false"/>
                <w:bCs w:val="false"/>
                <w:i w:val="false"/>
                <w:iCs w:val="false"/>
                <w:caps/>
                <w:color w:val="8FA6B8"/>
                <w:spacing w:val="20"/>
                <w:sz w:val="15"/>
                <w:szCs w:val="15"/>
              </w:rPr>
              <w:t xml:space="preserve">Status              </w:t>
            </w:r>
            <w:r>
              <w:rPr>
                <w:rFonts w:ascii="Calibri" w:cs="Calibri" w:eastAsia="Calibri" w:hAnsi="Calibri"/>
                <w:b w:val="false"/>
                <w:bCs w:val="false"/>
                <w:i w:val="false"/>
                <w:iCs w:val="false"/>
                <w:caps w:val="false"/>
                <w:color w:val="FFFFFF"/>
                <w:sz w:val="19"/>
                <w:szCs w:val="19"/>
              </w:rPr>
              <w:t xml:space="preserve">Demonstration</w:t>
            </w:r>
          </w:p>
        </w:tc>
      </w:tr>
    </w:tbl>
    <w:p>
      <w:pPr>
        <w:spacing w:after="0" w:line="20" w:lineRule="exact"/>
      </w:pPr>
      <w:r>
        <w:rPr>
          <w:sz w:val="2"/>
          <w:szCs w:val="2"/>
        </w:rPr>
        <w:t xml:space="preserve"/>
      </w:r>
    </w:p>
    <w:p>
      <w:pPr>
        <w:sectPr>
          <w:pgSz w:w="11906" w:h="16838" w:orient="portrait"/>
          <w:pgMar w:top="0" w:right="0" w:bottom="0" w:left="0" w:header="0" w:footer="0" w:gutter="0"/>
          <w:pgNumType/>
          <w:docGrid w:linePitch="360"/>
        </w:sectPr>
      </w:pP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9070"/>
      </w:tblGrid>
      <w:tr>
        <w:tc>
          <w:tcPr>
            <w:tcW w:type="dxa" w:w="9070"/>
            <w:tcBorders>
              <w:top w:val="none" w:color="auto" w:sz="0"/>
              <w:left w:val="none" w:color="auto" w:sz="0"/>
              <w:bottom w:val="none" w:color="auto" w:sz="0"/>
              <w:right w:val="none" w:color="auto" w:sz="0"/>
            </w:tcBorders>
            <w:shd w:fill="E5F8F5" w:color="auto" w:val="clear"/>
            <w:tcMar>
              <w:top w:type="dxa" w:w="300"/>
              <w:left w:type="dxa" w:w="400"/>
              <w:bottom w:type="dxa" w:w="300"/>
              <w:right w:type="dxa" w:w="400"/>
            </w:tcMar>
          </w:tcPr>
          <w:p>
            <w:pPr>
              <w:spacing w:after="0" w:before="0" w:line="320"/>
            </w:pPr>
            <w:r>
              <w:rPr>
                <w:rFonts w:ascii="Calibri" w:cs="Calibri" w:eastAsia="Calibri" w:hAnsi="Calibri"/>
                <w:b/>
                <w:bCs/>
                <w:i w:val="false"/>
                <w:iCs w:val="false"/>
                <w:caps w:val="false"/>
                <w:color w:val="0F1B2A"/>
                <w:sz w:val="20"/>
                <w:szCs w:val="20"/>
              </w:rPr>
              <w:t xml:space="preserve">Demonstration SOP.</w:t>
            </w:r>
            <w:r>
              <w:rPr>
                <w:rFonts w:ascii="Calibri" w:cs="Calibri" w:eastAsia="Calibri" w:hAnsi="Calibri"/>
                <w:b w:val="false"/>
                <w:bCs w:val="false"/>
                <w:i w:val="false"/>
                <w:iCs w:val="false"/>
                <w:caps w:val="false"/>
                <w:color w:val="0F1B2A"/>
                <w:sz w:val="20"/>
                <w:szCs w:val="20"/>
              </w:rPr>
              <w:t xml:space="preserve"> A real deployment would be confirmed against the firm's client-care and privacy processes. This is a practitioner-level operating control, not legal, tax or compliance advice.</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1. Purpose</w:t>
      </w:r>
    </w:p>
    <w:p>
      <w:pPr>
        <w:spacing w:after="160" w:before="0" w:line="320"/>
      </w:pPr>
      <w:r>
        <w:rPr>
          <w:rFonts w:ascii="Calibri" w:cs="Calibri" w:eastAsia="Calibri" w:hAnsi="Calibri"/>
          <w:b w:val="false"/>
          <w:bCs w:val="false"/>
          <w:i w:val="false"/>
          <w:iCs w:val="false"/>
          <w:caps w:val="false"/>
          <w:color w:val="40536B"/>
          <w:sz w:val="21"/>
          <w:szCs w:val="21"/>
        </w:rPr>
        <w:t xml:space="preserve">To run every new-client onboarding to one warm, consistent, well-organised standard, using the Client Onboarding Assistant to draft and organise, while a staff member owns the relationship and sends every message. The aim is a client who feels welcomed and looked after, and a first advisory meeting that is ready because the right documents came in.</w:t>
      </w:r>
    </w:p>
    <w:p>
      <w:pPr>
        <w:pStyle w:val="Heading2"/>
        <w:keepNext/>
        <w:spacing w:after="130" w:before="300"/>
      </w:pPr>
      <w:r>
        <w:rPr>
          <w:rFonts w:ascii="Cambria" w:cs="Cambria" w:eastAsia="Cambria" w:hAnsi="Cambria"/>
          <w:b/>
          <w:bCs/>
          <w:i w:val="false"/>
          <w:iCs w:val="false"/>
          <w:caps w:val="false"/>
          <w:color w:val="0F1B2A"/>
          <w:sz w:val="27"/>
          <w:szCs w:val="27"/>
        </w:rPr>
        <w:t xml:space="preserve">2. Scope</w:t>
      </w:r>
    </w:p>
    <w:p>
      <w:pPr>
        <w:spacing w:after="160" w:before="0" w:line="320"/>
      </w:pPr>
      <w:r>
        <w:rPr>
          <w:rFonts w:ascii="Calibri" w:cs="Calibri" w:eastAsia="Calibri" w:hAnsi="Calibri"/>
          <w:b w:val="false"/>
          <w:bCs w:val="false"/>
          <w:i w:val="false"/>
          <w:iCs w:val="false"/>
          <w:caps w:val="false"/>
          <w:color w:val="40536B"/>
          <w:sz w:val="21"/>
          <w:szCs w:val="21"/>
        </w:rPr>
        <w:t xml:space="preserve">Applies to Client Services staff onboarding clients across business advisory, tax compliance and bookkeeping. It does not authorise the assistant to send client messages, give tax or legal advice, or make identity-verification (AML/KYC) determinations.</w:t>
      </w:r>
    </w:p>
    <w:p>
      <w:pPr>
        <w:pStyle w:val="Heading2"/>
        <w:keepNext/>
        <w:spacing w:after="130" w:before="300"/>
      </w:pPr>
      <w:r>
        <w:rPr>
          <w:rFonts w:ascii="Cambria" w:cs="Cambria" w:eastAsia="Cambria" w:hAnsi="Cambria"/>
          <w:b/>
          <w:bCs/>
          <w:i w:val="false"/>
          <w:iCs w:val="false"/>
          <w:caps w:val="false"/>
          <w:color w:val="0F1B2A"/>
          <w:sz w:val="27"/>
          <w:szCs w:val="27"/>
        </w:rPr>
        <w:t xml:space="preserve">3. The principle</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9070"/>
      </w:tblGrid>
      <w:tr>
        <w:tc>
          <w:tcPr>
            <w:tcW w:type="dxa" w:w="9070"/>
            <w:tcBorders>
              <w:top w:val="none" w:color="auto" w:sz="0"/>
              <w:left w:val="none" w:color="auto" w:sz="0"/>
              <w:bottom w:val="none" w:color="auto" w:sz="0"/>
              <w:right w:val="none" w:color="auto" w:sz="0"/>
            </w:tcBorders>
            <w:shd w:fill="E5F8F5" w:color="auto" w:val="clear"/>
            <w:tcMar>
              <w:top w:type="dxa" w:w="300"/>
              <w:left w:type="dxa" w:w="400"/>
              <w:bottom w:type="dxa" w:w="300"/>
              <w:right w:type="dxa" w:w="400"/>
            </w:tcMar>
          </w:tcPr>
          <w:p>
            <w:pPr>
              <w:spacing w:after="0" w:before="0" w:line="320"/>
            </w:pPr>
            <w:r>
              <w:rPr>
                <w:rFonts w:ascii="Calibri" w:cs="Calibri" w:eastAsia="Calibri" w:hAnsi="Calibri"/>
                <w:b w:val="false"/>
                <w:bCs w:val="false"/>
                <w:i w:val="false"/>
                <w:iCs w:val="false"/>
                <w:caps w:val="false"/>
                <w:color w:val="0F1B2A"/>
                <w:sz w:val="20"/>
                <w:szCs w:val="20"/>
              </w:rPr>
              <w:t xml:space="preserve">The assistant drafts and organises. A staff member owns the client relationship, reviews every message, and presses send. Warmth, judgement and professional advice stay human.</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4. Roles</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21"/>
        <w:gridCol w:w="6349"/>
      </w:tblGrid>
      <w:tr>
        <w:trPr>
          <w:tblHeader/>
        </w:trPr>
        <w:tc>
          <w:tcPr>
            <w:tcW w:type="dxa" w:w="2721"/>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Role</w:t>
            </w:r>
          </w:p>
        </w:tc>
        <w:tc>
          <w:tcPr>
            <w:tcW w:type="dxa" w:w="6349"/>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Responsibility</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Client owner</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Owns the relationship and every client message; runs the onboarding</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Accountant</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Setup and the first advisory meeting</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Partner</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Exceptions, complex structures, sign-off</w:t>
            </w:r>
          </w:p>
        </w:tc>
      </w:tr>
      <w:tr>
        <w:tc>
          <w:tcPr>
            <w:tcW w:type="dxa" w:w="2721"/>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Practice Manager</w:t>
            </w:r>
          </w:p>
        </w:tc>
        <w:tc>
          <w:tcPr>
            <w:tcW w:type="dxa" w:w="6349"/>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Owns the process, the assistant Project and the tracker</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5. Prerequisites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Access to the Client Onboarding Assistant Project (Claude Team) and the tracker.</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The engagement recorded in Xero Practice Manager and HubSpot; a client owner assigned.</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6. Procedure</w:t>
      </w:r>
    </w:p>
    <w:p>
      <w:pPr>
        <w:spacing w:after="160" w:before="0" w:line="320"/>
      </w:pPr>
      <w:r>
        <w:rPr>
          <w:rFonts w:ascii="Calibri" w:cs="Calibri" w:eastAsia="Calibri" w:hAnsi="Calibri"/>
          <w:b/>
          <w:bCs/>
          <w:i w:val="false"/>
          <w:iCs w:val="false"/>
          <w:caps w:val="false"/>
          <w:color w:val="0F1B2A"/>
          <w:sz w:val="21"/>
          <w:szCs w:val="21"/>
        </w:rPr>
        <w:t xml:space="preserve">Step 1, Welcome.</w:t>
      </w:r>
      <w:r>
        <w:rPr>
          <w:rFonts w:ascii="Calibri" w:cs="Calibri" w:eastAsia="Calibri" w:hAnsi="Calibri"/>
          <w:b w:val="false"/>
          <w:bCs w:val="false"/>
          <w:i w:val="false"/>
          <w:iCs w:val="false"/>
          <w:caps w:val="false"/>
          <w:color w:val="40536B"/>
          <w:sz w:val="21"/>
          <w:szCs w:val="21"/>
        </w:rPr>
        <w:t xml:space="preserve"> Run prompt W1. Review, add your personal line, and send the welcome. Run W2 to confirm any details not already known (do not re-ask for anything the firm already has).</w:t>
      </w:r>
    </w:p>
    <w:p>
      <w:pPr>
        <w:spacing w:after="160" w:before="0" w:line="320"/>
      </w:pPr>
      <w:r>
        <w:rPr>
          <w:rFonts w:ascii="Calibri" w:cs="Calibri" w:eastAsia="Calibri" w:hAnsi="Calibri"/>
          <w:b/>
          <w:bCs/>
          <w:i w:val="false"/>
          <w:iCs w:val="false"/>
          <w:caps w:val="false"/>
          <w:color w:val="0F1B2A"/>
          <w:sz w:val="21"/>
          <w:szCs w:val="21"/>
        </w:rPr>
        <w:t xml:space="preserve">Step 2, Confirm the service line and variant.</w:t>
      </w:r>
      <w:r>
        <w:rPr>
          <w:rFonts w:ascii="Calibri" w:cs="Calibri" w:eastAsia="Calibri" w:hAnsi="Calibri"/>
          <w:b w:val="false"/>
          <w:bCs w:val="false"/>
          <w:i w:val="false"/>
          <w:iCs w:val="false"/>
          <w:caps w:val="false"/>
          <w:color w:val="40536B"/>
          <w:sz w:val="21"/>
          <w:szCs w:val="21"/>
        </w:rPr>
        <w:t xml:space="preserve"> Set the service line and note any variant or exception (complex structure, overdue lodgements, migrating file). Exceptions route per the common journey before you request documents.</w:t>
      </w:r>
    </w:p>
    <w:p>
      <w:pPr>
        <w:spacing w:after="160" w:before="0" w:line="320"/>
      </w:pPr>
      <w:r>
        <w:rPr>
          <w:rFonts w:ascii="Calibri" w:cs="Calibri" w:eastAsia="Calibri" w:hAnsi="Calibri"/>
          <w:b/>
          <w:bCs/>
          <w:i w:val="false"/>
          <w:iCs w:val="false"/>
          <w:caps w:val="false"/>
          <w:color w:val="0F1B2A"/>
          <w:sz w:val="21"/>
          <w:szCs w:val="21"/>
        </w:rPr>
        <w:t xml:space="preserve">Step 3, Request documents.</w:t>
      </w:r>
      <w:r>
        <w:rPr>
          <w:rFonts w:ascii="Calibri" w:cs="Calibri" w:eastAsia="Calibri" w:hAnsi="Calibri"/>
          <w:b w:val="false"/>
          <w:bCs w:val="false"/>
          <w:i w:val="false"/>
          <w:iCs w:val="false"/>
          <w:caps w:val="false"/>
          <w:color w:val="40536B"/>
          <w:sz w:val="21"/>
          <w:szCs w:val="21"/>
        </w:rPr>
        <w:t xml:space="preserve"> Run prompt D1. It drafts the correct request from the matrix for this service line, grouped into "to get started" and "helpful when you have a moment." Review, personalise, send. Mark the items outstanding in the tracker.</w:t>
      </w:r>
    </w:p>
    <w:p>
      <w:pPr>
        <w:spacing w:after="160" w:before="0" w:line="320"/>
      </w:pPr>
      <w:r>
        <w:rPr>
          <w:rFonts w:ascii="Calibri" w:cs="Calibri" w:eastAsia="Calibri" w:hAnsi="Calibri"/>
          <w:b/>
          <w:bCs/>
          <w:i w:val="false"/>
          <w:iCs w:val="false"/>
          <w:caps w:val="false"/>
          <w:color w:val="0F1B2A"/>
          <w:sz w:val="21"/>
          <w:szCs w:val="21"/>
        </w:rPr>
        <w:t xml:space="preserve">Step 4, Collect and remind.</w:t>
      </w:r>
      <w:r>
        <w:rPr>
          <w:rFonts w:ascii="Calibri" w:cs="Calibri" w:eastAsia="Calibri" w:hAnsi="Calibri"/>
          <w:b w:val="false"/>
          <w:bCs w:val="false"/>
          <w:i w:val="false"/>
          <w:iCs w:val="false"/>
          <w:caps w:val="false"/>
          <w:color w:val="40536B"/>
          <w:sz w:val="21"/>
          <w:szCs w:val="21"/>
        </w:rPr>
        <w:t xml:space="preserve"> As documents arrive, run D2 to check them against the completeness rule and update the tracker. For outstanding must-have items only, run R1 at day 3 (light) and day 7 (offer to help); the assistant mentions only what is still missing. Send from your own account.</w:t>
      </w:r>
    </w:p>
    <w:p>
      <w:pPr>
        <w:spacing w:after="160" w:before="0" w:line="320"/>
      </w:pPr>
      <w:r>
        <w:rPr>
          <w:rFonts w:ascii="Calibri" w:cs="Calibri" w:eastAsia="Calibri" w:hAnsi="Calibri"/>
          <w:b/>
          <w:bCs/>
          <w:i w:val="false"/>
          <w:iCs w:val="false"/>
          <w:caps w:val="false"/>
          <w:color w:val="0F1B2A"/>
          <w:sz w:val="21"/>
          <w:szCs w:val="21"/>
        </w:rPr>
        <w:t xml:space="preserve">Step 5, The must-have gate.</w:t>
      </w:r>
      <w:r>
        <w:rPr>
          <w:rFonts w:ascii="Calibri" w:cs="Calibri" w:eastAsia="Calibri" w:hAnsi="Calibri"/>
          <w:b w:val="false"/>
          <w:bCs w:val="false"/>
          <w:i w:val="false"/>
          <w:iCs w:val="false"/>
          <w:caps w:val="false"/>
          <w:color w:val="40536B"/>
          <w:sz w:val="21"/>
          <w:szCs w:val="21"/>
        </w:rPr>
        <w:t xml:space="preserve"> Do not book the first advisory meeting until the must-have set is complete (the tracker shows this). This is what delivers the 95% document-completeness target.</w:t>
      </w:r>
    </w:p>
    <w:p>
      <w:pPr>
        <w:spacing w:after="160" w:before="0" w:line="320"/>
      </w:pPr>
      <w:r>
        <w:rPr>
          <w:rFonts w:ascii="Calibri" w:cs="Calibri" w:eastAsia="Calibri" w:hAnsi="Calibri"/>
          <w:b/>
          <w:bCs/>
          <w:i w:val="false"/>
          <w:iCs w:val="false"/>
          <w:caps w:val="false"/>
          <w:color w:val="0F1B2A"/>
          <w:sz w:val="21"/>
          <w:szCs w:val="21"/>
        </w:rPr>
        <w:t xml:space="preserve">Step 6, Prepare the first meeting.</w:t>
      </w:r>
      <w:r>
        <w:rPr>
          <w:rFonts w:ascii="Calibri" w:cs="Calibri" w:eastAsia="Calibri" w:hAnsi="Calibri"/>
          <w:b w:val="false"/>
          <w:bCs w:val="false"/>
          <w:i w:val="false"/>
          <w:iCs w:val="false"/>
          <w:caps w:val="false"/>
          <w:color w:val="40536B"/>
          <w:sz w:val="21"/>
          <w:szCs w:val="21"/>
        </w:rPr>
        <w:t xml:space="preserve"> Once must-have is complete, run B1 to produce a one-page internal briefing. Review it; it organises facts, it does not give advice.</w:t>
      </w:r>
    </w:p>
    <w:p>
      <w:pPr>
        <w:spacing w:after="160" w:before="0" w:line="320"/>
      </w:pPr>
      <w:r>
        <w:rPr>
          <w:rFonts w:ascii="Calibri" w:cs="Calibri" w:eastAsia="Calibri" w:hAnsi="Calibri"/>
          <w:b/>
          <w:bCs/>
          <w:i w:val="false"/>
          <w:iCs w:val="false"/>
          <w:caps w:val="false"/>
          <w:color w:val="0F1B2A"/>
          <w:sz w:val="21"/>
          <w:szCs w:val="21"/>
        </w:rPr>
        <w:t xml:space="preserve">Step 7, Handover.</w:t>
      </w:r>
      <w:r>
        <w:rPr>
          <w:rFonts w:ascii="Calibri" w:cs="Calibri" w:eastAsia="Calibri" w:hAnsi="Calibri"/>
          <w:b w:val="false"/>
          <w:bCs w:val="false"/>
          <w:i w:val="false"/>
          <w:iCs w:val="false"/>
          <w:caps w:val="false"/>
          <w:color w:val="40536B"/>
          <w:sz w:val="21"/>
          <w:szCs w:val="21"/>
        </w:rPr>
        <w:t xml:space="preserve"> After setup and the first meeting, run B2 to draft a warm handover introducing the client to their ongoing contact. Send it.</w:t>
      </w:r>
    </w:p>
    <w:p>
      <w:pPr>
        <w:pStyle w:val="Heading2"/>
        <w:keepNext/>
        <w:spacing w:after="130" w:before="300"/>
      </w:pPr>
      <w:r>
        <w:rPr>
          <w:rFonts w:ascii="Cambria" w:cs="Cambria" w:eastAsia="Cambria" w:hAnsi="Cambria"/>
          <w:b/>
          <w:bCs/>
          <w:i w:val="false"/>
          <w:iCs w:val="false"/>
          <w:caps w:val="false"/>
          <w:color w:val="0F1B2A"/>
          <w:sz w:val="27"/>
          <w:szCs w:val="27"/>
        </w:rPr>
        <w:t xml:space="preserve">7. The lines the assistant does not cross (must not be overridden)</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No message reaches a client without you reviewing and sending it.</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The assistant gives no tax or legal advice and changes no engagement terms.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The assistant never makes or advises on identity verification; you run the firm's control.</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The assistant requests only what the matrix specifies; it never re-asks for something already received.</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8. Data handling</w:t>
      </w:r>
    </w:p>
    <w:p>
      <w:pPr>
        <w:spacing w:after="160" w:before="0" w:line="320"/>
      </w:pPr>
      <w:r>
        <w:rPr>
          <w:rFonts w:ascii="Calibri" w:cs="Calibri" w:eastAsia="Calibri" w:hAnsi="Calibri"/>
          <w:b w:val="false"/>
          <w:bCs w:val="false"/>
          <w:i w:val="false"/>
          <w:iCs w:val="false"/>
          <w:caps w:val="false"/>
          <w:color w:val="40536B"/>
          <w:sz w:val="21"/>
          <w:szCs w:val="21"/>
        </w:rPr>
        <w:t xml:space="preserve">Claude Team only; client information stays in approved tools. Do not paste identity documents or sensitive files into the assistant; work from summaries, and keep records in Xero, FYI, HubSpot and SharePoint.</w:t>
      </w:r>
    </w:p>
    <w:p>
      <w:pPr>
        <w:pStyle w:val="Heading2"/>
        <w:keepNext/>
        <w:spacing w:after="130" w:before="300"/>
      </w:pPr>
      <w:r>
        <w:rPr>
          <w:rFonts w:ascii="Cambria" w:cs="Cambria" w:eastAsia="Cambria" w:hAnsi="Cambria"/>
          <w:b/>
          <w:bCs/>
          <w:i w:val="false"/>
          <w:iCs w:val="false"/>
          <w:caps w:val="false"/>
          <w:color w:val="0F1B2A"/>
          <w:sz w:val="27"/>
          <w:szCs w:val="27"/>
        </w:rPr>
        <w:t xml:space="preserve">9. Exceptions and escalation</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Complex structure or overdue lodgements → route to a partner before requesting documents.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Client goes quiet → at day 10 the tracker flags a stall; make a personal call (prompt R2 prepares you), not another email.</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Anything unclear in a draft → the assistant marks [TEAM MEMBER TO CONFIRM]; you resolve it. Your judgement prevails.</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10. Records and version control</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48"/>
        <w:gridCol w:w="2107"/>
        <w:gridCol w:w="2107"/>
        <w:gridCol w:w="2107"/>
      </w:tblGrid>
      <w:tr>
        <w:trPr>
          <w:tblHeader/>
        </w:trPr>
        <w:tc>
          <w:tcPr>
            <w:tcW w:type="dxa" w:w="2748"/>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Version</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Date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Change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Author</w:t>
            </w:r>
          </w:p>
        </w:tc>
      </w:tr>
      <w:tr>
        <w:tc>
          <w:tcPr>
            <w:tcW w:type="dxa" w:w="2748"/>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1.0</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2026</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Initial SOP</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QuantAI (portfolio)</w:t>
            </w:r>
          </w:p>
        </w:tc>
      </w:tr>
    </w:tbl>
    <w:p>
      <w:pPr>
        <w:spacing w:after="160"/>
      </w:pPr>
    </w:p>
    <w:sectPr>
      <w:headerReference w:type="default" r:id="rId7"/>
      <w:footerReference w:type="default" r:id="rId8"/>
      <w:pgSz w:w="11906" w:h="16838" w:orient="portrait"/>
      <w:pgMar w:top="1247" w:right="1417" w:bottom="1133" w:left="1417" w:header="680" w:footer="623"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7EBEF" w:sz="4"/>
      </w:pBdr>
      <w:spacing w:after="100"/>
    </w:pPr>
  </w:p>
  <w:p>
    <w:pPr>
      <w:spacing w:after="0" w:line="300" w:lineRule="atLeast"/>
    </w:pP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 cy="123825"/>
                  </a:xfrm>
                  <a:prstGeom prst="rect">
                    <a:avLst/>
                  </a:prstGeom>
                </pic:spPr>
              </pic:pic>
            </a:graphicData>
          </a:graphic>
        </wp:inline>
      </w:drawing>
    </w:r>
    <w:r>
      <w:rPr>
        <w:rFonts w:ascii="Calibri" w:cs="Calibri" w:eastAsia="Calibri" w:hAnsi="Calibri"/>
        <w:b w:val="false"/>
        <w:bCs w:val="false"/>
        <w:i w:val="false"/>
        <w:iCs w:val="false"/>
        <w:caps w:val="false"/>
        <w:color w:val="7A8899"/>
        <w:sz w:val="15"/>
        <w:szCs w:val="15"/>
      </w:rPr>
      <w:t xml:space="preserve">   QuantAI  ·  Confidential</w:t>
    </w:r>
    <w:r>
      <w:ptab w:alignment="right" w:relativeTo="margin" w:leader="none"/>
    </w:r>
    <w:r>
      <w:rPr>
        <w:rFonts w:ascii="Calibri" w:cs="Calibri" w:eastAsia="Calibri" w:hAnsi="Calibri"/>
        <w:b w:val="false"/>
        <w:bCs w:val="false"/>
        <w:i w:val="false"/>
        <w:iCs w:val="false"/>
        <w:caps w:val="false"/>
        <w:color w:val="7A8899"/>
        <w:sz w:val="15"/>
        <w:szCs w:val="15"/>
      </w:rPr>
      <w:t xml:space="preserve">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aps/>
        <w:color w:val="7A8899"/>
        <w:spacing w:val="20"/>
        <w:sz w:val="15"/>
        <w:szCs w:val="15"/>
      </w:rPr>
      <w:t xml:space="preserve">QuantAI · SOP: Running a client onboarding with the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14655C"/>
      </w:rPr>
    </w:lvl>
  </w:abstractNum>
  <w:abstractNum w:abstractNumId="3" w15:restartNumberingAfterBreak="0">
    <w:multiLevelType w:val="hybridMultilevel"/>
    <w:lvl w:ilvl="0" w15:tentative="1">
      <w:start w:val="1"/>
      <w:numFmt w:val="decimal"/>
      <w:lvlText w:val="%1."/>
      <w:lvlJc w:val="left"/>
      <w:pPr>
        <w:ind w:left="400" w:hanging="280"/>
      </w:pPr>
      <w:rPr>
        <w:rFonts w:ascii="Calibri" w:cs="Calibri" w:eastAsia="Calibri" w:hAnsi="Calibri"/>
        <w:b/>
        <w:bCs/>
        <w:color w:val="1465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536B"/>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0F1B2A"/>
      <w:sz w:val="40"/>
      <w:szCs w:val="40"/>
    </w:rPr>
  </w:style>
  <w:style w:type="paragraph" w:styleId="Heading2">
    <w:name w:val="Heading 2"/>
    <w:basedOn w:val="Normal"/>
    <w:next w:val="Normal"/>
    <w:qFormat/>
    <w:rPr>
      <w:rFonts w:ascii="Cambria" w:cs="Cambria" w:eastAsia="Cambria" w:hAnsi="Cambria"/>
      <w:b/>
      <w:bCs/>
      <w:color w:val="0F1B2A"/>
      <w:sz w:val="27"/>
      <w:szCs w:val="27"/>
    </w:rPr>
  </w:style>
  <w:style w:type="paragraph" w:styleId="Heading3">
    <w:name w:val="Heading 3"/>
    <w:basedOn w:val="Normal"/>
    <w:next w:val="Normal"/>
    <w:qFormat/>
    <w:rPr>
      <w:rFonts w:ascii="Calibri" w:cs="Calibri" w:eastAsia="Calibri" w:hAnsi="Calibri"/>
      <w:b/>
      <w:bCs/>
      <w:color w:val="0F1B2A"/>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63891a95e34455f6c12621055a25d1a4404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55104f0c9ba081919c81f924f81c6f51e29e01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QuantAI · SOP: Running a client onboarding with the assistant</dc:title>
  <dc:creator>QuantAI</dc:creator>
  <dc:description>QuantAI document</dc:description>
  <cp:lastModifiedBy>Un-named</cp:lastModifiedBy>
  <cp:revision>1</cp:revision>
  <dcterms:created xsi:type="dcterms:W3CDTF">2026-08-01T08:01:31.110Z</dcterms:created>
  <dcterms:modified xsi:type="dcterms:W3CDTF">2026-08-01T08:01:31.127Z</dcterms:modified>
</cp:coreProperties>
</file>

<file path=docProps/custom.xml><?xml version="1.0" encoding="utf-8"?>
<Properties xmlns="http://schemas.openxmlformats.org/officeDocument/2006/custom-properties" xmlns:vt="http://schemas.openxmlformats.org/officeDocument/2006/docPropsVTypes"/>
</file>