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1905"/>
      </w:tblGrid>
      <w:tr>
        <w:trPr>
          <w:trHeight w:val="16611" w:hRule="atLeast"/>
        </w:trPr>
        <w:tc>
          <w:tcPr>
            <w:tcW w:type="dxa" w:w="1190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B2A" w:color="auto" w:val="clear"/>
            <w:tcMar>
              <w:top w:type="dxa" w:w="2607"/>
              <w:left w:type="dxa" w:w="1417"/>
              <w:bottom w:type="dxa" w:w="1360"/>
              <w:right w:type="dxa" w:w="1417"/>
            </w:tcMar>
            <w:vAlign w:val="top"/>
          </w:tcPr>
          <w:p>
            <w:pPr>
              <w:spacing w:after="900" w:line="620" w:lineRule="atLeast"/>
            </w:pPr>
            <w:r>
              <w:drawing>
                <wp:inline distT="0" distB="0" distL="0" distR="0">
                  <wp:extent cx="1504950" cy="257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FA6B8"/>
                <w:spacing w:val="32"/>
                <w:sz w:val="16"/>
                <w:szCs w:val="16"/>
              </w:rPr>
              <w:t xml:space="preserve">Standard operating procedure</w:t>
            </w:r>
          </w:p>
          <w:p>
            <w:pPr>
              <w:spacing w:after="200" w:before="0" w:line="60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54"/>
                <w:szCs w:val="54"/>
              </w:rPr>
              <w:t xml:space="preserve">AI-assisted technical report drafting and QA</w:t>
            </w:r>
          </w:p>
          <w:p>
            <w:pPr>
              <w:spacing w:after="820" w:before="0" w:line="3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C4D0"/>
                <w:sz w:val="22"/>
                <w:szCs w:val="22"/>
              </w:rPr>
              <w:t xml:space="preserve">Using AI for structure and drafting around finished, human-owned technical content, with the qualified engineer owning and signing every technical statement.</w:t>
            </w:r>
          </w:p>
          <w:p>
            <w:pPr>
              <w:pBdr>
                <w:bottom w:val="single" w:color="A9803E" w:sz="8"/>
              </w:pBdr>
              <w:spacing w:after="240"/>
            </w:pP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Prepared for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Vertex Engineering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Prepared by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QuantAI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Owner  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Technical Director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Version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1.0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Status 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Demonstration</w:t>
            </w:r>
          </w:p>
        </w:tc>
      </w:tr>
    </w:tbl>
    <w:p>
      <w:pPr>
        <w:spacing w:after="0" w:line="20" w:lineRule="exact"/>
      </w:pPr>
      <w:r>
        <w:rPr>
          <w:sz w:val="2"/>
          <w:szCs w:val="2"/>
        </w:rPr>
        <w:t xml:space="preserve"/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5F8F5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Demonstration SOP.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 A real deployment would be confirmed against the firm's quality system and professional-indemnity arrangements. This is a practitioner-level operating control, not legal or professional advice.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1. Purpose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To help a qualified engineer produce technical reports faster and more consistently by using AI for structure, drafting and formatting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around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finished, human-owned technical content, while guaranteeing that AI never performs, checks, verifies or certifies any engineering work. AI drafts the words. A qualified, registered engineer owns and signs every technical statement.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2. Scope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Applies to engineers drafting technical reports with AI assistance. It does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authorise AI to perform or check any calculation, verify a design against a code or standard, or certify anything. Engineering design, calculation, verification and certification are out of scope and out of bounds for AI, always.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3. The assurance line (read before anything else)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5F8F5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The AI helps with structure, clarity, formatting and consistency. A qualified, registered engineer performs, checks, owns and signs every technical statement, number and conclusion. The AI never performs a calculation, never checks a calculation, never verifies a design against a code or standard, and never certifies anything.</w:t>
            </w:r>
          </w:p>
        </w:tc>
      </w:tr>
    </w:tbl>
    <w:p>
      <w:pPr>
        <w:spacing w:after="160"/>
      </w:pP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If following this SOP would ever put AI in the position of producing or checking technical content, stop and do that part the normal way, without AI.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4. Roles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721"/>
        <w:gridCol w:w="6349"/>
      </w:tblGrid>
      <w:tr>
        <w:trPr>
          <w:tblHeader/>
        </w:trPr>
        <w:tc>
          <w:tcPr>
            <w:tcW w:type="dxa" w:w="2721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Role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Responsibility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Owning engineer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Does and owns all technical work; confirms every technical statement; signs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Discipline lead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Independent technical review, unchanged by the presence of AI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Engineering-Delivery AI Champion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Maintains the Claude Project, prompts and glossary; watches the assurance line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Technical Director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Owns this SOP and the firm quality standard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5. Prerequisites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Access to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F1B2A"/>
          <w:sz w:val="19"/>
          <w:szCs w:val="19"/>
        </w:rPr>
        <w:t xml:space="preserve">Vertex, Technical Report Drafting and QA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Claude Project (approved Claude Team tool).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firm report template and the completed, human-owned technical content for the report.</w:t>
      </w:r>
    </w:p>
    <w:p>
      <w:pPr>
        <w:spacing w:after="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6. Procedure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1, Do the technical work (human, no AI).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Complete the calculations, design and findings using the firm's normal process. AI is not involved.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2, Prepare inputs.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Gather the fixed, human-owned technical content and the report template. The technical content is what it is; it will not be changed by the AI.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3, Draft the surround.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Run prompt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T1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. The AI drafts structure, executive-summary wording that restates (never reinterprets) your conclusions, plain-language explanation, and formatting to template. It reproduces your technical content exactly.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4, QA-assist pass.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Run prompt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T2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. This is a readability-and-consistency checklist that states its own scope: it does not assess technical correctness or code compliance. Resolve the wording issues it flags.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5, Engineer confirmation (the gate).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Confirm: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every number, finding and conclusion is yours and unchanged;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AI has not implied any technical judgement, and no "meets / complies / verified / certified" language has crept in;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each AI suggestion is accepted or rejected by you.</w:t>
      </w:r>
    </w:p>
    <w:p>
      <w:pPr>
        <w:spacing w:after="60"/>
      </w:pP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6, Discipline-lead review.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The firm's existing technical review, now able to focus cleanly on correctness because structure and clarity are already handled.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Step 7, Issue.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You sign. The report is yours, exactly as it would be without AI, produced faster.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7. The human-review gate (must not be skipped)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No report is issued without Step 5. The AI never owns a technical statement. If the tool is unavailable, draft to the same template manually; the assurance line does not change.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8. Data handling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Approved Claude Team tool only. All report content stays in the enterprise instance. Do not load live calculation or design files "for the AI to use"; technical content enters only as fixed, human-owned input inside the specified prompt. Keep a short provenance note that AI assisted with structure and language only.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9. Exceptions and escalation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AI implies a technical judgement or adds compliance language → remove it; report to the AI Champion so the prompt can be tightened; log with the governance forum.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Drafting well would need a technical decision → insert [ENGINEER TO CONFIRM] and resolve it yourself; never let the AI guess.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Any doubt about the assurance line → the engineer's judgement and the bright line prevail, every time.</w:t>
      </w:r>
    </w:p>
    <w:p>
      <w:pPr>
        <w:spacing w:after="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10. Records and version control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748"/>
        <w:gridCol w:w="2107"/>
        <w:gridCol w:w="2107"/>
        <w:gridCol w:w="2107"/>
      </w:tblGrid>
      <w:tr>
        <w:trPr>
          <w:tblHeader/>
        </w:trPr>
        <w:tc>
          <w:tcPr>
            <w:tcW w:type="dxa" w:w="2748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Version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Date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Change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Author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1.0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2026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Initial SOP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QuantAI (portfolio)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247" w:right="1417" w:bottom="1133" w:left="1417" w:header="680" w:footer="623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7EBEF" w:sz="4"/>
      </w:pBdr>
      <w:spacing w:after="100"/>
    </w:pPr>
  </w:p>
  <w:p>
    <w:pPr>
      <w:spacing w:after="0" w:line="300" w:lineRule="atLeast"/>
    </w:pPr>
    <w:r>
      <w:drawing>
        <wp:inline distT="0" distB="0" distL="0" distR="0">
          <wp:extent cx="123825" cy="123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   QuantAI  ·  Confidential</w:t>
    </w:r>
    <w:r>
      <w:ptab w:alignment="right" w:relativeTo="margin" w:leader="none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Page </w:t>
    </w:r>
    <w:r>
      <w:rPr>
        <w:rFonts w:ascii="Calibri" w:cs="Calibri" w:eastAsia="Calibri" w:hAnsi="Calibri"/>
        <w:color w:val="7A88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 of </w:t>
    </w:r>
    <w:r>
      <w:rPr>
        <w:rFonts w:ascii="Calibri" w:cs="Calibri" w:eastAsia="Calibri" w:hAnsi="Calibri"/>
        <w:color w:val="7A88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/>
        <w:color w:val="7A8899"/>
        <w:spacing w:val="20"/>
        <w:sz w:val="15"/>
        <w:szCs w:val="15"/>
      </w:rPr>
      <w:t xml:space="preserve">QuantAI · SOP: AI-assisted technical report drafting and QA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40" w:hanging="220"/>
      </w:pPr>
      <w:rPr>
        <w:rFonts w:ascii="Calibri" w:cs="Calibri" w:eastAsia="Calibri" w:hAnsi="Calibri"/>
        <w:color w:val="1465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Calibri" w:cs="Calibri" w:eastAsia="Calibri" w:hAnsi="Calibri"/>
        <w:b/>
        <w:bCs/>
        <w:color w:val="1465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536B"/>
        <w:sz w:val="21"/>
        <w:szCs w:val="21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0F1B2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0F1B2A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F1B2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063891a95e34455f6c12621055a25d1a4404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55104f0c9ba081919c81f924f81c6f51e29e013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QuantAI · SOP: AI-assisted technical report drafting and QA</dc:title>
  <dc:creator>QuantAI</dc:creator>
  <dc:description>QuantAI document</dc:description>
  <cp:lastModifiedBy>Un-named</cp:lastModifiedBy>
  <cp:revision>1</cp:revision>
  <dcterms:created xsi:type="dcterms:W3CDTF">2026-08-01T01:11:39.532Z</dcterms:created>
  <dcterms:modified xsi:type="dcterms:W3CDTF">2026-08-01T01:11:39.532Z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