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5"/>
        <w:tblBorders>
          <w:top w:val="none" w:color="auto" w:sz="0"/>
          <w:left w:val="none" w:color="auto" w:sz="0"/>
          <w:bottom w:val="none" w:color="auto" w:sz="0"/>
          <w:right w:val="none" w:color="auto" w:sz="0"/>
          <w:insideH w:val="single" w:color="auto" w:sz="4"/>
          <w:insideV w:val="single" w:color="auto" w:sz="4"/>
        </w:tblBorders>
      </w:tblPr>
      <w:tblGrid>
        <w:gridCol w:w="11905"/>
      </w:tblGrid>
      <w:tr>
        <w:trPr>
          <w:trHeight w:val="16611" w:hRule="atLeast"/>
        </w:trPr>
        <w:tc>
          <w:tcPr>
            <w:tcW w:type="dxa" w:w="11905"/>
            <w:tcBorders>
              <w:top w:val="none" w:color="auto" w:sz="0"/>
              <w:left w:val="none" w:color="auto" w:sz="0"/>
              <w:bottom w:val="none" w:color="auto" w:sz="0"/>
              <w:right w:val="none" w:color="auto" w:sz="0"/>
            </w:tcBorders>
            <w:shd w:fill="0F1B2A" w:color="auto" w:val="clear"/>
            <w:tcMar>
              <w:top w:type="dxa" w:w="2607"/>
              <w:left w:type="dxa" w:w="1417"/>
              <w:bottom w:type="dxa" w:w="1360"/>
              <w:right w:type="dxa" w:w="1417"/>
            </w:tcMar>
            <w:vAlign w:val="top"/>
          </w:tcPr>
          <w:p>
            <w:pPr>
              <w:spacing w:after="900" w:line="620" w:lineRule="atLeast"/>
            </w:pPr>
            <w:r>
              <w:drawing>
                <wp:inline distT="0" distB="0" distL="0" distR="0">
                  <wp:extent cx="15049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04950" cy="257175"/>
                          </a:xfrm>
                          <a:prstGeom prst="rect">
                            <a:avLst/>
                          </a:prstGeom>
                        </pic:spPr>
                      </pic:pic>
                    </a:graphicData>
                  </a:graphic>
                </wp:inline>
              </w:drawing>
            </w:r>
          </w:p>
          <w:p>
            <w:pPr>
              <w:spacing w:after="180" w:before="0" w:line="300"/>
            </w:pPr>
            <w:r>
              <w:rPr>
                <w:rFonts w:ascii="Calibri" w:cs="Calibri" w:eastAsia="Calibri" w:hAnsi="Calibri"/>
                <w:b/>
                <w:bCs/>
                <w:i w:val="false"/>
                <w:iCs w:val="false"/>
                <w:caps/>
                <w:color w:val="8FA6B8"/>
                <w:spacing w:val="32"/>
                <w:sz w:val="16"/>
                <w:szCs w:val="16"/>
              </w:rPr>
              <w:t xml:space="preserve">Standard operating procedure</w:t>
            </w:r>
          </w:p>
          <w:p>
            <w:pPr>
              <w:spacing w:after="200" w:before="0" w:line="600"/>
            </w:pPr>
            <w:r>
              <w:rPr>
                <w:rFonts w:ascii="Cambria" w:cs="Cambria" w:eastAsia="Cambria" w:hAnsi="Cambria"/>
                <w:b/>
                <w:bCs/>
                <w:i w:val="false"/>
                <w:iCs w:val="false"/>
                <w:caps w:val="false"/>
                <w:color w:val="FFFFFF"/>
                <w:sz w:val="54"/>
                <w:szCs w:val="54"/>
              </w:rPr>
              <w:t xml:space="preserve">AI tool selection and approved use</w:t>
            </w:r>
          </w:p>
          <w:p>
            <w:pPr>
              <w:spacing w:after="820" w:before="0" w:line="340"/>
            </w:pPr>
            <w:r>
              <w:rPr>
                <w:rFonts w:ascii="Calibri" w:cs="Calibri" w:eastAsia="Calibri" w:hAnsi="Calibri"/>
                <w:b w:val="false"/>
                <w:bCs w:val="false"/>
                <w:i w:val="false"/>
                <w:iCs w:val="false"/>
                <w:caps w:val="false"/>
                <w:color w:val="B9C4D0"/>
                <w:sz w:val="22"/>
                <w:szCs w:val="22"/>
              </w:rPr>
              <w:t xml:space="preserve">Which of the firm's three AI platforms to use for which task, and the confidentiality rules that override tool choice.</w:t>
            </w:r>
          </w:p>
          <w:p>
            <w:pPr>
              <w:pBdr>
                <w:bottom w:val="single" w:color="A9803E" w:sz="8"/>
              </w:pBdr>
              <w:spacing w:after="240"/>
            </w:pPr>
          </w:p>
          <w:p>
            <w:pPr>
              <w:spacing w:after="90" w:line="280"/>
            </w:pPr>
            <w:r>
              <w:rPr>
                <w:rFonts w:ascii="Consolas" w:cs="Consolas" w:eastAsia="Consolas" w:hAnsi="Consolas"/>
                <w:b w:val="false"/>
                <w:bCs w:val="false"/>
                <w:i w:val="false"/>
                <w:iCs w:val="false"/>
                <w:caps/>
                <w:color w:val="8FA6B8"/>
                <w:spacing w:val="20"/>
                <w:sz w:val="15"/>
                <w:szCs w:val="15"/>
              </w:rPr>
              <w:t xml:space="preserve">Prepared for        </w:t>
            </w:r>
            <w:r>
              <w:rPr>
                <w:rFonts w:ascii="Calibri" w:cs="Calibri" w:eastAsia="Calibri" w:hAnsi="Calibri"/>
                <w:b w:val="false"/>
                <w:bCs w:val="false"/>
                <w:i w:val="false"/>
                <w:iCs w:val="false"/>
                <w:caps w:val="false"/>
                <w:color w:val="FFFFFF"/>
                <w:sz w:val="19"/>
                <w:szCs w:val="19"/>
              </w:rPr>
              <w:t xml:space="preserve">Vertex Engineering</w:t>
            </w:r>
          </w:p>
          <w:p>
            <w:pPr>
              <w:spacing w:after="90" w:line="280"/>
            </w:pPr>
            <w:r>
              <w:rPr>
                <w:rFonts w:ascii="Consolas" w:cs="Consolas" w:eastAsia="Consolas" w:hAnsi="Consolas"/>
                <w:b w:val="false"/>
                <w:bCs w:val="false"/>
                <w:i w:val="false"/>
                <w:iCs w:val="false"/>
                <w:caps/>
                <w:color w:val="8FA6B8"/>
                <w:spacing w:val="20"/>
                <w:sz w:val="15"/>
                <w:szCs w:val="15"/>
              </w:rPr>
              <w:t xml:space="preserve">Prepared by         </w:t>
            </w:r>
            <w:r>
              <w:rPr>
                <w:rFonts w:ascii="Calibri" w:cs="Calibri" w:eastAsia="Calibri" w:hAnsi="Calibri"/>
                <w:b w:val="false"/>
                <w:bCs w:val="false"/>
                <w:i w:val="false"/>
                <w:iCs w:val="false"/>
                <w:caps w:val="false"/>
                <w:color w:val="FFFFFF"/>
                <w:sz w:val="19"/>
                <w:szCs w:val="19"/>
              </w:rPr>
              <w:t xml:space="preserve">QuantAI</w:t>
            </w:r>
          </w:p>
          <w:p>
            <w:pPr>
              <w:spacing w:after="90" w:line="280"/>
            </w:pPr>
            <w:r>
              <w:rPr>
                <w:rFonts w:ascii="Consolas" w:cs="Consolas" w:eastAsia="Consolas" w:hAnsi="Consolas"/>
                <w:b w:val="false"/>
                <w:bCs w:val="false"/>
                <w:i w:val="false"/>
                <w:iCs w:val="false"/>
                <w:caps/>
                <w:color w:val="8FA6B8"/>
                <w:spacing w:val="20"/>
                <w:sz w:val="15"/>
                <w:szCs w:val="15"/>
              </w:rPr>
              <w:t xml:space="preserve">Owner               </w:t>
            </w:r>
            <w:r>
              <w:rPr>
                <w:rFonts w:ascii="Calibri" w:cs="Calibri" w:eastAsia="Calibri" w:hAnsi="Calibri"/>
                <w:b w:val="false"/>
                <w:bCs w:val="false"/>
                <w:i w:val="false"/>
                <w:iCs w:val="false"/>
                <w:caps w:val="false"/>
                <w:color w:val="FFFFFF"/>
                <w:sz w:val="19"/>
                <w:szCs w:val="19"/>
              </w:rPr>
              <w:t xml:space="preserve">AI Governance Forum</w:t>
            </w:r>
          </w:p>
          <w:p>
            <w:pPr>
              <w:spacing w:after="90" w:line="280"/>
            </w:pPr>
            <w:r>
              <w:rPr>
                <w:rFonts w:ascii="Consolas" w:cs="Consolas" w:eastAsia="Consolas" w:hAnsi="Consolas"/>
                <w:b w:val="false"/>
                <w:bCs w:val="false"/>
                <w:i w:val="false"/>
                <w:iCs w:val="false"/>
                <w:caps/>
                <w:color w:val="8FA6B8"/>
                <w:spacing w:val="20"/>
                <w:sz w:val="15"/>
                <w:szCs w:val="15"/>
              </w:rPr>
              <w:t xml:space="preserve">Version             </w:t>
            </w:r>
            <w:r>
              <w:rPr>
                <w:rFonts w:ascii="Calibri" w:cs="Calibri" w:eastAsia="Calibri" w:hAnsi="Calibri"/>
                <w:b w:val="false"/>
                <w:bCs w:val="false"/>
                <w:i w:val="false"/>
                <w:iCs w:val="false"/>
                <w:caps w:val="false"/>
                <w:color w:val="FFFFFF"/>
                <w:sz w:val="19"/>
                <w:szCs w:val="19"/>
              </w:rPr>
              <w:t xml:space="preserve">1.0</w:t>
            </w:r>
          </w:p>
          <w:p>
            <w:pPr>
              <w:spacing w:after="90" w:line="280"/>
            </w:pPr>
            <w:r>
              <w:rPr>
                <w:rFonts w:ascii="Consolas" w:cs="Consolas" w:eastAsia="Consolas" w:hAnsi="Consolas"/>
                <w:b w:val="false"/>
                <w:bCs w:val="false"/>
                <w:i w:val="false"/>
                <w:iCs w:val="false"/>
                <w:caps/>
                <w:color w:val="8FA6B8"/>
                <w:spacing w:val="20"/>
                <w:sz w:val="15"/>
                <w:szCs w:val="15"/>
              </w:rPr>
              <w:t xml:space="preserve">Status              </w:t>
            </w:r>
            <w:r>
              <w:rPr>
                <w:rFonts w:ascii="Calibri" w:cs="Calibri" w:eastAsia="Calibri" w:hAnsi="Calibri"/>
                <w:b w:val="false"/>
                <w:bCs w:val="false"/>
                <w:i w:val="false"/>
                <w:iCs w:val="false"/>
                <w:caps w:val="false"/>
                <w:color w:val="FFFFFF"/>
                <w:sz w:val="19"/>
                <w:szCs w:val="19"/>
              </w:rPr>
              <w:t xml:space="preserve">Demonstration</w:t>
            </w:r>
          </w:p>
        </w:tc>
      </w:tr>
    </w:tbl>
    <w:p>
      <w:pPr>
        <w:spacing w:after="0" w:line="20" w:lineRule="exact"/>
      </w:pPr>
      <w:r>
        <w:rPr>
          <w:sz w:val="2"/>
          <w:szCs w:val="2"/>
        </w:rPr>
        <w:t xml:space="preserve"/>
      </w:r>
    </w:p>
    <w:p>
      <w:pPr>
        <w:sectPr>
          <w:pgSz w:w="11906" w:h="16838" w:orient="portrait"/>
          <w:pgMar w:top="0" w:right="0" w:bottom="0" w:left="0" w:header="0" w:footer="0" w:gutter="0"/>
          <w:pgNumType/>
          <w:docGrid w:linePitch="360"/>
        </w:sectPr>
      </w:pP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9070"/>
      </w:tblGrid>
      <w:tr>
        <w:tc>
          <w:tcPr>
            <w:tcW w:type="dxa" w:w="9070"/>
            <w:tcBorders>
              <w:top w:val="none" w:color="auto" w:sz="0"/>
              <w:left w:val="none" w:color="auto" w:sz="0"/>
              <w:bottom w:val="none" w:color="auto" w:sz="0"/>
              <w:right w:val="none" w:color="auto" w:sz="0"/>
            </w:tcBorders>
            <w:shd w:fill="E5F8F5" w:color="auto" w:val="clear"/>
            <w:tcMar>
              <w:top w:type="dxa" w:w="300"/>
              <w:left w:type="dxa" w:w="400"/>
              <w:bottom w:type="dxa" w:w="300"/>
              <w:right w:type="dxa" w:w="400"/>
            </w:tcMar>
          </w:tcPr>
          <w:p>
            <w:pPr>
              <w:spacing w:after="0" w:before="0" w:line="320"/>
            </w:pPr>
            <w:r>
              <w:rPr>
                <w:rFonts w:ascii="Calibri" w:cs="Calibri" w:eastAsia="Calibri" w:hAnsi="Calibri"/>
                <w:b/>
                <w:bCs/>
                <w:i w:val="false"/>
                <w:iCs w:val="false"/>
                <w:caps w:val="false"/>
                <w:color w:val="0F1B2A"/>
                <w:sz w:val="20"/>
                <w:szCs w:val="20"/>
              </w:rPr>
              <w:t xml:space="preserve">Demonstration SOP.</w:t>
            </w:r>
            <w:r>
              <w:rPr>
                <w:rFonts w:ascii="Calibri" w:cs="Calibri" w:eastAsia="Calibri" w:hAnsi="Calibri"/>
                <w:b w:val="false"/>
                <w:bCs w:val="false"/>
                <w:i w:val="false"/>
                <w:iCs w:val="false"/>
                <w:caps w:val="false"/>
                <w:color w:val="0F1B2A"/>
                <w:sz w:val="20"/>
                <w:szCs w:val="20"/>
              </w:rPr>
              <w:t xml:space="preserve"> A real deployment would be confirmed against the firm's data-handling and vendor arrangements. This is a practitioner-level operating control, not legal advice.</w:t>
            </w:r>
          </w:p>
        </w:tc>
      </w:tr>
    </w:tbl>
    <w:p>
      <w:pPr>
        <w:spacing w:after="160"/>
      </w:pPr>
    </w:p>
    <w:p>
      <w:pPr>
        <w:pStyle w:val="Heading2"/>
        <w:keepNext/>
        <w:spacing w:after="130" w:before="300"/>
      </w:pPr>
      <w:r>
        <w:rPr>
          <w:rFonts w:ascii="Cambria" w:cs="Cambria" w:eastAsia="Cambria" w:hAnsi="Cambria"/>
          <w:b/>
          <w:bCs/>
          <w:i w:val="false"/>
          <w:iCs w:val="false"/>
          <w:caps w:val="false"/>
          <w:color w:val="0F1B2A"/>
          <w:sz w:val="27"/>
          <w:szCs w:val="27"/>
        </w:rPr>
        <w:t xml:space="preserve">1. Purpose</w:t>
      </w:r>
    </w:p>
    <w:p>
      <w:pPr>
        <w:spacing w:after="160" w:before="0" w:line="320"/>
      </w:pPr>
      <w:r>
        <w:rPr>
          <w:rFonts w:ascii="Calibri" w:cs="Calibri" w:eastAsia="Calibri" w:hAnsi="Calibri"/>
          <w:b w:val="false"/>
          <w:bCs w:val="false"/>
          <w:i w:val="false"/>
          <w:iCs w:val="false"/>
          <w:caps w:val="false"/>
          <w:color w:val="40536B"/>
          <w:sz w:val="21"/>
          <w:szCs w:val="21"/>
        </w:rPr>
        <w:t xml:space="preserve">To give everyone at Vertex a clear, fast rule for which of the firm's three AI platforms (Microsoft Copilot, Claude Team, ChatGPT Enterprise) to use for which task, and where each is approved, so effort is not duplicated, quality is consistent, and licence spend connects to benefit. The contracts stay; this SOP makes them a deliberate toolkit.</w:t>
      </w:r>
    </w:p>
    <w:p>
      <w:pPr>
        <w:pStyle w:val="Heading2"/>
        <w:keepNext/>
        <w:spacing w:after="130" w:before="300"/>
      </w:pPr>
      <w:r>
        <w:rPr>
          <w:rFonts w:ascii="Cambria" w:cs="Cambria" w:eastAsia="Cambria" w:hAnsi="Cambria"/>
          <w:b/>
          <w:bCs/>
          <w:i w:val="false"/>
          <w:iCs w:val="false"/>
          <w:caps w:val="false"/>
          <w:color w:val="0F1B2A"/>
          <w:sz w:val="27"/>
          <w:szCs w:val="27"/>
        </w:rPr>
        <w:t xml:space="preserve">2. Scope</w:t>
      </w:r>
    </w:p>
    <w:p>
      <w:pPr>
        <w:spacing w:after="160" w:before="0" w:line="320"/>
      </w:pPr>
      <w:r>
        <w:rPr>
          <w:rFonts w:ascii="Calibri" w:cs="Calibri" w:eastAsia="Calibri" w:hAnsi="Calibri"/>
          <w:b w:val="false"/>
          <w:bCs w:val="false"/>
          <w:i w:val="false"/>
          <w:iCs w:val="false"/>
          <w:caps w:val="false"/>
          <w:color w:val="40536B"/>
          <w:sz w:val="21"/>
          <w:szCs w:val="21"/>
        </w:rPr>
        <w:t xml:space="preserve">Applies to all staff using AI for firm or client work. It governs tool choice and data handling. It does not relax the bright line: AI never performs, checks or certifies engineering work (see the technical-report SOP and the governance framework).</w:t>
      </w:r>
    </w:p>
    <w:p>
      <w:pPr>
        <w:pStyle w:val="Heading2"/>
        <w:keepNext/>
        <w:spacing w:after="130" w:before="300"/>
      </w:pPr>
      <w:r>
        <w:rPr>
          <w:rFonts w:ascii="Cambria" w:cs="Cambria" w:eastAsia="Cambria" w:hAnsi="Cambria"/>
          <w:b/>
          <w:bCs/>
          <w:i w:val="false"/>
          <w:iCs w:val="false"/>
          <w:caps w:val="false"/>
          <w:color w:val="0F1B2A"/>
          <w:sz w:val="27"/>
          <w:szCs w:val="27"/>
        </w:rPr>
        <w:t xml:space="preserve">3. The rule of thumb</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9070"/>
      </w:tblGrid>
      <w:tr>
        <w:tc>
          <w:tcPr>
            <w:tcW w:type="dxa" w:w="9070"/>
            <w:tcBorders>
              <w:top w:val="none" w:color="auto" w:sz="0"/>
              <w:left w:val="none" w:color="auto" w:sz="0"/>
              <w:bottom w:val="none" w:color="auto" w:sz="0"/>
              <w:right w:val="none" w:color="auto" w:sz="0"/>
            </w:tcBorders>
            <w:shd w:fill="E5F8F5" w:color="auto" w:val="clear"/>
            <w:tcMar>
              <w:top w:type="dxa" w:w="300"/>
              <w:left w:type="dxa" w:w="400"/>
              <w:bottom w:type="dxa" w:w="300"/>
              <w:right w:type="dxa" w:w="400"/>
            </w:tcMar>
          </w:tcPr>
          <w:p>
            <w:pPr>
              <w:spacing w:after="0" w:before="0" w:line="320"/>
            </w:pPr>
            <w:r>
              <w:rPr>
                <w:rFonts w:ascii="Calibri" w:cs="Calibri" w:eastAsia="Calibri" w:hAnsi="Calibri"/>
                <w:b w:val="false"/>
                <w:bCs w:val="false"/>
                <w:i w:val="false"/>
                <w:iCs w:val="false"/>
                <w:caps w:val="false"/>
                <w:color w:val="0F1B2A"/>
                <w:sz w:val="20"/>
                <w:szCs w:val="20"/>
              </w:rPr>
              <w:t xml:space="preserve">Copilot for work inside your Microsoft files and inbox. Claude for careful drafting, structure and review of long documents. ChatGPT for open-ended thinking, research framing and quick generation.</w:t>
            </w:r>
          </w:p>
        </w:tc>
      </w:tr>
    </w:tbl>
    <w:p>
      <w:pPr>
        <w:spacing w:after="160"/>
      </w:pPr>
    </w:p>
    <w:p>
      <w:pPr>
        <w:spacing w:after="160" w:before="0" w:line="320"/>
      </w:pPr>
      <w:r>
        <w:rPr>
          <w:rFonts w:ascii="Calibri" w:cs="Calibri" w:eastAsia="Calibri" w:hAnsi="Calibri"/>
          <w:b w:val="false"/>
          <w:bCs w:val="false"/>
          <w:i w:val="false"/>
          <w:iCs w:val="false"/>
          <w:caps w:val="false"/>
          <w:color w:val="40536B"/>
          <w:sz w:val="21"/>
          <w:szCs w:val="21"/>
        </w:rPr>
        <w:t xml:space="preserve">That resolves most choices. Use the decision path for the rest.</w:t>
      </w:r>
    </w:p>
    <w:p>
      <w:pPr>
        <w:pStyle w:val="Heading2"/>
        <w:keepNext/>
        <w:spacing w:after="130" w:before="300"/>
      </w:pPr>
      <w:r>
        <w:rPr>
          <w:rFonts w:ascii="Cambria" w:cs="Cambria" w:eastAsia="Cambria" w:hAnsi="Cambria"/>
          <w:b/>
          <w:bCs/>
          <w:i w:val="false"/>
          <w:iCs w:val="false"/>
          <w:caps w:val="false"/>
          <w:color w:val="0F1B2A"/>
          <w:sz w:val="27"/>
          <w:szCs w:val="27"/>
        </w:rPr>
        <w:t xml:space="preserve">4. The decision path</w:t>
      </w:r>
    </w:p>
    <w:p>
      <w:pPr>
        <w:spacing w:after="160" w:before="0" w:line="320"/>
      </w:pPr>
      <w:r>
        <w:rPr>
          <w:rFonts w:ascii="Calibri" w:cs="Calibri" w:eastAsia="Calibri" w:hAnsi="Calibri"/>
          <w:b w:val="false"/>
          <w:bCs w:val="false"/>
          <w:i w:val="false"/>
          <w:iCs w:val="false"/>
          <w:caps w:val="false"/>
          <w:color w:val="40536B"/>
          <w:sz w:val="21"/>
          <w:szCs w:val="21"/>
        </w:rPr>
        <w:t xml:space="preserve">Ask these in order; stop at the first answer.</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Confidential, client-identifying or commercially sensitive?</w:t>
      </w:r>
      <w:r>
        <w:rPr>
          <w:rFonts w:ascii="Calibri" w:cs="Calibri" w:eastAsia="Calibri" w:hAnsi="Calibri"/>
          <w:b w:val="false"/>
          <w:bCs w:val="false"/>
          <w:i w:val="false"/>
          <w:iCs w:val="false"/>
          <w:caps w:val="false"/>
          <w:color w:val="40536B"/>
          <w:sz w:val="21"/>
          <w:szCs w:val="21"/>
        </w:rPr>
        <w:t xml:space="preserve"> Approved enterprise tier only (Copilot in-tenant, ChatGPT Enterprise, or Claude Team), never a personal or free account. Then continue to choose which.</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Does the task work on your Microsoft content</w:t>
      </w:r>
      <w:r>
        <w:rPr>
          <w:rFonts w:ascii="Calibri" w:cs="Calibri" w:eastAsia="Calibri" w:hAnsi="Calibri"/>
          <w:b w:val="false"/>
          <w:bCs w:val="false"/>
          <w:i w:val="false"/>
          <w:iCs w:val="false"/>
          <w:caps w:val="false"/>
          <w:color w:val="40536B"/>
          <w:sz w:val="21"/>
          <w:szCs w:val="21"/>
        </w:rPr>
        <w:t xml:space="preserve"> (email, Teams, Word, Excel, a meeting you attended)? Use </w:t>
      </w:r>
      <w:r>
        <w:rPr>
          <w:rFonts w:ascii="Calibri" w:cs="Calibri" w:eastAsia="Calibri" w:hAnsi="Calibri"/>
          <w:b/>
          <w:bCs/>
          <w:i w:val="false"/>
          <w:iCs w:val="false"/>
          <w:caps w:val="false"/>
          <w:color w:val="0F1B2A"/>
          <w:sz w:val="21"/>
          <w:szCs w:val="21"/>
        </w:rPr>
        <w:t xml:space="preserve">Copilot</w:t>
      </w:r>
      <w:r>
        <w:rPr>
          <w:rFonts w:ascii="Calibri" w:cs="Calibri" w:eastAsia="Calibri" w:hAnsi="Calibri"/>
          <w:b w:val="false"/>
          <w:bCs w:val="false"/>
          <w:i w:val="false"/>
          <w:iCs w:val="false"/>
          <w:caps w:val="false"/>
          <w:color w:val="40536B"/>
          <w:sz w:val="21"/>
          <w:szCs w:val="21"/>
        </w:rPr>
        <w:t xml:space="preserve">; it has the context and stays in-tenant.</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A long or high-stakes document</w:t>
      </w:r>
      <w:r>
        <w:rPr>
          <w:rFonts w:ascii="Calibri" w:cs="Calibri" w:eastAsia="Calibri" w:hAnsi="Calibri"/>
          <w:b w:val="false"/>
          <w:bCs w:val="false"/>
          <w:i w:val="false"/>
          <w:iCs w:val="false"/>
          <w:caps w:val="false"/>
          <w:color w:val="40536B"/>
          <w:sz w:val="21"/>
          <w:szCs w:val="21"/>
        </w:rPr>
        <w:t xml:space="preserve"> needing careful structure and review? Use </w:t>
      </w:r>
      <w:r>
        <w:rPr>
          <w:rFonts w:ascii="Calibri" w:cs="Calibri" w:eastAsia="Calibri" w:hAnsi="Calibri"/>
          <w:b/>
          <w:bCs/>
          <w:i w:val="false"/>
          <w:iCs w:val="false"/>
          <w:caps w:val="false"/>
          <w:color w:val="0F1B2A"/>
          <w:sz w:val="21"/>
          <w:szCs w:val="21"/>
        </w:rPr>
        <w:t xml:space="preserve">Claude</w:t>
      </w:r>
      <w:r>
        <w:rPr>
          <w:rFonts w:ascii="Calibri" w:cs="Calibri" w:eastAsia="Calibri" w:hAnsi="Calibri"/>
          <w:b w:val="false"/>
          <w:bCs w:val="false"/>
          <w:i w:val="false"/>
          <w:iCs w:val="false"/>
          <w:caps w:val="false"/>
          <w:color w:val="40536B"/>
          <w:sz w:val="21"/>
          <w:szCs w:val="21"/>
        </w:rPr>
        <w:t xml:space="preserve">.</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Open-ended</w:t>
      </w:r>
      <w:r>
        <w:rPr>
          <w:rFonts w:ascii="Calibri" w:cs="Calibri" w:eastAsia="Calibri" w:hAnsi="Calibri"/>
          <w:b w:val="false"/>
          <w:bCs w:val="false"/>
          <w:i w:val="false"/>
          <w:iCs w:val="false"/>
          <w:caps w:val="false"/>
          <w:color w:val="40536B"/>
          <w:sz w:val="21"/>
          <w:szCs w:val="21"/>
        </w:rPr>
        <w:t xml:space="preserve"> (brainstorming, research framing, quick generation)? Use </w:t>
      </w:r>
      <w:r>
        <w:rPr>
          <w:rFonts w:ascii="Calibri" w:cs="Calibri" w:eastAsia="Calibri" w:hAnsi="Calibri"/>
          <w:b/>
          <w:bCs/>
          <w:i w:val="false"/>
          <w:iCs w:val="false"/>
          <w:caps w:val="false"/>
          <w:color w:val="0F1B2A"/>
          <w:sz w:val="21"/>
          <w:szCs w:val="21"/>
        </w:rPr>
        <w:t xml:space="preserve">ChatGPT</w:t>
      </w:r>
      <w:r>
        <w:rPr>
          <w:rFonts w:ascii="Calibri" w:cs="Calibri" w:eastAsia="Calibri" w:hAnsi="Calibri"/>
          <w:b w:val="false"/>
          <w:bCs w:val="false"/>
          <w:i w:val="false"/>
          <w:iCs w:val="false"/>
          <w:caps w:val="false"/>
          <w:color w:val="40536B"/>
          <w:sz w:val="21"/>
          <w:szCs w:val="21"/>
        </w:rPr>
        <w:t xml:space="preserve">. Still unsure: default to the rule of thumb or ask an AI Champion.</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5. Approved-use quick reference</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2721"/>
        <w:gridCol w:w="6349"/>
      </w:tblGrid>
      <w:tr>
        <w:trPr>
          <w:tblHeader/>
        </w:trPr>
        <w:tc>
          <w:tcPr>
            <w:tcW w:type="dxa" w:w="2721"/>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Task</w:t>
            </w:r>
          </w:p>
        </w:tc>
        <w:tc>
          <w:tcPr>
            <w:tcW w:type="dxa" w:w="6349"/>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Start with</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Summarise a Teams meeting you attended</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Copilot</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Draft a reply inside Outlook</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Copilot</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Turn an Excel export into a status narrative</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Copilot</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Draft a long technical report section (around fixed, human-owned content)</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Claude</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QA a draft for structure, clarity, consistency</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Claude</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Draft a proposal from a structured bid brief</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Claude</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Brainstorm approaches; research framing</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ChatGPT</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Rewrite to firm tone or shorter length</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Claude</w:t>
            </w:r>
          </w:p>
        </w:tc>
      </w:tr>
      <w:tr>
        <w:tc>
          <w:tcPr>
            <w:tcW w:type="dxa" w:w="2721"/>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Anything touching engineering design, calculation, verification or certification</w:t>
            </w:r>
          </w:p>
        </w:tc>
        <w:tc>
          <w:tcPr>
            <w:tcW w:type="dxa" w:w="6349"/>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None. Out of bounds for every tool.</w:t>
            </w:r>
          </w:p>
        </w:tc>
      </w:tr>
    </w:tbl>
    <w:p>
      <w:pPr>
        <w:spacing w:after="160"/>
      </w:pPr>
    </w:p>
    <w:p>
      <w:pPr>
        <w:pStyle w:val="Heading2"/>
        <w:keepNext/>
        <w:spacing w:after="130" w:before="300"/>
      </w:pPr>
      <w:r>
        <w:rPr>
          <w:rFonts w:ascii="Cambria" w:cs="Cambria" w:eastAsia="Cambria" w:hAnsi="Cambria"/>
          <w:b/>
          <w:bCs/>
          <w:i w:val="false"/>
          <w:iCs w:val="false"/>
          <w:caps w:val="false"/>
          <w:color w:val="0F1B2A"/>
          <w:sz w:val="27"/>
          <w:szCs w:val="27"/>
        </w:rPr>
        <w:t xml:space="preserve">6. The confidentiality rules that override tool choice</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Enterprise tier only for anything real.</w:t>
      </w:r>
      <w:r>
        <w:rPr>
          <w:rFonts w:ascii="Calibri" w:cs="Calibri" w:eastAsia="Calibri" w:hAnsi="Calibri"/>
          <w:b w:val="false"/>
          <w:bCs w:val="false"/>
          <w:i w:val="false"/>
          <w:iCs w:val="false"/>
          <w:caps w:val="false"/>
          <w:color w:val="40536B"/>
          <w:sz w:val="21"/>
          <w:szCs w:val="21"/>
        </w:rPr>
        <w:t xml:space="preserve"> Client names, project detail, commercial terms, personal information and any internal document go only into approved enterprise instances. Never personal or free accounts.</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Least exposure.</w:t>
      </w:r>
      <w:r>
        <w:rPr>
          <w:rFonts w:ascii="Calibri" w:cs="Calibri" w:eastAsia="Calibri" w:hAnsi="Calibri"/>
          <w:b w:val="false"/>
          <w:bCs w:val="false"/>
          <w:i w:val="false"/>
          <w:iCs w:val="false"/>
          <w:caps w:val="false"/>
          <w:color w:val="40536B"/>
          <w:sz w:val="21"/>
          <w:szCs w:val="21"/>
        </w:rPr>
        <w:t xml:space="preserve"> If a task can be done without pasting client-identifying detail, do it that way.</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When in doubt, up a level.</w:t>
      </w:r>
      <w:r>
        <w:rPr>
          <w:rFonts w:ascii="Calibri" w:cs="Calibri" w:eastAsia="Calibri" w:hAnsi="Calibri"/>
          <w:b w:val="false"/>
          <w:bCs w:val="false"/>
          <w:i w:val="false"/>
          <w:iCs w:val="false"/>
          <w:caps w:val="false"/>
          <w:color w:val="40536B"/>
          <w:sz w:val="21"/>
          <w:szCs w:val="21"/>
        </w:rPr>
        <w:t xml:space="preserve"> Treat unsure material as sensitive and check with an AI Champion or the forum.</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7. Roles</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2721"/>
        <w:gridCol w:w="6349"/>
      </w:tblGrid>
      <w:tr>
        <w:trPr>
          <w:tblHeader/>
        </w:trPr>
        <w:tc>
          <w:tcPr>
            <w:tcW w:type="dxa" w:w="2721"/>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Role</w:t>
            </w:r>
          </w:p>
        </w:tc>
        <w:tc>
          <w:tcPr>
            <w:tcW w:type="dxa" w:w="6349"/>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Responsibility</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All staff</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Follow the decision path and the confidentiality rules; own every output</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AI Champions</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Answer day-to-day "which tool, is this okay"; feed real examples back</w:t>
            </w:r>
          </w:p>
        </w:tc>
      </w:tr>
      <w:tr>
        <w:tc>
          <w:tcPr>
            <w:tcW w:type="dxa" w:w="2721"/>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AI Governance Forum</w:t>
            </w:r>
          </w:p>
        </w:tc>
        <w:tc>
          <w:tcPr>
            <w:tcW w:type="dxa" w:w="6349"/>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Owns this SOP and the approved-use matrix; reviews quarterly</w:t>
            </w:r>
          </w:p>
        </w:tc>
      </w:tr>
    </w:tbl>
    <w:p>
      <w:pPr>
        <w:spacing w:after="160"/>
      </w:pPr>
    </w:p>
    <w:p>
      <w:pPr>
        <w:pStyle w:val="Heading2"/>
        <w:keepNext/>
        <w:spacing w:after="130" w:before="300"/>
      </w:pPr>
      <w:r>
        <w:rPr>
          <w:rFonts w:ascii="Cambria" w:cs="Cambria" w:eastAsia="Cambria" w:hAnsi="Cambria"/>
          <w:b/>
          <w:bCs/>
          <w:i w:val="false"/>
          <w:iCs w:val="false"/>
          <w:caps w:val="false"/>
          <w:color w:val="0F1B2A"/>
          <w:sz w:val="27"/>
          <w:szCs w:val="27"/>
        </w:rPr>
        <w:t xml:space="preserve">8. Exceptions and escalation</w:t>
      </w:r>
    </w:p>
    <w:p>
      <w:pPr>
        <w:pStyle w:val="ListParagraph"/>
        <w:numPr>
          <w:ilvl w:val="0"/>
          <w:numId w:val="3"/>
        </w:numPr>
        <w:spacing w:after="90" w:line="290"/>
      </w:pPr>
      <w:r>
        <w:rPr>
          <w:rFonts w:ascii="Calibri" w:cs="Calibri" w:eastAsia="Calibri" w:hAnsi="Calibri"/>
          <w:b w:val="false"/>
          <w:bCs w:val="false"/>
          <w:i w:val="false"/>
          <w:iCs w:val="false"/>
          <w:caps w:val="false"/>
          <w:color w:val="40536B"/>
          <w:sz w:val="21"/>
          <w:szCs w:val="21"/>
        </w:rPr>
        <w:t xml:space="preserve">Unsure whether something is confidential → treat as sensitive; ask a Champion.</w:t>
      </w:r>
    </w:p>
    <w:p>
      <w:pPr>
        <w:pStyle w:val="ListParagraph"/>
        <w:numPr>
          <w:ilvl w:val="0"/>
          <w:numId w:val="3"/>
        </w:numPr>
        <w:spacing w:after="90" w:line="290"/>
      </w:pPr>
      <w:r>
        <w:rPr>
          <w:rFonts w:ascii="Calibri" w:cs="Calibri" w:eastAsia="Calibri" w:hAnsi="Calibri"/>
          <w:b w:val="false"/>
          <w:bCs w:val="false"/>
          <w:i w:val="false"/>
          <w:iCs w:val="false"/>
          <w:caps w:val="false"/>
          <w:color w:val="40536B"/>
          <w:sz w:val="21"/>
          <w:szCs w:val="21"/>
        </w:rPr>
        <w:t xml:space="preserve">A platform ships a material change → the forum reviews the matrix out of cycle.</w:t>
      </w:r>
    </w:p>
    <w:p>
      <w:pPr>
        <w:pStyle w:val="ListParagraph"/>
        <w:numPr>
          <w:ilvl w:val="0"/>
          <w:numId w:val="3"/>
        </w:numPr>
        <w:spacing w:after="90" w:line="290"/>
      </w:pPr>
      <w:r>
        <w:rPr>
          <w:rFonts w:ascii="Calibri" w:cs="Calibri" w:eastAsia="Calibri" w:hAnsi="Calibri"/>
          <w:b w:val="false"/>
          <w:bCs w:val="false"/>
          <w:i w:val="false"/>
          <w:iCs w:val="false"/>
          <w:caps w:val="false"/>
          <w:color w:val="40536B"/>
          <w:sz w:val="21"/>
          <w:szCs w:val="21"/>
        </w:rPr>
        <w:t xml:space="preserve">A task does not fit the path → default to the rule of thumb and ask a Champion; do not force firm data into an unapproved tool.</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9. Records and version control</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2748"/>
        <w:gridCol w:w="2107"/>
        <w:gridCol w:w="2107"/>
        <w:gridCol w:w="2107"/>
      </w:tblGrid>
      <w:tr>
        <w:trPr>
          <w:tblHeader/>
        </w:trPr>
        <w:tc>
          <w:tcPr>
            <w:tcW w:type="dxa" w:w="2748"/>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Version</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Date</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Change</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Author</w:t>
            </w:r>
          </w:p>
        </w:tc>
      </w:tr>
      <w:tr>
        <w:tc>
          <w:tcPr>
            <w:tcW w:type="dxa" w:w="2748"/>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1.0</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2026</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Initial SOP</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QuantAI (portfolio)</w:t>
            </w:r>
          </w:p>
        </w:tc>
      </w:tr>
    </w:tbl>
    <w:p>
      <w:pPr>
        <w:spacing w:after="160"/>
      </w:pPr>
    </w:p>
    <w:sectPr>
      <w:headerReference w:type="default" r:id="rId7"/>
      <w:footerReference w:type="default" r:id="rId8"/>
      <w:pgSz w:w="11906" w:h="16838" w:orient="portrait"/>
      <w:pgMar w:top="1247" w:right="1417" w:bottom="1133" w:left="1417" w:header="680" w:footer="623"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7EBEF" w:sz="4"/>
      </w:pBdr>
      <w:spacing w:after="100"/>
    </w:pPr>
  </w:p>
  <w:p>
    <w:pPr>
      <w:spacing w:after="0" w:line="300" w:lineRule="atLeast"/>
    </w:pP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 cy="123825"/>
                  </a:xfrm>
                  <a:prstGeom prst="rect">
                    <a:avLst/>
                  </a:prstGeom>
                </pic:spPr>
              </pic:pic>
            </a:graphicData>
          </a:graphic>
        </wp:inline>
      </w:drawing>
    </w:r>
    <w:r>
      <w:rPr>
        <w:rFonts w:ascii="Calibri" w:cs="Calibri" w:eastAsia="Calibri" w:hAnsi="Calibri"/>
        <w:b w:val="false"/>
        <w:bCs w:val="false"/>
        <w:i w:val="false"/>
        <w:iCs w:val="false"/>
        <w:caps w:val="false"/>
        <w:color w:val="7A8899"/>
        <w:sz w:val="15"/>
        <w:szCs w:val="15"/>
      </w:rPr>
      <w:t xml:space="preserve">   QuantAI  ·  Confidential</w:t>
    </w:r>
    <w:r>
      <w:ptab w:alignment="right" w:relativeTo="margin" w:leader="none"/>
    </w:r>
    <w:r>
      <w:rPr>
        <w:rFonts w:ascii="Calibri" w:cs="Calibri" w:eastAsia="Calibri" w:hAnsi="Calibri"/>
        <w:b w:val="false"/>
        <w:bCs w:val="false"/>
        <w:i w:val="false"/>
        <w:iCs w:val="false"/>
        <w:caps w:val="false"/>
        <w:color w:val="7A8899"/>
        <w:sz w:val="15"/>
        <w:szCs w:val="15"/>
      </w:rPr>
      <w:t xml:space="preserve">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val="false"/>
        <w:iCs w:val="false"/>
        <w:caps/>
        <w:color w:val="7A8899"/>
        <w:spacing w:val="20"/>
        <w:sz w:val="15"/>
        <w:szCs w:val="15"/>
      </w:rPr>
      <w:t xml:space="preserve">QuantAI · SOP: AI tool selection and approved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Calibri" w:cs="Calibri" w:eastAsia="Calibri" w:hAnsi="Calibri"/>
        <w:color w:val="14655C"/>
      </w:rPr>
    </w:lvl>
  </w:abstractNum>
  <w:abstractNum w:abstractNumId="3" w15:restartNumberingAfterBreak="0">
    <w:multiLevelType w:val="hybridMultilevel"/>
    <w:lvl w:ilvl="0" w15:tentative="1">
      <w:start w:val="1"/>
      <w:numFmt w:val="decimal"/>
      <w:lvlText w:val="%1."/>
      <w:lvlJc w:val="left"/>
      <w:pPr>
        <w:ind w:left="400" w:hanging="280"/>
      </w:pPr>
      <w:rPr>
        <w:rFonts w:ascii="Calibri" w:cs="Calibri" w:eastAsia="Calibri" w:hAnsi="Calibri"/>
        <w:b/>
        <w:bCs/>
        <w:color w:val="14655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536B"/>
        <w:sz w:val="21"/>
        <w:szCs w:val="21"/>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0F1B2A"/>
      <w:sz w:val="40"/>
      <w:szCs w:val="40"/>
    </w:rPr>
  </w:style>
  <w:style w:type="paragraph" w:styleId="Heading2">
    <w:name w:val="Heading 2"/>
    <w:basedOn w:val="Normal"/>
    <w:next w:val="Normal"/>
    <w:qFormat/>
    <w:rPr>
      <w:rFonts w:ascii="Cambria" w:cs="Cambria" w:eastAsia="Cambria" w:hAnsi="Cambria"/>
      <w:b/>
      <w:bCs/>
      <w:color w:val="0F1B2A"/>
      <w:sz w:val="27"/>
      <w:szCs w:val="27"/>
    </w:rPr>
  </w:style>
  <w:style w:type="paragraph" w:styleId="Heading3">
    <w:name w:val="Heading 3"/>
    <w:basedOn w:val="Normal"/>
    <w:next w:val="Normal"/>
    <w:qFormat/>
    <w:rPr>
      <w:rFonts w:ascii="Calibri" w:cs="Calibri" w:eastAsia="Calibri" w:hAnsi="Calibri"/>
      <w:b/>
      <w:bCs/>
      <w:color w:val="0F1B2A"/>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063891a95e34455f6c12621055a25d1a4404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55104f0c9ba081919c81f924f81c6f51e29e01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QuantAI · SOP: AI tool selection and approved use</dc:title>
  <dc:creator>QuantAI</dc:creator>
  <dc:description>QuantAI document</dc:description>
  <cp:lastModifiedBy>Un-named</cp:lastModifiedBy>
  <cp:revision>1</cp:revision>
  <dcterms:created xsi:type="dcterms:W3CDTF">2026-08-01T01:11:39.656Z</dcterms:created>
  <dcterms:modified xsi:type="dcterms:W3CDTF">2026-08-01T01:11:39.656Z</dcterms:modified>
</cp:coreProperties>
</file>

<file path=docProps/custom.xml><?xml version="1.0" encoding="utf-8"?>
<Properties xmlns="http://schemas.openxmlformats.org/officeDocument/2006/custom-properties" xmlns:vt="http://schemas.openxmlformats.org/officeDocument/2006/docPropsVTypes"/>
</file>