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Janus</w:t>
      </w:r>
    </w:p>
    <w:p>
      <w:pPr>
        <w:jc w:val="center"/>
      </w:pPr>
      <w:r>
        <w:rPr>
          <w:i/>
          <w:sz w:val="24"/>
        </w:rPr>
        <w:t>An adversarial red-team / blue-team AI system for payment fraud</w:t>
      </w:r>
    </w:p>
    <w:p>
      <w:pPr>
        <w:jc w:val="center"/>
      </w:pPr>
      <w:r>
        <w:rPr>
          <w:i w:val="0"/>
          <w:color w:val="5C6484"/>
          <w:sz w:val="19"/>
        </w:rPr>
        <w:t>Mastercard Innovation Challenge @ GFF 2026 — AI Defense Lab for Payment Security</w:t>
      </w:r>
    </w:p>
    <w:p>
      <w:pPr>
        <w:jc w:val="center"/>
      </w:pPr>
      <w:r>
        <w:rPr>
          <w:i/>
          <w:color w:val="5C6484"/>
          <w:sz w:val="18"/>
        </w:rPr>
        <w:t>Generated 26 August 2026 from the repository's own report artefacts.</w:t>
      </w:r>
    </w:p>
    <w:p>
      <w:pPr>
        <w:pStyle w:val="Heading1"/>
      </w:pPr>
      <w:r>
        <w:rPr>
          <w:color w:val="1A2036"/>
        </w:rPr>
        <w:t>1. The thesis</w:t>
      </w:r>
    </w:p>
    <w:p>
      <w:r>
        <w:rPr>
          <w:i w:val="0"/>
          <w:sz w:val="21"/>
        </w:rPr>
        <w:t>Generative AI did not make payment fraud smarter. It made persuasion cheap, and persuasion was the bottleneck.</w:t>
      </w:r>
    </w:p>
    <w:p>
      <w:r>
        <w:rPr>
          <w:i w:val="0"/>
          <w:sz w:val="21"/>
        </w:rPr>
        <w:t>Every kill-chain step in our attack atlas is marked for whether generative AI materially enables it. The distribution is lopsided, and it is the finding the rest of the system is built around:</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Kill-chain phase</w:t>
            </w:r>
          </w:p>
        </w:tc>
        <w:tc>
          <w:tcPr>
            <w:tcW w:type="dxa" w:w="4320"/>
          </w:tcPr>
          <w:p>
            <w:r>
              <w:rPr>
                <w:b/>
                <w:sz w:val="18"/>
              </w:rPr>
              <w:t>Share of steps GenAI enables</w:t>
            </w:r>
          </w:p>
        </w:tc>
      </w:tr>
      <w:tr>
        <w:tc>
          <w:tcPr>
            <w:tcW w:type="dxa" w:w="4320"/>
          </w:tcPr>
          <w:p>
            <w:r>
              <w:rPr>
                <w:sz w:val="18"/>
              </w:rPr>
              <w:t>recon</w:t>
            </w:r>
          </w:p>
        </w:tc>
        <w:tc>
          <w:tcPr>
            <w:tcW w:type="dxa" w:w="4320"/>
          </w:tcPr>
          <w:p>
            <w:r>
              <w:rPr>
                <w:sz w:val="18"/>
              </w:rPr>
              <w:t>40%</w:t>
            </w:r>
          </w:p>
        </w:tc>
      </w:tr>
      <w:tr>
        <w:tc>
          <w:tcPr>
            <w:tcW w:type="dxa" w:w="4320"/>
          </w:tcPr>
          <w:p>
            <w:r>
              <w:rPr>
                <w:sz w:val="18"/>
              </w:rPr>
              <w:t>resource dev</w:t>
            </w:r>
          </w:p>
        </w:tc>
        <w:tc>
          <w:tcPr>
            <w:tcW w:type="dxa" w:w="4320"/>
          </w:tcPr>
          <w:p>
            <w:r>
              <w:rPr>
                <w:sz w:val="18"/>
              </w:rPr>
              <w:t>95%</w:t>
            </w:r>
          </w:p>
        </w:tc>
      </w:tr>
      <w:tr>
        <w:tc>
          <w:tcPr>
            <w:tcW w:type="dxa" w:w="4320"/>
          </w:tcPr>
          <w:p>
            <w:r>
              <w:rPr>
                <w:sz w:val="18"/>
              </w:rPr>
              <w:t>pretext</w:t>
            </w:r>
          </w:p>
        </w:tc>
        <w:tc>
          <w:tcPr>
            <w:tcW w:type="dxa" w:w="4320"/>
          </w:tcPr>
          <w:p>
            <w:r>
              <w:rPr>
                <w:sz w:val="18"/>
              </w:rPr>
              <w:t>100%</w:t>
            </w:r>
          </w:p>
        </w:tc>
      </w:tr>
      <w:tr>
        <w:tc>
          <w:tcPr>
            <w:tcW w:type="dxa" w:w="4320"/>
          </w:tcPr>
          <w:p>
            <w:r>
              <w:rPr>
                <w:sz w:val="18"/>
              </w:rPr>
              <w:t>trust build</w:t>
            </w:r>
          </w:p>
        </w:tc>
        <w:tc>
          <w:tcPr>
            <w:tcW w:type="dxa" w:w="4320"/>
          </w:tcPr>
          <w:p>
            <w:r>
              <w:rPr>
                <w:sz w:val="18"/>
              </w:rPr>
              <w:t>88%</w:t>
            </w:r>
          </w:p>
        </w:tc>
      </w:tr>
      <w:tr>
        <w:tc>
          <w:tcPr>
            <w:tcW w:type="dxa" w:w="4320"/>
          </w:tcPr>
          <w:p>
            <w:r>
              <w:rPr>
                <w:sz w:val="18"/>
              </w:rPr>
              <w:t>credential access</w:t>
            </w:r>
          </w:p>
        </w:tc>
        <w:tc>
          <w:tcPr>
            <w:tcW w:type="dxa" w:w="4320"/>
          </w:tcPr>
          <w:p>
            <w:r>
              <w:rPr>
                <w:sz w:val="18"/>
              </w:rPr>
              <w:t>67%</w:t>
            </w:r>
          </w:p>
        </w:tc>
      </w:tr>
      <w:tr>
        <w:tc>
          <w:tcPr>
            <w:tcW w:type="dxa" w:w="4320"/>
          </w:tcPr>
          <w:p>
            <w:r>
              <w:rPr>
                <w:sz w:val="18"/>
              </w:rPr>
              <w:t>instrument</w:t>
            </w:r>
          </w:p>
        </w:tc>
        <w:tc>
          <w:tcPr>
            <w:tcW w:type="dxa" w:w="4320"/>
          </w:tcPr>
          <w:p>
            <w:r>
              <w:rPr>
                <w:sz w:val="18"/>
              </w:rPr>
              <w:t>12%</w:t>
            </w:r>
          </w:p>
        </w:tc>
      </w:tr>
      <w:tr>
        <w:tc>
          <w:tcPr>
            <w:tcW w:type="dxa" w:w="4320"/>
          </w:tcPr>
          <w:p>
            <w:r>
              <w:rPr>
                <w:sz w:val="18"/>
              </w:rPr>
              <w:t>evasion</w:t>
            </w:r>
          </w:p>
        </w:tc>
        <w:tc>
          <w:tcPr>
            <w:tcW w:type="dxa" w:w="4320"/>
          </w:tcPr>
          <w:p>
            <w:r>
              <w:rPr>
                <w:sz w:val="18"/>
              </w:rPr>
              <w:t>61%</w:t>
            </w:r>
          </w:p>
        </w:tc>
      </w:tr>
      <w:tr>
        <w:tc>
          <w:tcPr>
            <w:tcW w:type="dxa" w:w="4320"/>
          </w:tcPr>
          <w:p>
            <w:r>
              <w:rPr>
                <w:sz w:val="18"/>
              </w:rPr>
              <w:t>persist</w:t>
            </w:r>
          </w:p>
        </w:tc>
        <w:tc>
          <w:tcPr>
            <w:tcW w:type="dxa" w:w="4320"/>
          </w:tcPr>
          <w:p>
            <w:r>
              <w:rPr>
                <w:sz w:val="18"/>
              </w:rPr>
              <w:t>40%</w:t>
            </w:r>
          </w:p>
        </w:tc>
      </w:tr>
      <w:tr>
        <w:tc>
          <w:tcPr>
            <w:tcW w:type="dxa" w:w="4320"/>
          </w:tcPr>
          <w:p>
            <w:r>
              <w:rPr>
                <w:sz w:val="18"/>
              </w:rPr>
              <w:t>launder</w:t>
            </w:r>
          </w:p>
        </w:tc>
        <w:tc>
          <w:tcPr>
            <w:tcW w:type="dxa" w:w="4320"/>
          </w:tcPr>
          <w:p>
            <w:r>
              <w:rPr>
                <w:sz w:val="18"/>
              </w:rPr>
              <w:t>6%</w:t>
            </w:r>
          </w:p>
        </w:tc>
      </w:tr>
    </w:tbl>
    <w:p>
      <w:r>
        <w:rPr>
          <w:i w:val="0"/>
          <w:sz w:val="21"/>
        </w:rPr>
        <w:t>Generative models have transformed the front of the kill chain — pretext, preparation, trust-building — and barely touched the back. Moving money is still governed by the payment rail's own mechanics. The implication for defenders is that detection has to shift left, toward the phases that used to be too expensive for attackers to run at scale.</w:t>
      </w:r>
    </w:p>
    <w:p>
      <w:pPr>
        <w:pStyle w:val="Heading1"/>
      </w:pPr>
      <w:r>
        <w:rPr>
          <w:color w:val="1A2036"/>
        </w:rPr>
        <w:t>2. Identify — the attack atlas</w:t>
      </w:r>
    </w:p>
    <w:p>
      <w:r>
        <w:rPr>
          <w:i w:val="0"/>
          <w:sz w:val="21"/>
        </w:rPr>
        <w:t>47 attack techniques across 6 families, of which 21 have working simulators. Coverage spans all 15 payment rails modelled — UPI P2P, P2M, collect, mandate and Lite; IMPS, NEFT and RTGS; AePS; card CNP, CP, tokenised and ATM; wallet; cross-border — and all 10 generative-AI enabler types.</w:t>
      </w:r>
    </w:p>
    <w:p>
      <w:r>
        <w:rPr>
          <w:i w:val="0"/>
          <w:sz w:val="21"/>
        </w:rPr>
        <w:t>The atlas is machine-readable rather than prose. The generator compiles techniques into simulators, and validation fails if a technique claims a simulator it does not have, so the coverage figure cannot be overstated.</w:t>
      </w:r>
    </w:p>
    <w:p>
      <w:r>
        <w:rPr>
          <w:i w:val="0"/>
          <w:sz w:val="21"/>
        </w:rPr>
        <w:t>Its 191 observables are each registered against a canonical signal family. That registry is the contract between identification and detection: every feature in the model exists because a technique asked for it, and no technique can describe a signal that nothing computes.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ID</w:t>
            </w:r>
          </w:p>
        </w:tc>
        <w:tc>
          <w:tcPr>
            <w:tcW w:type="dxa" w:w="2160"/>
          </w:tcPr>
          <w:p>
            <w:r>
              <w:rPr>
                <w:b/>
                <w:sz w:val="18"/>
              </w:rPr>
              <w:t>Technique</w:t>
            </w:r>
          </w:p>
        </w:tc>
        <w:tc>
          <w:tcPr>
            <w:tcW w:type="dxa" w:w="2160"/>
          </w:tcPr>
          <w:p>
            <w:r>
              <w:rPr>
                <w:b/>
                <w:sz w:val="18"/>
              </w:rPr>
              <w:t>Rails</w:t>
            </w:r>
          </w:p>
        </w:tc>
        <w:tc>
          <w:tcPr>
            <w:tcW w:type="dxa" w:w="2160"/>
          </w:tcPr>
          <w:p>
            <w:r>
              <w:rPr>
                <w:b/>
                <w:sz w:val="18"/>
              </w:rPr>
              <w:t>Status</w:t>
            </w:r>
          </w:p>
        </w:tc>
      </w:tr>
      <w:tr>
        <w:tc>
          <w:tcPr>
            <w:tcW w:type="dxa" w:w="2160"/>
          </w:tcPr>
          <w:p>
            <w:r>
              <w:rPr>
                <w:sz w:val="18"/>
              </w:rPr>
              <w:t>VY-AGENT-001</w:t>
            </w:r>
          </w:p>
        </w:tc>
        <w:tc>
          <w:tcPr>
            <w:tcW w:type="dxa" w:w="2160"/>
          </w:tcPr>
          <w:p>
            <w:r>
              <w:rPr>
                <w:sz w:val="18"/>
              </w:rPr>
              <w:t>Prompt injection of merchant support agent with payment tools</w:t>
            </w:r>
          </w:p>
        </w:tc>
        <w:tc>
          <w:tcPr>
            <w:tcW w:type="dxa" w:w="2160"/>
          </w:tcPr>
          <w:p>
            <w:r>
              <w:rPr>
                <w:sz w:val="18"/>
              </w:rPr>
              <w:t>card_cnp, upi_p2m</w:t>
            </w:r>
          </w:p>
        </w:tc>
        <w:tc>
          <w:tcPr>
            <w:tcW w:type="dxa" w:w="2160"/>
          </w:tcPr>
          <w:p>
            <w:r>
              <w:rPr>
                <w:sz w:val="18"/>
              </w:rPr>
              <w:t>emerging</w:t>
            </w:r>
          </w:p>
        </w:tc>
      </w:tr>
      <w:tr>
        <w:tc>
          <w:tcPr>
            <w:tcW w:type="dxa" w:w="2160"/>
          </w:tcPr>
          <w:p>
            <w:r>
              <w:rPr>
                <w:sz w:val="18"/>
              </w:rPr>
              <w:t>VY-AGENT-003</w:t>
            </w:r>
          </w:p>
        </w:tc>
        <w:tc>
          <w:tcPr>
            <w:tcW w:type="dxa" w:w="2160"/>
          </w:tcPr>
          <w:p>
            <w:r>
              <w:rPr>
                <w:sz w:val="18"/>
              </w:rPr>
              <w:t>Compromised autonomous shopping agent</w:t>
            </w:r>
          </w:p>
        </w:tc>
        <w:tc>
          <w:tcPr>
            <w:tcW w:type="dxa" w:w="2160"/>
          </w:tcPr>
          <w:p>
            <w:r>
              <w:rPr>
                <w:sz w:val="18"/>
              </w:rPr>
              <w:t>card_cnp, card_token</w:t>
            </w:r>
          </w:p>
        </w:tc>
        <w:tc>
          <w:tcPr>
            <w:tcW w:type="dxa" w:w="2160"/>
          </w:tcPr>
          <w:p>
            <w:r>
              <w:rPr>
                <w:sz w:val="18"/>
              </w:rPr>
              <w:t>theoretical</w:t>
            </w:r>
          </w:p>
        </w:tc>
      </w:tr>
      <w:tr>
        <w:tc>
          <w:tcPr>
            <w:tcW w:type="dxa" w:w="2160"/>
          </w:tcPr>
          <w:p>
            <w:r>
              <w:rPr>
                <w:sz w:val="18"/>
              </w:rPr>
              <w:t>VY-CARD-001</w:t>
            </w:r>
          </w:p>
        </w:tc>
        <w:tc>
          <w:tcPr>
            <w:tcW w:type="dxa" w:w="2160"/>
          </w:tcPr>
          <w:p>
            <w:r>
              <w:rPr>
                <w:sz w:val="18"/>
              </w:rPr>
              <w:t>Agentic card testing across BIN ranges</w:t>
            </w:r>
          </w:p>
        </w:tc>
        <w:tc>
          <w:tcPr>
            <w:tcW w:type="dxa" w:w="2160"/>
          </w:tcPr>
          <w:p>
            <w:r>
              <w:rPr>
                <w:sz w:val="18"/>
              </w:rPr>
              <w:t>card_cnp</w:t>
            </w:r>
          </w:p>
        </w:tc>
        <w:tc>
          <w:tcPr>
            <w:tcW w:type="dxa" w:w="2160"/>
          </w:tcPr>
          <w:p>
            <w:r>
              <w:rPr>
                <w:sz w:val="18"/>
              </w:rPr>
              <w:t>established</w:t>
            </w:r>
          </w:p>
        </w:tc>
      </w:tr>
      <w:tr>
        <w:tc>
          <w:tcPr>
            <w:tcW w:type="dxa" w:w="2160"/>
          </w:tcPr>
          <w:p>
            <w:r>
              <w:rPr>
                <w:sz w:val="18"/>
              </w:rPr>
              <w:t>VY-CARD-002</w:t>
            </w:r>
          </w:p>
        </w:tc>
        <w:tc>
          <w:tcPr>
            <w:tcW w:type="dxa" w:w="2160"/>
          </w:tcPr>
          <w:p>
            <w:r>
              <w:rPr>
                <w:sz w:val="18"/>
              </w:rPr>
              <w:t>Real-time OTP relay against 3-D Secure</w:t>
            </w:r>
          </w:p>
        </w:tc>
        <w:tc>
          <w:tcPr>
            <w:tcW w:type="dxa" w:w="2160"/>
          </w:tcPr>
          <w:p>
            <w:r>
              <w:rPr>
                <w:sz w:val="18"/>
              </w:rPr>
              <w:t>card_cnp</w:t>
            </w:r>
          </w:p>
        </w:tc>
        <w:tc>
          <w:tcPr>
            <w:tcW w:type="dxa" w:w="2160"/>
          </w:tcPr>
          <w:p>
            <w:r>
              <w:rPr>
                <w:sz w:val="18"/>
              </w:rPr>
              <w:t>established</w:t>
            </w:r>
          </w:p>
        </w:tc>
      </w:tr>
      <w:tr>
        <w:tc>
          <w:tcPr>
            <w:tcW w:type="dxa" w:w="2160"/>
          </w:tcPr>
          <w:p>
            <w:r>
              <w:rPr>
                <w:sz w:val="18"/>
              </w:rPr>
              <w:t>VY-CARD-003</w:t>
            </w:r>
          </w:p>
        </w:tc>
        <w:tc>
          <w:tcPr>
            <w:tcW w:type="dxa" w:w="2160"/>
          </w:tcPr>
          <w:p>
            <w:r>
              <w:rPr>
                <w:sz w:val="18"/>
              </w:rPr>
              <w:t>Fraudulent token provisioning to attacker wallet</w:t>
            </w:r>
          </w:p>
        </w:tc>
        <w:tc>
          <w:tcPr>
            <w:tcW w:type="dxa" w:w="2160"/>
          </w:tcPr>
          <w:p>
            <w:r>
              <w:rPr>
                <w:sz w:val="18"/>
              </w:rPr>
              <w:t>card_token, card_cp</w:t>
            </w:r>
          </w:p>
        </w:tc>
        <w:tc>
          <w:tcPr>
            <w:tcW w:type="dxa" w:w="2160"/>
          </w:tcPr>
          <w:p>
            <w:r>
              <w:rPr>
                <w:sz w:val="18"/>
              </w:rPr>
              <w:t>emerging</w:t>
            </w:r>
          </w:p>
        </w:tc>
      </w:tr>
      <w:tr>
        <w:tc>
          <w:tcPr>
            <w:tcW w:type="dxa" w:w="2160"/>
          </w:tcPr>
          <w:p>
            <w:r>
              <w:rPr>
                <w:sz w:val="18"/>
              </w:rPr>
              <w:t>VY-CARD-004</w:t>
            </w:r>
          </w:p>
        </w:tc>
        <w:tc>
          <w:tcPr>
            <w:tcW w:type="dxa" w:w="2160"/>
          </w:tcPr>
          <w:p>
            <w:r>
              <w:rPr>
                <w:sz w:val="18"/>
              </w:rPr>
              <w:t>Generative dispute evidence and first-party fraud</w:t>
            </w:r>
          </w:p>
        </w:tc>
        <w:tc>
          <w:tcPr>
            <w:tcW w:type="dxa" w:w="2160"/>
          </w:tcPr>
          <w:p>
            <w:r>
              <w:rPr>
                <w:sz w:val="18"/>
              </w:rPr>
              <w:t>card_cnp, card_cp</w:t>
            </w:r>
          </w:p>
        </w:tc>
        <w:tc>
          <w:tcPr>
            <w:tcW w:type="dxa" w:w="2160"/>
          </w:tcPr>
          <w:p>
            <w:r>
              <w:rPr>
                <w:sz w:val="18"/>
              </w:rPr>
              <w:t>emerging</w:t>
            </w:r>
          </w:p>
        </w:tc>
      </w:tr>
      <w:tr>
        <w:tc>
          <w:tcPr>
            <w:tcW w:type="dxa" w:w="2160"/>
          </w:tcPr>
          <w:p>
            <w:r>
              <w:rPr>
                <w:sz w:val="18"/>
              </w:rPr>
              <w:t>VY-CARD-009</w:t>
            </w:r>
          </w:p>
        </w:tc>
        <w:tc>
          <w:tcPr>
            <w:tcW w:type="dxa" w:w="2160"/>
          </w:tcPr>
          <w:p>
            <w:r>
              <w:rPr>
                <w:sz w:val="18"/>
              </w:rPr>
              <w:t>Synthetic-identity credit bust-out</w:t>
            </w:r>
          </w:p>
        </w:tc>
        <w:tc>
          <w:tcPr>
            <w:tcW w:type="dxa" w:w="2160"/>
          </w:tcPr>
          <w:p>
            <w:r>
              <w:rPr>
                <w:sz w:val="18"/>
              </w:rPr>
              <w:t>card_cnp, card_cp</w:t>
            </w:r>
          </w:p>
        </w:tc>
        <w:tc>
          <w:tcPr>
            <w:tcW w:type="dxa" w:w="2160"/>
          </w:tcPr>
          <w:p>
            <w:r>
              <w:rPr>
                <w:sz w:val="18"/>
              </w:rPr>
              <w:t>established</w:t>
            </w:r>
          </w:p>
        </w:tc>
      </w:tr>
      <w:tr>
        <w:tc>
          <w:tcPr>
            <w:tcW w:type="dxa" w:w="2160"/>
          </w:tcPr>
          <w:p>
            <w:r>
              <w:rPr>
                <w:sz w:val="18"/>
              </w:rPr>
              <w:t>VY-IDENT-001</w:t>
            </w:r>
          </w:p>
        </w:tc>
        <w:tc>
          <w:tcPr>
            <w:tcW w:type="dxa" w:w="2160"/>
          </w:tcPr>
          <w:p>
            <w:r>
              <w:rPr>
                <w:sz w:val="18"/>
              </w:rPr>
              <w:t>Account takeover via AI-assisted SIM swap</w:t>
            </w:r>
          </w:p>
        </w:tc>
        <w:tc>
          <w:tcPr>
            <w:tcW w:type="dxa" w:w="2160"/>
          </w:tcPr>
          <w:p>
            <w:r>
              <w:rPr>
                <w:sz w:val="18"/>
              </w:rPr>
              <w:t>upi_p2p, imps</w:t>
            </w:r>
          </w:p>
        </w:tc>
        <w:tc>
          <w:tcPr>
            <w:tcW w:type="dxa" w:w="2160"/>
          </w:tcPr>
          <w:p>
            <w:r>
              <w:rPr>
                <w:sz w:val="18"/>
              </w:rPr>
              <w:t>established</w:t>
            </w:r>
          </w:p>
        </w:tc>
      </w:tr>
      <w:tr>
        <w:tc>
          <w:tcPr>
            <w:tcW w:type="dxa" w:w="2160"/>
          </w:tcPr>
          <w:p>
            <w:r>
              <w:rPr>
                <w:sz w:val="18"/>
              </w:rPr>
              <w:t>VY-LAUND-001</w:t>
            </w:r>
          </w:p>
        </w:tc>
        <w:tc>
          <w:tcPr>
            <w:tcW w:type="dxa" w:w="2160"/>
          </w:tcPr>
          <w:p>
            <w:r>
              <w:rPr>
                <w:sz w:val="18"/>
              </w:rPr>
              <w:t>Adaptive micro-structuring below reporting thresholds</w:t>
            </w:r>
          </w:p>
        </w:tc>
        <w:tc>
          <w:tcPr>
            <w:tcW w:type="dxa" w:w="2160"/>
          </w:tcPr>
          <w:p>
            <w:r>
              <w:rPr>
                <w:sz w:val="18"/>
              </w:rPr>
              <w:t>upi_p2p, imps</w:t>
            </w:r>
          </w:p>
        </w:tc>
        <w:tc>
          <w:tcPr>
            <w:tcW w:type="dxa" w:w="2160"/>
          </w:tcPr>
          <w:p>
            <w:r>
              <w:rPr>
                <w:sz w:val="18"/>
              </w:rPr>
              <w:t>emerging</w:t>
            </w:r>
          </w:p>
        </w:tc>
      </w:tr>
      <w:tr>
        <w:tc>
          <w:tcPr>
            <w:tcW w:type="dxa" w:w="2160"/>
          </w:tcPr>
          <w:p>
            <w:r>
              <w:rPr>
                <w:sz w:val="18"/>
              </w:rPr>
              <w:t>VY-LAUND-002</w:t>
            </w:r>
          </w:p>
        </w:tc>
        <w:tc>
          <w:tcPr>
            <w:tcW w:type="dxa" w:w="2160"/>
          </w:tcPr>
          <w:p>
            <w:r>
              <w:rPr>
                <w:sz w:val="18"/>
              </w:rPr>
              <w:t>Layered mule chain with randomised hop depth</w:t>
            </w:r>
          </w:p>
        </w:tc>
        <w:tc>
          <w:tcPr>
            <w:tcW w:type="dxa" w:w="2160"/>
          </w:tcPr>
          <w:p>
            <w:r>
              <w:rPr>
                <w:sz w:val="18"/>
              </w:rPr>
              <w:t>upi_p2p, imps</w:t>
            </w:r>
          </w:p>
        </w:tc>
        <w:tc>
          <w:tcPr>
            <w:tcW w:type="dxa" w:w="2160"/>
          </w:tcPr>
          <w:p>
            <w:r>
              <w:rPr>
                <w:sz w:val="18"/>
              </w:rPr>
              <w:t>established</w:t>
            </w:r>
          </w:p>
        </w:tc>
      </w:tr>
    </w:tbl>
    <w:p>
      <w:r>
        <w:rPr>
          <w:i w:val="0"/>
          <w:sz w:val="20"/>
        </w:rPr>
        <w:t>Beyond the catalogued techniques, an Ideator searches the 21,000-cell product space of rail × enabler × surface × monetisation for coherent combinations the atlas has not yet covered, ranking them by plausibility learned from the atlas itself rather than asserted.</w:t>
      </w:r>
    </w:p>
    <w:p>
      <w:pPr>
        <w:pStyle w:val="Heading1"/>
      </w:pPr>
      <w:r>
        <w:rPr>
          <w:color w:val="1A2036"/>
        </w:rPr>
        <w:t>3. Generate — simulation and its fidelity</w:t>
      </w:r>
    </w:p>
    <w:p>
      <w:r>
        <w:rPr>
          <w:i w:val="0"/>
          <w:sz w:val="21"/>
        </w:rPr>
        <w:t>Attacks are injected into a coherent synthetic economy rather than sampled from a separate distribution. The world carries a contact graph built by preferential attachment, per-customer circadian rhythms, merchant affinity sets, device and account ages, and a constrained supply of mule accounts. Without that structure, signals like 'first-time beneficiary' or 'out of pattern hour' would not exist.</w:t>
      </w:r>
    </w:p>
    <w:p>
      <w:r>
        <w:rPr>
          <w:i w:val="0"/>
          <w:sz w:val="21"/>
        </w:rPr>
        <w:t>Fidelity is measured, not asserted. A classifier is trained to separate our synthetic payments from real public data; if it cannot, the two are distributionally interchangeable. An AUC of 0.50 means indistinguishable.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Reference dataset</w:t>
            </w:r>
          </w:p>
        </w:tc>
        <w:tc>
          <w:tcPr>
            <w:tcW w:type="dxa" w:w="2160"/>
          </w:tcPr>
          <w:p>
            <w:r>
              <w:rPr>
                <w:b/>
                <w:sz w:val="18"/>
              </w:rPr>
              <w:t>Discriminator AUC</w:t>
            </w:r>
          </w:p>
        </w:tc>
        <w:tc>
          <w:tcPr>
            <w:tcW w:type="dxa" w:w="2160"/>
          </w:tcPr>
          <w:p>
            <w:r>
              <w:rPr>
                <w:b/>
                <w:sz w:val="18"/>
              </w:rPr>
              <w:t>Verdict</w:t>
            </w:r>
          </w:p>
        </w:tc>
        <w:tc>
          <w:tcPr>
            <w:tcW w:type="dxa" w:w="2160"/>
          </w:tcPr>
          <w:p>
            <w:r>
              <w:rPr>
                <w:b/>
                <w:sz w:val="18"/>
              </w:rPr>
              <w:t>TSTR / TRTR</w:t>
            </w:r>
          </w:p>
        </w:tc>
      </w:tr>
      <w:tr>
        <w:tc>
          <w:tcPr>
            <w:tcW w:type="dxa" w:w="2160"/>
          </w:tcPr>
          <w:p>
            <w:r>
              <w:rPr>
                <w:sz w:val="18"/>
              </w:rPr>
              <w:t>sparkov</w:t>
            </w:r>
          </w:p>
        </w:tc>
        <w:tc>
          <w:tcPr>
            <w:tcW w:type="dxa" w:w="2160"/>
          </w:tcPr>
          <w:p>
            <w:r>
              <w:rPr>
                <w:sz w:val="18"/>
              </w:rPr>
              <w:t>0.7708</w:t>
            </w:r>
          </w:p>
        </w:tc>
        <w:tc>
          <w:tcPr>
            <w:tcW w:type="dxa" w:w="2160"/>
          </w:tcPr>
          <w:p>
            <w:r>
              <w:rPr>
                <w:sz w:val="18"/>
              </w:rPr>
              <w:t>moderate</w:t>
            </w:r>
          </w:p>
        </w:tc>
        <w:tc>
          <w:tcPr>
            <w:tcW w:type="dxa" w:w="2160"/>
          </w:tcPr>
          <w:p>
            <w:r>
              <w:rPr>
                <w:sz w:val="18"/>
              </w:rPr>
              <w:t>0.709</w:t>
            </w:r>
          </w:p>
        </w:tc>
      </w:tr>
      <w:tr>
        <w:tc>
          <w:tcPr>
            <w:tcW w:type="dxa" w:w="2160"/>
          </w:tcPr>
          <w:p>
            <w:r>
              <w:rPr>
                <w:sz w:val="18"/>
              </w:rPr>
              <w:t>paysim</w:t>
            </w:r>
          </w:p>
        </w:tc>
        <w:tc>
          <w:tcPr>
            <w:tcW w:type="dxa" w:w="2160"/>
          </w:tcPr>
          <w:p>
            <w:r>
              <w:rPr>
                <w:sz w:val="18"/>
              </w:rPr>
              <w:t>0.7236</w:t>
            </w:r>
          </w:p>
        </w:tc>
        <w:tc>
          <w:tcPr>
            <w:tcW w:type="dxa" w:w="2160"/>
          </w:tcPr>
          <w:p>
            <w:r>
              <w:rPr>
                <w:sz w:val="18"/>
              </w:rPr>
              <w:t>moderate</w:t>
            </w:r>
          </w:p>
        </w:tc>
        <w:tc>
          <w:tcPr>
            <w:tcW w:type="dxa" w:w="2160"/>
          </w:tcPr>
          <w:p>
            <w:r>
              <w:rPr>
                <w:sz w:val="18"/>
              </w:rPr>
              <w:t>0.6782</w:t>
            </w:r>
          </w:p>
        </w:tc>
      </w:tr>
    </w:tbl>
    <w:p>
      <w:r>
        <w:rPr>
          <w:i w:val="0"/>
          <w:sz w:val="20"/>
        </w:rPr>
        <w:t>We report these numbers whether or not they flatter us, together with the residuals we know about and chose not to tune away:</w:t>
      </w:r>
    </w:p>
    <w:p>
      <w:pPr>
        <w:pStyle w:val="ListBullet"/>
      </w:pPr>
      <w:r>
        <w:t>Comparison is restricted to amount, hour and weekday - the only fields both public reference datasets contain. Graph structure, device signals and session context are central to Vyuha's attacks but absent from Sparkov and PaySim, so they are defended on construction rather than measured here.</w:t>
      </w:r>
    </w:p>
    <w:p>
      <w:pPr>
        <w:pStyle w:val="ListBullet"/>
      </w:pPr>
      <w:r>
        <w:t>PaySim's `step` is a simulation tick index, not a wall clock, so it contributes amount-distribution evidence only. An earlier revision compared hour-of-day against it and produced a spurious 0.98 discriminator AUC.</w:t>
      </w:r>
    </w:p>
    <w:p>
      <w:pPr>
        <w:pStyle w:val="ListBullet"/>
      </w:pPr>
      <w:r>
        <w:t>Absolute amount levels are not comparable across economies (Sparkov is US card spend, PaySim is an unspecified currency), so the headline comparison uses standardised log-amount. Raw log_amount KS is reported alongside and is expected to be poor.</w:t>
      </w:r>
    </w:p>
    <w:p>
      <w:pPr>
        <w:pStyle w:val="ListBullet"/>
      </w:pPr>
      <w:r>
        <w:t>Residual gap: synthetic log-amount skew is near 0 against Sparkov's -0.44. That skew comes from a US-specific category structure where grocery and fuel are the highest frequency, highest ticket and lowest variance categories. Matching it would require mis-stating Indian ticket sizes, so it is left in place and reported.</w:t>
      </w:r>
    </w:p>
    <w:p>
      <w:pPr>
        <w:pStyle w:val="Heading1"/>
      </w:pPr>
      <w:r>
        <w:rPr>
          <w:color w:val="1A2036"/>
        </w:rPr>
        <w:t>4. Defend — the detection model</w:t>
      </w:r>
    </w:p>
    <w:p>
      <w:r>
        <w:rPr>
          <w:i w:val="0"/>
          <w:sz w:val="21"/>
        </w:rPr>
        <w:t>Detection is layered: a point-in-time-correct feature store; a gradient-boosted classifier; an unsupervised novelty layer trained on legitimate traffic only; graph features for mule structures; a text layer for scam content; and a policy engine that converts risk into an action priced in rupees.</w:t>
      </w:r>
    </w:p>
    <w:p>
      <w:r>
        <w:rPr>
          <w:i w:val="0"/>
          <w:sz w:val="21"/>
        </w:rPr>
        <w:t>Point-in-time correctness is enforced structurally, not by convention. Features are recomputed on truncated history and must return bit-identical values — a test that caught genuine look-ahead leakage the first time it ran.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Events in holdout</w:t>
            </w:r>
          </w:p>
        </w:tc>
        <w:tc>
          <w:tcPr>
            <w:tcW w:type="dxa" w:w="4320"/>
          </w:tcPr>
          <w:p>
            <w:r>
              <w:rPr>
                <w:sz w:val="18"/>
              </w:rPr>
              <w:t>215,524</w:t>
            </w:r>
          </w:p>
        </w:tc>
      </w:tr>
      <w:tr>
        <w:tc>
          <w:tcPr>
            <w:tcW w:type="dxa" w:w="4320"/>
          </w:tcPr>
          <w:p>
            <w:r>
              <w:rPr>
                <w:sz w:val="18"/>
              </w:rPr>
              <w:t>Fraud base rate</w:t>
            </w:r>
          </w:p>
        </w:tc>
        <w:tc>
          <w:tcPr>
            <w:tcW w:type="dxa" w:w="4320"/>
          </w:tcPr>
          <w:p>
            <w:r>
              <w:rPr>
                <w:sz w:val="18"/>
              </w:rPr>
              <w:t>0.625%</w:t>
            </w:r>
          </w:p>
        </w:tc>
      </w:tr>
      <w:tr>
        <w:tc>
          <w:tcPr>
            <w:tcW w:type="dxa" w:w="4320"/>
          </w:tcPr>
          <w:p>
            <w:r>
              <w:rPr>
                <w:sz w:val="18"/>
              </w:rPr>
              <w:t>ROC-AUC</w:t>
            </w:r>
          </w:p>
        </w:tc>
        <w:tc>
          <w:tcPr>
            <w:tcW w:type="dxa" w:w="4320"/>
          </w:tcPr>
          <w:p>
            <w:r>
              <w:rPr>
                <w:sz w:val="18"/>
              </w:rPr>
              <w:t>0.9945</w:t>
            </w:r>
          </w:p>
        </w:tc>
      </w:tr>
      <w:tr>
        <w:tc>
          <w:tcPr>
            <w:tcW w:type="dxa" w:w="4320"/>
          </w:tcPr>
          <w:p>
            <w:r>
              <w:rPr>
                <w:sz w:val="18"/>
              </w:rPr>
              <w:t>PR-AUC</w:t>
            </w:r>
          </w:p>
        </w:tc>
        <w:tc>
          <w:tcPr>
            <w:tcW w:type="dxa" w:w="4320"/>
          </w:tcPr>
          <w:p>
            <w:r>
              <w:rPr>
                <w:sz w:val="18"/>
              </w:rPr>
              <w:t>0.9106</w:t>
            </w:r>
          </w:p>
        </w:tc>
      </w:tr>
      <w:tr>
        <w:tc>
          <w:tcPr>
            <w:tcW w:type="dxa" w:w="4320"/>
          </w:tcPr>
          <w:p>
            <w:r>
              <w:rPr>
                <w:sz w:val="18"/>
              </w:rPr>
              <w:t>Recall @ 0.1% FPR</w:t>
            </w:r>
          </w:p>
        </w:tc>
        <w:tc>
          <w:tcPr>
            <w:tcW w:type="dxa" w:w="4320"/>
          </w:tcPr>
          <w:p>
            <w:r>
              <w:rPr>
                <w:sz w:val="18"/>
              </w:rPr>
              <w:t>88.8%</w:t>
            </w:r>
          </w:p>
        </w:tc>
      </w:tr>
      <w:tr>
        <w:tc>
          <w:tcPr>
            <w:tcW w:type="dxa" w:w="4320"/>
          </w:tcPr>
          <w:p>
            <w:r>
              <w:rPr>
                <w:sz w:val="18"/>
              </w:rPr>
              <w:t>Recall @ 1% FPR</w:t>
            </w:r>
          </w:p>
        </w:tc>
        <w:tc>
          <w:tcPr>
            <w:tcW w:type="dxa" w:w="4320"/>
          </w:tcPr>
          <w:p>
            <w:r>
              <w:rPr>
                <w:sz w:val="18"/>
              </w:rPr>
              <w:t>90.9%</w:t>
            </w:r>
          </w:p>
        </w:tc>
      </w:tr>
      <w:tr>
        <w:tc>
          <w:tcPr>
            <w:tcW w:type="dxa" w:w="4320"/>
          </w:tcPr>
          <w:p>
            <w:r>
              <w:rPr>
                <w:sz w:val="18"/>
              </w:rPr>
              <w:t>Novelty layer, standalone ROC-AUC</w:t>
            </w:r>
          </w:p>
        </w:tc>
        <w:tc>
          <w:tcPr>
            <w:tcW w:type="dxa" w:w="4320"/>
          </w:tcPr>
          <w:p>
            <w:r>
              <w:rPr>
                <w:sz w:val="18"/>
              </w:rPr>
              <w:t>0.769</w:t>
            </w:r>
          </w:p>
        </w:tc>
      </w:tr>
    </w:tbl>
    <w:p>
      <w:r>
        <w:rPr>
          <w:i w:val="0"/>
          <w:sz w:val="20"/>
        </w:rPr>
        <w:t>Metrics are quoted at fixed false-positive rates because that is what a payments organisation actually buys. Aggregate AUC at a sub-1% base rate can look excellent while the model is useless at any deployable operating point.</w:t>
      </w:r>
    </w:p>
    <w:p>
      <w:r>
        <w:rPr>
          <w:i w:val="0"/>
          <w:sz w:val="21"/>
        </w:rPr>
        <w:t>At the selected operating point the system prevents ₹178.4 lakh of ₹212.9 lakh exposure while challenging 0.85% of legitimate payments. The unconstrained economic optimum challenges roughly 16% of good payments; we reject it, because no institution ships that whatever the arithmetic says.</w:t>
      </w:r>
    </w:p>
    <w:p>
      <w:pPr>
        <w:pStyle w:val="Heading1"/>
      </w:pPr>
      <w:r>
        <w:rPr>
          <w:color w:val="1A2036"/>
        </w:rPr>
        <w:t>5. The result that matters — leave-one-attack-out</w:t>
      </w:r>
    </w:p>
    <w:p>
      <w:r>
        <w:rPr>
          <w:i w:val="0"/>
          <w:sz w:val="21"/>
        </w:rPr>
        <w:t>For each simulated family we train a detector on a world where that family does not exist, then test it against a different world where it does. Training and test worlds use different seeds, so the held-out attack is unseen in the strongest sense available. This is the closest honest proxy for emerging fraud: a genuinely novel attack is, by definition, absent from the training data.</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Measure</w:t>
            </w:r>
          </w:p>
        </w:tc>
        <w:tc>
          <w:tcPr>
            <w:tcW w:type="dxa" w:w="4320"/>
          </w:tcPr>
          <w:p>
            <w:r>
              <w:rPr>
                <w:b/>
                <w:sz w:val="18"/>
              </w:rPr>
              <w:t>Value</w:t>
            </w:r>
          </w:p>
        </w:tc>
      </w:tr>
      <w:tr>
        <w:tc>
          <w:tcPr>
            <w:tcW w:type="dxa" w:w="4320"/>
          </w:tcPr>
          <w:p>
            <w:r>
              <w:rPr>
                <w:sz w:val="18"/>
              </w:rPr>
              <w:t>Mean recall on unseen families</w:t>
            </w:r>
          </w:p>
        </w:tc>
        <w:tc>
          <w:tcPr>
            <w:tcW w:type="dxa" w:w="4320"/>
          </w:tcPr>
          <w:p>
            <w:r>
              <w:rPr>
                <w:sz w:val="18"/>
              </w:rPr>
              <w:t>17.4%</w:t>
            </w:r>
          </w:p>
        </w:tc>
      </w:tr>
      <w:tr>
        <w:tc>
          <w:tcPr>
            <w:tcW w:type="dxa" w:w="4320"/>
          </w:tcPr>
          <w:p>
            <w:r>
              <w:rPr>
                <w:sz w:val="18"/>
              </w:rPr>
              <w:t>Families above 50% recall</w:t>
            </w:r>
          </w:p>
        </w:tc>
        <w:tc>
          <w:tcPr>
            <w:tcW w:type="dxa" w:w="4320"/>
          </w:tcPr>
          <w:p>
            <w:r>
              <w:rPr>
                <w:sz w:val="18"/>
              </w:rPr>
              <w:t>2 of 20</w:t>
            </w:r>
          </w:p>
        </w:tc>
      </w:tr>
      <w:tr>
        <w:tc>
          <w:tcPr>
            <w:tcW w:type="dxa" w:w="4320"/>
          </w:tcPr>
          <w:p>
            <w:r>
              <w:rPr>
                <w:sz w:val="18"/>
              </w:rPr>
              <w:t>Mean recall on families it has seen</w:t>
            </w:r>
          </w:p>
        </w:tc>
        <w:tc>
          <w:tcPr>
            <w:tcW w:type="dxa" w:w="4320"/>
          </w:tcPr>
          <w:p>
            <w:r>
              <w:rPr>
                <w:sz w:val="18"/>
              </w:rPr>
              <w:t>60.5%</w:t>
            </w:r>
          </w:p>
        </w:tc>
      </w:tr>
    </w:tbl>
    <w:p>
      <w:r>
        <w:rPr>
          <w:i w:val="0"/>
          <w:sz w:val="21"/>
        </w:rPr>
        <w:t>Supervised fraud detection largely does not transfer to attack families it was never trained on. We report this rather than burying it, because it is the single most decision-relevant finding in the work — and it is the reason the system also ships an unsupervised novelty layer and an adversarial loop rather than stopping at a classifier with a good-looking AUC.</w:t>
      </w:r>
    </w:p>
    <w:p>
      <w:pPr>
        <w:pStyle w:val="Heading1"/>
      </w:pPr>
      <w:r>
        <w:rPr>
          <w:color w:val="1A2036"/>
        </w:rPr>
        <w:t>6. The closed loop — Red versus Blue</w:t>
      </w:r>
    </w:p>
    <w:p>
      <w:r>
        <w:rPr>
          <w:i w:val="0"/>
          <w:sz w:val="21"/>
        </w:rPr>
        <w:t>A Red agent treats the deployed detector as a black box and runs an evolutionary search over the attacker's genuine degrees of freedom — amount, pacing, mule ageing, payee novelty, timing — to find variants that get the most money past it. Fitness is rupees through, not evasion rate: an attacker who evades everything by sending nothing is not a threat, and optimising evasion alone produces degenerate attacks. Blue then retrains on what Red found, recalibrated at a fixed false-positive rate so it cannot win by simply becoming more aggressive.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Round</w:t>
            </w:r>
          </w:p>
        </w:tc>
        <w:tc>
          <w:tcPr>
            <w:tcW w:type="dxa" w:w="1728"/>
          </w:tcPr>
          <w:p>
            <w:r>
              <w:rPr>
                <w:b/>
                <w:sz w:val="18"/>
              </w:rPr>
              <w:t>Red evasion</w:t>
            </w:r>
          </w:p>
        </w:tc>
        <w:tc>
          <w:tcPr>
            <w:tcW w:type="dxa" w:w="1728"/>
          </w:tcPr>
          <w:p>
            <w:r>
              <w:rPr>
                <w:b/>
                <w:sz w:val="18"/>
              </w:rPr>
              <w:t>Value through</w:t>
            </w:r>
          </w:p>
        </w:tc>
        <w:tc>
          <w:tcPr>
            <w:tcW w:type="dxa" w:w="1728"/>
          </w:tcPr>
          <w:p>
            <w:r>
              <w:rPr>
                <w:b/>
                <w:sz w:val="18"/>
              </w:rPr>
              <w:t>Blue recall</w:t>
            </w:r>
          </w:p>
        </w:tc>
        <w:tc>
          <w:tcPr>
            <w:tcW w:type="dxa" w:w="1728"/>
          </w:tcPr>
          <w:p>
            <w:r>
              <w:rPr>
                <w:b/>
                <w:sz w:val="18"/>
              </w:rPr>
              <w:t>FPR</w:t>
            </w:r>
          </w:p>
        </w:tc>
      </w:tr>
      <w:tr>
        <w:tc>
          <w:tcPr>
            <w:tcW w:type="dxa" w:w="1728"/>
          </w:tcPr>
          <w:p>
            <w:r>
              <w:rPr>
                <w:sz w:val="18"/>
              </w:rPr>
              <w:t>1</w:t>
            </w:r>
          </w:p>
        </w:tc>
        <w:tc>
          <w:tcPr>
            <w:tcW w:type="dxa" w:w="1728"/>
          </w:tcPr>
          <w:p>
            <w:r>
              <w:rPr>
                <w:sz w:val="18"/>
              </w:rPr>
              <w:t>62.8%</w:t>
            </w:r>
          </w:p>
        </w:tc>
        <w:tc>
          <w:tcPr>
            <w:tcW w:type="dxa" w:w="1728"/>
          </w:tcPr>
          <w:p>
            <w:r>
              <w:rPr>
                <w:sz w:val="18"/>
              </w:rPr>
              <w:t>₹795723.4L</w:t>
            </w:r>
          </w:p>
        </w:tc>
        <w:tc>
          <w:tcPr>
            <w:tcW w:type="dxa" w:w="1728"/>
          </w:tcPr>
          <w:p>
            <w:r>
              <w:rPr>
                <w:sz w:val="18"/>
              </w:rPr>
              <w:t>0.5044</w:t>
            </w:r>
          </w:p>
        </w:tc>
        <w:tc>
          <w:tcPr>
            <w:tcW w:type="dxa" w:w="1728"/>
          </w:tcPr>
          <w:p>
            <w:r>
              <w:rPr>
                <w:sz w:val="18"/>
              </w:rPr>
              <w:t>0.001</w:t>
            </w:r>
          </w:p>
        </w:tc>
      </w:tr>
      <w:tr>
        <w:tc>
          <w:tcPr>
            <w:tcW w:type="dxa" w:w="1728"/>
          </w:tcPr>
          <w:p>
            <w:r>
              <w:rPr>
                <w:sz w:val="18"/>
              </w:rPr>
              <w:t>2</w:t>
            </w:r>
          </w:p>
        </w:tc>
        <w:tc>
          <w:tcPr>
            <w:tcW w:type="dxa" w:w="1728"/>
          </w:tcPr>
          <w:p>
            <w:r>
              <w:rPr>
                <w:sz w:val="18"/>
              </w:rPr>
              <w:t>47.6%</w:t>
            </w:r>
          </w:p>
        </w:tc>
        <w:tc>
          <w:tcPr>
            <w:tcW w:type="dxa" w:w="1728"/>
          </w:tcPr>
          <w:p>
            <w:r>
              <w:rPr>
                <w:sz w:val="18"/>
              </w:rPr>
              <w:t>₹720964.8L</w:t>
            </w:r>
          </w:p>
        </w:tc>
        <w:tc>
          <w:tcPr>
            <w:tcW w:type="dxa" w:w="1728"/>
          </w:tcPr>
          <w:p>
            <w:r>
              <w:rPr>
                <w:sz w:val="18"/>
              </w:rPr>
              <w:t>0.6643</w:t>
            </w:r>
          </w:p>
        </w:tc>
        <w:tc>
          <w:tcPr>
            <w:tcW w:type="dxa" w:w="1728"/>
          </w:tcPr>
          <w:p>
            <w:r>
              <w:rPr>
                <w:sz w:val="18"/>
              </w:rPr>
              <w:t>0.001</w:t>
            </w:r>
          </w:p>
        </w:tc>
      </w:tr>
      <w:tr>
        <w:tc>
          <w:tcPr>
            <w:tcW w:type="dxa" w:w="1728"/>
          </w:tcPr>
          <w:p>
            <w:r>
              <w:rPr>
                <w:sz w:val="18"/>
              </w:rPr>
              <w:t>3</w:t>
            </w:r>
          </w:p>
        </w:tc>
        <w:tc>
          <w:tcPr>
            <w:tcW w:type="dxa" w:w="1728"/>
          </w:tcPr>
          <w:p>
            <w:r>
              <w:rPr>
                <w:sz w:val="18"/>
              </w:rPr>
              <w:t>50.7%</w:t>
            </w:r>
          </w:p>
        </w:tc>
        <w:tc>
          <w:tcPr>
            <w:tcW w:type="dxa" w:w="1728"/>
          </w:tcPr>
          <w:p>
            <w:r>
              <w:rPr>
                <w:sz w:val="18"/>
              </w:rPr>
              <w:t>₹582476.85L</w:t>
            </w:r>
          </w:p>
        </w:tc>
        <w:tc>
          <w:tcPr>
            <w:tcW w:type="dxa" w:w="1728"/>
          </w:tcPr>
          <w:p>
            <w:r>
              <w:rPr>
                <w:sz w:val="18"/>
              </w:rPr>
              <w:t>0.6208</w:t>
            </w:r>
          </w:p>
        </w:tc>
        <w:tc>
          <w:tcPr>
            <w:tcW w:type="dxa" w:w="1728"/>
          </w:tcPr>
          <w:p>
            <w:r>
              <w:rPr>
                <w:sz w:val="18"/>
              </w:rPr>
              <w:t>0.001</w:t>
            </w:r>
          </w:p>
        </w:tc>
      </w:tr>
      <w:tr>
        <w:tc>
          <w:tcPr>
            <w:tcW w:type="dxa" w:w="1728"/>
          </w:tcPr>
          <w:p>
            <w:r>
              <w:rPr>
                <w:sz w:val="18"/>
              </w:rPr>
              <w:t>4</w:t>
            </w:r>
          </w:p>
        </w:tc>
        <w:tc>
          <w:tcPr>
            <w:tcW w:type="dxa" w:w="1728"/>
          </w:tcPr>
          <w:p>
            <w:r>
              <w:rPr>
                <w:sz w:val="18"/>
              </w:rPr>
              <w:t>47.4%</w:t>
            </w:r>
          </w:p>
        </w:tc>
        <w:tc>
          <w:tcPr>
            <w:tcW w:type="dxa" w:w="1728"/>
          </w:tcPr>
          <w:p>
            <w:r>
              <w:rPr>
                <w:sz w:val="18"/>
              </w:rPr>
              <w:t>₹575656.35L</w:t>
            </w:r>
          </w:p>
        </w:tc>
        <w:tc>
          <w:tcPr>
            <w:tcW w:type="dxa" w:w="1728"/>
          </w:tcPr>
          <w:p>
            <w:r>
              <w:rPr>
                <w:sz w:val="18"/>
              </w:rPr>
              <w:t>0.6412</w:t>
            </w:r>
          </w:p>
        </w:tc>
        <w:tc>
          <w:tcPr>
            <w:tcW w:type="dxa" w:w="1728"/>
          </w:tcPr>
          <w:p>
            <w:r>
              <w:rPr>
                <w:sz w:val="18"/>
              </w:rPr>
              <w:t>0.001</w:t>
            </w:r>
          </w:p>
        </w:tc>
      </w:tr>
      <w:tr>
        <w:tc>
          <w:tcPr>
            <w:tcW w:type="dxa" w:w="1728"/>
          </w:tcPr>
          <w:p>
            <w:r>
              <w:rPr>
                <w:sz w:val="18"/>
              </w:rPr>
              <w:t>5</w:t>
            </w:r>
          </w:p>
        </w:tc>
        <w:tc>
          <w:tcPr>
            <w:tcW w:type="dxa" w:w="1728"/>
          </w:tcPr>
          <w:p>
            <w:r>
              <w:rPr>
                <w:sz w:val="18"/>
              </w:rPr>
              <w:t>58.6%</w:t>
            </w:r>
          </w:p>
        </w:tc>
        <w:tc>
          <w:tcPr>
            <w:tcW w:type="dxa" w:w="1728"/>
          </w:tcPr>
          <w:p>
            <w:r>
              <w:rPr>
                <w:sz w:val="18"/>
              </w:rPr>
              <w:t>₹112476.1L</w:t>
            </w:r>
          </w:p>
        </w:tc>
        <w:tc>
          <w:tcPr>
            <w:tcW w:type="dxa" w:w="1728"/>
          </w:tcPr>
          <w:p>
            <w:r>
              <w:rPr>
                <w:sz w:val="18"/>
              </w:rPr>
              <w:t>0.5728</w:t>
            </w:r>
          </w:p>
        </w:tc>
        <w:tc>
          <w:tcPr>
            <w:tcW w:type="dxa" w:w="1728"/>
          </w:tcPr>
          <w:p>
            <w:r>
              <w:rPr>
                <w:sz w:val="18"/>
              </w:rPr>
              <w:t>0.001</w:t>
            </w:r>
          </w:p>
        </w:tc>
      </w:tr>
    </w:tbl>
    <w:p>
      <w:r>
        <w:rPr>
          <w:i w:val="0"/>
          <w:sz w:val="20"/>
        </w:rPr>
        <w:t>The false-positive column is the control: it must stay flat. A defence that improves recall by spending customer friction has not improved.</w:t>
      </w:r>
    </w:p>
    <w:p>
      <w:pPr>
        <w:pStyle w:val="Heading1"/>
      </w:pPr>
      <w:r>
        <w:rPr>
          <w:color w:val="1A2036"/>
        </w:rPr>
        <w:t>7. Real-world feasibility in live payments</w:t>
      </w:r>
    </w:p>
    <w:p>
      <w:pPr>
        <w:pStyle w:val="ListBullet"/>
      </w:pPr>
      <w:r>
        <w:t>Scoring is CPU-only and its per-event latency is measured and surfaced by the API, not asserted. No language model sits on the authorisation path, because none can at payments latency and cost. LLMs are used at build time for red-team content and threat ideation; the corpus they produce is committed to the repository, so the system reproduces with no API key, no network and no GPU.</w:t>
      </w:r>
    </w:p>
    <w:p>
      <w:pPr>
        <w:pStyle w:val="ListBullet"/>
      </w:pPr>
      <w:r>
        <w:t>The event schema maps field-by-field onto ISO 8583 and ISO 20022, so integration with a live authorisation stream is a rename rather than a redesign.</w:t>
      </w:r>
    </w:p>
    <w:p>
      <w:pPr>
        <w:pStyle w:val="ListBullet"/>
      </w:pPr>
      <w:r>
        <w:t>Model artefacts record their training seed, feature ordering, calibrated thresholds and atlas revision, which is the minimum for model governance and audit.</w:t>
      </w:r>
    </w:p>
    <w:p>
      <w:pPr>
        <w:pStyle w:val="ListBullet"/>
      </w:pPr>
      <w:r>
        <w:t>The policy engine is explicitly constrained by a legitimate-challenge ceiling, because friction — not fraud loss — is the binding constraint on real deployments.</w:t>
      </w:r>
    </w:p>
    <w:p>
      <w:pPr>
        <w:pStyle w:val="ListBullet"/>
      </w:pPr>
      <w:r>
        <w:t>Detection features are computed from data an issuer or PSP already holds at authorisation time. Nothing depends on information that would arrive later.</w:t>
      </w:r>
    </w:p>
    <w:p>
      <w:pPr>
        <w:pStyle w:val="ListBullet"/>
      </w:pPr>
      <w:r>
        <w:t>Because synthetic data carries no personal information, the training pipeline can be shared, audited and reproduced without a data-protection review.</w:t>
      </w:r>
    </w:p>
    <w:p>
      <w:pPr>
        <w:pStyle w:val="Heading1"/>
      </w:pPr>
      <w:r>
        <w:rPr>
          <w:color w:val="1A2036"/>
        </w:rPr>
        <w:t>8. Reproducing this</w:t>
      </w:r>
    </w:p>
    <w:p>
      <w:r>
        <w:rPr>
          <w:i w:val="0"/>
          <w:sz w:val="21"/>
        </w:rPr>
        <w:t>make setup &amp;&amp; make all — generates the world, trains the defence, measures fidelity against real public data, and runs the adversarial loop. make serve and make ui start the API and the web console. Every figure in this document is read from the report artefacts the pipeline produces; none is typed by hand.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