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0CE46" w14:textId="504D452F" w:rsidR="002F13A1" w:rsidRDefault="00397E05" w:rsidP="00397E05">
      <w:pPr>
        <w:pStyle w:val="Heading2"/>
      </w:pPr>
      <w:r>
        <w:t xml:space="preserve">5. Results </w:t>
      </w:r>
    </w:p>
    <w:p w14:paraId="225DDCFF" w14:textId="44DEFDA2" w:rsidR="00A953E7" w:rsidRPr="00A953E7" w:rsidRDefault="00A953E7" w:rsidP="00A953E7">
      <w:pPr>
        <w:jc w:val="both"/>
      </w:pPr>
      <w:r>
        <w:t xml:space="preserve">This chapter presents the results of the experiments described in the Methods, where the order of result presentation generally matched the order given in the Methods. </w:t>
      </w:r>
    </w:p>
    <w:p w14:paraId="3A925D82" w14:textId="30148E74" w:rsidR="0070750D" w:rsidRDefault="00397E05" w:rsidP="0070750D">
      <w:pPr>
        <w:pStyle w:val="Heading3"/>
      </w:pPr>
      <w:r>
        <w:t>5.1 Exploratory Data Analysis</w:t>
      </w:r>
    </w:p>
    <w:p w14:paraId="4574C0A1" w14:textId="39B51A40" w:rsidR="00A953E7" w:rsidRDefault="00A953E7" w:rsidP="00A953E7">
      <w:pPr>
        <w:pStyle w:val="Heading4"/>
      </w:pPr>
      <w:r>
        <w:t>5.1</w:t>
      </w:r>
      <w:r>
        <w:t>1</w:t>
      </w:r>
      <w:r>
        <w:t xml:space="preserve"> Missing Data Analysis</w:t>
      </w:r>
    </w:p>
    <w:p w14:paraId="2B0EBBD4" w14:textId="6BFCB1FF" w:rsidR="00A953E7" w:rsidRDefault="00A953E7" w:rsidP="00A953E7">
      <w:pPr>
        <w:jc w:val="both"/>
      </w:pPr>
      <w:r>
        <w:t xml:space="preserve">The proportion of missing MMR data varied </w:t>
      </w:r>
      <w:r>
        <w:t xml:space="preserve">by a large margin </w:t>
      </w:r>
      <w:r>
        <w:t>across income levels</w:t>
      </w:r>
      <w:r>
        <w:t xml:space="preserve"> (see Figure 10, below). Generally, the proportion of missing data </w:t>
      </w:r>
      <w:r>
        <w:t>decreas</w:t>
      </w:r>
      <w:r>
        <w:t>ed</w:t>
      </w:r>
      <w:r>
        <w:t xml:space="preserve"> as income level increased. The difference between the proportion of missing data in lower-middle and upper-middle income countries is larger than the difference between low and lower-middle income countries and the difference between high and upper-middle income countries. There was a slight downward trend in the proportion of missing data per year over time, with this trend being more noticeable in high and upper-middle income countries. For example, proportion of missing data decreased from under 25% and 35% pre-1995 to under 15% and 25% between 2000 and 2014 for high and upper-middle income countries, respectively. Interestingly, the proportion of missing data started increasing for high and upper-middle income countries post-2010, with the total increase being over 30%.  </w:t>
      </w:r>
    </w:p>
    <w:p w14:paraId="6F487799" w14:textId="77777777" w:rsidR="00A953E7" w:rsidRPr="00DE45FF" w:rsidRDefault="00A953E7" w:rsidP="00A953E7">
      <w:pPr>
        <w:jc w:val="both"/>
      </w:pPr>
    </w:p>
    <w:p w14:paraId="4A2122A4" w14:textId="77777777" w:rsidR="00A953E7" w:rsidRDefault="00A953E7" w:rsidP="00A953E7">
      <w:pPr>
        <w:jc w:val="center"/>
      </w:pPr>
      <w:r w:rsidRPr="0052725C">
        <w:rPr>
          <w:noProof/>
        </w:rPr>
        <w:drawing>
          <wp:inline distT="0" distB="0" distL="0" distR="0" wp14:anchorId="0D65EC88" wp14:editId="1A2FC8CB">
            <wp:extent cx="5731510" cy="3141980"/>
            <wp:effectExtent l="0" t="0" r="0" b="0"/>
            <wp:docPr id="1420380975" name="Picture 1" descr="A graph of missing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80975" name="Picture 1" descr="A graph of missing data&#10;&#10;AI-generated content may be incorrect."/>
                    <pic:cNvPicPr/>
                  </pic:nvPicPr>
                  <pic:blipFill>
                    <a:blip r:embed="rId4"/>
                    <a:stretch>
                      <a:fillRect/>
                    </a:stretch>
                  </pic:blipFill>
                  <pic:spPr>
                    <a:xfrm>
                      <a:off x="0" y="0"/>
                      <a:ext cx="5731510" cy="3141980"/>
                    </a:xfrm>
                    <a:prstGeom prst="rect">
                      <a:avLst/>
                    </a:prstGeom>
                  </pic:spPr>
                </pic:pic>
              </a:graphicData>
            </a:graphic>
          </wp:inline>
        </w:drawing>
      </w:r>
    </w:p>
    <w:p w14:paraId="743AC35E" w14:textId="77777777" w:rsidR="00A953E7" w:rsidRDefault="00A953E7" w:rsidP="00A953E7">
      <w:pPr>
        <w:jc w:val="both"/>
      </w:pPr>
      <w:r w:rsidRPr="00C23179">
        <w:rPr>
          <w:b/>
          <w:bCs/>
        </w:rPr>
        <w:t xml:space="preserve">Figure </w:t>
      </w:r>
      <w:r>
        <w:rPr>
          <w:b/>
          <w:bCs/>
        </w:rPr>
        <w:t>10</w:t>
      </w:r>
      <w:r w:rsidRPr="00C23179">
        <w:rPr>
          <w:b/>
          <w:bCs/>
        </w:rPr>
        <w:t>:</w:t>
      </w:r>
      <w:r>
        <w:t xml:space="preserve"> The proportion of missing MMR data per year for all countries in a specific income level between 1985 and 2018. The proportion of missing data across low-income countries was plotted in red, lower-middle in orange, upper-middle in blue, and high in green.</w:t>
      </w:r>
    </w:p>
    <w:p w14:paraId="6716160C" w14:textId="77777777" w:rsidR="00A953E7" w:rsidRPr="00A953E7" w:rsidRDefault="00A953E7" w:rsidP="00A953E7"/>
    <w:p w14:paraId="1C1A17ED" w14:textId="2FCDE95B" w:rsidR="0070750D" w:rsidRDefault="0070750D" w:rsidP="0070750D">
      <w:pPr>
        <w:pStyle w:val="Heading4"/>
      </w:pPr>
      <w:r>
        <w:t>5.</w:t>
      </w:r>
      <w:r>
        <w:t>1</w:t>
      </w:r>
      <w:r w:rsidR="00A953E7">
        <w:t>2</w:t>
      </w:r>
      <w:r>
        <w:t xml:space="preserve"> </w:t>
      </w:r>
      <w:r>
        <w:t>Key Statistics</w:t>
      </w:r>
      <w:r w:rsidR="00A953E7">
        <w:t xml:space="preserve"> in the Merged Input Data Before Pre-Processing</w:t>
      </w:r>
    </w:p>
    <w:p w14:paraId="24D59B73" w14:textId="742C5875" w:rsidR="008632AE" w:rsidRDefault="00A953E7" w:rsidP="008632AE">
      <w:pPr>
        <w:jc w:val="both"/>
      </w:pPr>
      <w:r>
        <w:t>As described in Section 4.</w:t>
      </w:r>
      <w:r w:rsidR="008632AE">
        <w:t xml:space="preserve">Generally, health outcomes improved as income level increased, as expected. Standard deviation in the outcome decreased as income level decreased, indicating a more uniform quality of care. While many of the important variables have low rates of missing data, some of the important socio-economic and </w:t>
      </w:r>
      <w:r w:rsidR="008632AE">
        <w:lastRenderedPageBreak/>
        <w:t>quality of care features had increasing proportions of missing data as income level increased. For example, the dataset for the lowest income level countries was missing 58% of data regarding ‘women participating in own health care decisions (% of women age 15-49)’ while the dataset for the highest income countries was missing 99.9% (see Table 4). This feature was sourced from a Demographic Health Survey (DHS), which is normally collected in lower income countries, explaining the data disparity. This is a good trend to be aware of when analysing feature importance for features measured more frequently using DHS data.</w:t>
      </w:r>
    </w:p>
    <w:p w14:paraId="31B961B2" w14:textId="77777777" w:rsidR="008632AE" w:rsidRDefault="008632AE" w:rsidP="008632AE">
      <w:pPr>
        <w:jc w:val="both"/>
      </w:pPr>
    </w:p>
    <w:p w14:paraId="2FE5B81E" w14:textId="77777777" w:rsidR="008632AE" w:rsidRDefault="008632AE" w:rsidP="008632AE">
      <w:pPr>
        <w:jc w:val="both"/>
      </w:pPr>
      <w:r>
        <w:t xml:space="preserve">According to Table 4, the national MMR estimates were subject to large outliers, as the mean values were larger than the median values for all income levels. Additionally, the standard deviation for the MMR estimates was large. The difference between mean and median, as well as the magnitude of the standard deviation, decreased as income level increased. This indicates that outliers will be more common for lower income countries, as they have a wider variety of possible MMR values than higher income countries.  </w:t>
      </w:r>
    </w:p>
    <w:p w14:paraId="1AD51132" w14:textId="77777777" w:rsidR="008632AE" w:rsidRDefault="008632AE" w:rsidP="008632AE">
      <w:pPr>
        <w:jc w:val="both"/>
      </w:pPr>
    </w:p>
    <w:p w14:paraId="7B016AC6" w14:textId="3524CF14" w:rsidR="008632AE" w:rsidRDefault="008632AE" w:rsidP="008632AE">
      <w:pPr>
        <w:jc w:val="both"/>
      </w:pPr>
      <w:r w:rsidRPr="009A0297">
        <w:rPr>
          <w:b/>
          <w:bCs/>
        </w:rPr>
        <w:t xml:space="preserve">Table </w:t>
      </w:r>
      <w:r w:rsidR="00A953E7">
        <w:rPr>
          <w:b/>
          <w:bCs/>
        </w:rPr>
        <w:t>10</w:t>
      </w:r>
      <w:r w:rsidRPr="009A0297">
        <w:rPr>
          <w:b/>
          <w:bCs/>
        </w:rPr>
        <w:t>:</w:t>
      </w:r>
      <w:r>
        <w:t xml:space="preserve"> Mean, median, standard deviation and proportion of missing data of features with a meaningful relationship to MMR. The key summary statistics were presented per income level.</w:t>
      </w:r>
    </w:p>
    <w:p w14:paraId="006A364E" w14:textId="77777777" w:rsidR="008632AE" w:rsidRDefault="008632AE" w:rsidP="008632AE">
      <w:pPr>
        <w:jc w:val="both"/>
      </w:pPr>
    </w:p>
    <w:tbl>
      <w:tblPr>
        <w:tblStyle w:val="TableGrid"/>
        <w:tblW w:w="0" w:type="auto"/>
        <w:tblLook w:val="04A0" w:firstRow="1" w:lastRow="0" w:firstColumn="1" w:lastColumn="0" w:noHBand="0" w:noVBand="1"/>
      </w:tblPr>
      <w:tblGrid>
        <w:gridCol w:w="1885"/>
        <w:gridCol w:w="1212"/>
        <w:gridCol w:w="1126"/>
        <w:gridCol w:w="1346"/>
        <w:gridCol w:w="1500"/>
        <w:gridCol w:w="1947"/>
      </w:tblGrid>
      <w:tr w:rsidR="008632AE" w14:paraId="50236CE6" w14:textId="77777777" w:rsidTr="009D306D">
        <w:tc>
          <w:tcPr>
            <w:tcW w:w="1743" w:type="dxa"/>
            <w:shd w:val="clear" w:color="auto" w:fill="ADADAD" w:themeFill="background2" w:themeFillShade="BF"/>
          </w:tcPr>
          <w:p w14:paraId="05B1F1EE" w14:textId="77777777" w:rsidR="008632AE" w:rsidRPr="00836916" w:rsidRDefault="008632AE" w:rsidP="009D306D">
            <w:pPr>
              <w:jc w:val="center"/>
              <w:rPr>
                <w:b/>
                <w:bCs/>
              </w:rPr>
            </w:pPr>
            <w:r w:rsidRPr="00836916">
              <w:rPr>
                <w:b/>
                <w:bCs/>
              </w:rPr>
              <w:t>Feature</w:t>
            </w:r>
          </w:p>
        </w:tc>
        <w:tc>
          <w:tcPr>
            <w:tcW w:w="1228" w:type="dxa"/>
            <w:shd w:val="clear" w:color="auto" w:fill="ADADAD" w:themeFill="background2" w:themeFillShade="BF"/>
          </w:tcPr>
          <w:p w14:paraId="169AF5A8" w14:textId="77777777" w:rsidR="008632AE" w:rsidRPr="00836916" w:rsidRDefault="008632AE" w:rsidP="009D306D">
            <w:pPr>
              <w:jc w:val="center"/>
              <w:rPr>
                <w:b/>
                <w:bCs/>
              </w:rPr>
            </w:pPr>
            <w:r>
              <w:rPr>
                <w:b/>
                <w:bCs/>
              </w:rPr>
              <w:t>Income Level</w:t>
            </w:r>
          </w:p>
        </w:tc>
        <w:tc>
          <w:tcPr>
            <w:tcW w:w="1145" w:type="dxa"/>
            <w:shd w:val="clear" w:color="auto" w:fill="ADADAD" w:themeFill="background2" w:themeFillShade="BF"/>
          </w:tcPr>
          <w:p w14:paraId="51CEE3DE" w14:textId="77777777" w:rsidR="008632AE" w:rsidRPr="00836916" w:rsidRDefault="008632AE" w:rsidP="009D306D">
            <w:pPr>
              <w:jc w:val="center"/>
              <w:rPr>
                <w:b/>
                <w:bCs/>
              </w:rPr>
            </w:pPr>
            <w:r w:rsidRPr="00836916">
              <w:rPr>
                <w:b/>
                <w:bCs/>
              </w:rPr>
              <w:t>Mean</w:t>
            </w:r>
          </w:p>
        </w:tc>
        <w:tc>
          <w:tcPr>
            <w:tcW w:w="1376" w:type="dxa"/>
            <w:shd w:val="clear" w:color="auto" w:fill="ADADAD" w:themeFill="background2" w:themeFillShade="BF"/>
          </w:tcPr>
          <w:p w14:paraId="090895D4" w14:textId="77777777" w:rsidR="008632AE" w:rsidRPr="00836916" w:rsidRDefault="008632AE" w:rsidP="009D306D">
            <w:pPr>
              <w:jc w:val="center"/>
              <w:rPr>
                <w:b/>
                <w:bCs/>
              </w:rPr>
            </w:pPr>
            <w:r w:rsidRPr="00836916">
              <w:rPr>
                <w:b/>
                <w:bCs/>
              </w:rPr>
              <w:t>Median</w:t>
            </w:r>
          </w:p>
        </w:tc>
        <w:tc>
          <w:tcPr>
            <w:tcW w:w="1523" w:type="dxa"/>
            <w:shd w:val="clear" w:color="auto" w:fill="ADADAD" w:themeFill="background2" w:themeFillShade="BF"/>
          </w:tcPr>
          <w:p w14:paraId="29689D8A" w14:textId="77777777" w:rsidR="008632AE" w:rsidRPr="00836916" w:rsidRDefault="008632AE" w:rsidP="009D306D">
            <w:pPr>
              <w:jc w:val="center"/>
              <w:rPr>
                <w:b/>
                <w:bCs/>
              </w:rPr>
            </w:pPr>
            <w:r w:rsidRPr="00836916">
              <w:rPr>
                <w:b/>
                <w:bCs/>
              </w:rPr>
              <w:t>Standard Deviation</w:t>
            </w:r>
          </w:p>
        </w:tc>
        <w:tc>
          <w:tcPr>
            <w:tcW w:w="2001" w:type="dxa"/>
            <w:shd w:val="clear" w:color="auto" w:fill="ADADAD" w:themeFill="background2" w:themeFillShade="BF"/>
          </w:tcPr>
          <w:p w14:paraId="2D708177" w14:textId="77777777" w:rsidR="008632AE" w:rsidRPr="00836916" w:rsidRDefault="008632AE" w:rsidP="009D306D">
            <w:pPr>
              <w:jc w:val="center"/>
              <w:rPr>
                <w:b/>
                <w:bCs/>
              </w:rPr>
            </w:pPr>
            <w:r w:rsidRPr="00836916">
              <w:rPr>
                <w:b/>
                <w:bCs/>
              </w:rPr>
              <w:t>Proportion of Missing Data</w:t>
            </w:r>
            <w:r>
              <w:rPr>
                <w:b/>
                <w:bCs/>
              </w:rPr>
              <w:t xml:space="preserve"> (%)</w:t>
            </w:r>
          </w:p>
        </w:tc>
      </w:tr>
      <w:tr w:rsidR="008632AE" w14:paraId="5D3C103D" w14:textId="77777777" w:rsidTr="009D306D">
        <w:tc>
          <w:tcPr>
            <w:tcW w:w="1743" w:type="dxa"/>
            <w:vMerge w:val="restart"/>
            <w:shd w:val="clear" w:color="auto" w:fill="FFFFFF" w:themeFill="background1"/>
          </w:tcPr>
          <w:p w14:paraId="7A159602" w14:textId="77777777" w:rsidR="008632AE" w:rsidRDefault="008632AE" w:rsidP="009D306D">
            <w:pPr>
              <w:jc w:val="center"/>
            </w:pPr>
            <w:r>
              <w:t xml:space="preserve">WHO national MMR estimate </w:t>
            </w:r>
          </w:p>
        </w:tc>
        <w:tc>
          <w:tcPr>
            <w:tcW w:w="1228" w:type="dxa"/>
            <w:shd w:val="clear" w:color="auto" w:fill="FFFFFF" w:themeFill="background1"/>
          </w:tcPr>
          <w:p w14:paraId="2928BE7E" w14:textId="77777777" w:rsidR="008632AE" w:rsidRDefault="008632AE" w:rsidP="009D306D">
            <w:pPr>
              <w:jc w:val="center"/>
            </w:pPr>
            <w:r>
              <w:t>Low</w:t>
            </w:r>
          </w:p>
        </w:tc>
        <w:tc>
          <w:tcPr>
            <w:tcW w:w="1145" w:type="dxa"/>
            <w:shd w:val="clear" w:color="auto" w:fill="FFFFFF" w:themeFill="background1"/>
          </w:tcPr>
          <w:p w14:paraId="1B20B3AE" w14:textId="77777777" w:rsidR="008632AE" w:rsidRDefault="008632AE" w:rsidP="009D306D">
            <w:pPr>
              <w:jc w:val="center"/>
            </w:pPr>
            <w:r>
              <w:t>657</w:t>
            </w:r>
          </w:p>
        </w:tc>
        <w:tc>
          <w:tcPr>
            <w:tcW w:w="1376" w:type="dxa"/>
            <w:shd w:val="clear" w:color="auto" w:fill="FFFFFF" w:themeFill="background1"/>
          </w:tcPr>
          <w:p w14:paraId="5099CDC3" w14:textId="77777777" w:rsidR="008632AE" w:rsidRDefault="008632AE" w:rsidP="009D306D">
            <w:pPr>
              <w:jc w:val="center"/>
            </w:pPr>
            <w:r>
              <w:t>617</w:t>
            </w:r>
          </w:p>
        </w:tc>
        <w:tc>
          <w:tcPr>
            <w:tcW w:w="1523" w:type="dxa"/>
            <w:shd w:val="clear" w:color="auto" w:fill="FFFFFF" w:themeFill="background1"/>
          </w:tcPr>
          <w:p w14:paraId="37778A7B" w14:textId="77777777" w:rsidR="008632AE" w:rsidRDefault="008632AE" w:rsidP="009D306D">
            <w:pPr>
              <w:jc w:val="center"/>
            </w:pPr>
            <w:r>
              <w:t>453</w:t>
            </w:r>
          </w:p>
        </w:tc>
        <w:tc>
          <w:tcPr>
            <w:tcW w:w="2001" w:type="dxa"/>
            <w:shd w:val="clear" w:color="auto" w:fill="FFFFFF" w:themeFill="background1"/>
          </w:tcPr>
          <w:p w14:paraId="000865F5" w14:textId="77777777" w:rsidR="008632AE" w:rsidRDefault="008632AE" w:rsidP="009D306D">
            <w:pPr>
              <w:jc w:val="center"/>
            </w:pPr>
            <w:r>
              <w:t>0</w:t>
            </w:r>
          </w:p>
        </w:tc>
      </w:tr>
      <w:tr w:rsidR="008632AE" w14:paraId="7A5DA200" w14:textId="77777777" w:rsidTr="009D306D">
        <w:tc>
          <w:tcPr>
            <w:tcW w:w="1743" w:type="dxa"/>
            <w:vMerge/>
            <w:shd w:val="clear" w:color="auto" w:fill="FFFFFF" w:themeFill="background1"/>
          </w:tcPr>
          <w:p w14:paraId="6447E2C1" w14:textId="77777777" w:rsidR="008632AE" w:rsidRDefault="008632AE" w:rsidP="009D306D">
            <w:pPr>
              <w:jc w:val="center"/>
            </w:pPr>
          </w:p>
        </w:tc>
        <w:tc>
          <w:tcPr>
            <w:tcW w:w="1228" w:type="dxa"/>
            <w:shd w:val="clear" w:color="auto" w:fill="FFFFFF" w:themeFill="background1"/>
          </w:tcPr>
          <w:p w14:paraId="34D2F17D" w14:textId="77777777" w:rsidR="008632AE" w:rsidRDefault="008632AE" w:rsidP="009D306D">
            <w:pPr>
              <w:jc w:val="center"/>
            </w:pPr>
            <w:r>
              <w:t>Upper middle</w:t>
            </w:r>
          </w:p>
        </w:tc>
        <w:tc>
          <w:tcPr>
            <w:tcW w:w="1145" w:type="dxa"/>
            <w:shd w:val="clear" w:color="auto" w:fill="FFFFFF" w:themeFill="background1"/>
          </w:tcPr>
          <w:p w14:paraId="1B87070E" w14:textId="77777777" w:rsidR="008632AE" w:rsidRDefault="008632AE" w:rsidP="009D306D">
            <w:pPr>
              <w:jc w:val="center"/>
            </w:pPr>
            <w:r>
              <w:t>197</w:t>
            </w:r>
          </w:p>
        </w:tc>
        <w:tc>
          <w:tcPr>
            <w:tcW w:w="1376" w:type="dxa"/>
            <w:shd w:val="clear" w:color="auto" w:fill="FFFFFF" w:themeFill="background1"/>
          </w:tcPr>
          <w:p w14:paraId="262651DE" w14:textId="77777777" w:rsidR="008632AE" w:rsidRDefault="008632AE" w:rsidP="009D306D">
            <w:pPr>
              <w:jc w:val="center"/>
            </w:pPr>
            <w:r>
              <w:t>55</w:t>
            </w:r>
          </w:p>
        </w:tc>
        <w:tc>
          <w:tcPr>
            <w:tcW w:w="1523" w:type="dxa"/>
            <w:shd w:val="clear" w:color="auto" w:fill="FFFFFF" w:themeFill="background1"/>
          </w:tcPr>
          <w:p w14:paraId="271F8AD1" w14:textId="77777777" w:rsidR="008632AE" w:rsidRDefault="008632AE" w:rsidP="009D306D">
            <w:pPr>
              <w:jc w:val="center"/>
            </w:pPr>
            <w:r>
              <w:t>260</w:t>
            </w:r>
          </w:p>
        </w:tc>
        <w:tc>
          <w:tcPr>
            <w:tcW w:w="2001" w:type="dxa"/>
            <w:shd w:val="clear" w:color="auto" w:fill="FFFFFF" w:themeFill="background1"/>
          </w:tcPr>
          <w:p w14:paraId="001D2D40" w14:textId="77777777" w:rsidR="008632AE" w:rsidRDefault="008632AE" w:rsidP="009D306D">
            <w:pPr>
              <w:jc w:val="center"/>
            </w:pPr>
            <w:r>
              <w:t>0</w:t>
            </w:r>
          </w:p>
        </w:tc>
      </w:tr>
      <w:tr w:rsidR="008632AE" w14:paraId="3FF58B22" w14:textId="77777777" w:rsidTr="009D306D">
        <w:tc>
          <w:tcPr>
            <w:tcW w:w="1743" w:type="dxa"/>
            <w:vMerge/>
            <w:shd w:val="clear" w:color="auto" w:fill="FFFFFF" w:themeFill="background1"/>
          </w:tcPr>
          <w:p w14:paraId="751CCB37" w14:textId="77777777" w:rsidR="008632AE" w:rsidRDefault="008632AE" w:rsidP="009D306D">
            <w:pPr>
              <w:jc w:val="center"/>
            </w:pPr>
          </w:p>
        </w:tc>
        <w:tc>
          <w:tcPr>
            <w:tcW w:w="1228" w:type="dxa"/>
            <w:shd w:val="clear" w:color="auto" w:fill="FFFFFF" w:themeFill="background1"/>
          </w:tcPr>
          <w:p w14:paraId="6CACF6BD" w14:textId="77777777" w:rsidR="008632AE" w:rsidRDefault="008632AE" w:rsidP="009D306D">
            <w:pPr>
              <w:jc w:val="center"/>
            </w:pPr>
            <w:r>
              <w:t>Lower middle</w:t>
            </w:r>
          </w:p>
        </w:tc>
        <w:tc>
          <w:tcPr>
            <w:tcW w:w="1145" w:type="dxa"/>
            <w:shd w:val="clear" w:color="auto" w:fill="FFFFFF" w:themeFill="background1"/>
          </w:tcPr>
          <w:p w14:paraId="428290F1" w14:textId="77777777" w:rsidR="008632AE" w:rsidRDefault="008632AE" w:rsidP="009D306D">
            <w:pPr>
              <w:jc w:val="center"/>
            </w:pPr>
            <w:r>
              <w:t>51</w:t>
            </w:r>
          </w:p>
        </w:tc>
        <w:tc>
          <w:tcPr>
            <w:tcW w:w="1376" w:type="dxa"/>
            <w:shd w:val="clear" w:color="auto" w:fill="FFFFFF" w:themeFill="background1"/>
          </w:tcPr>
          <w:p w14:paraId="25FF5720" w14:textId="77777777" w:rsidR="008632AE" w:rsidRDefault="008632AE" w:rsidP="009D306D">
            <w:pPr>
              <w:jc w:val="center"/>
            </w:pPr>
            <w:r>
              <w:t>38</w:t>
            </w:r>
          </w:p>
        </w:tc>
        <w:tc>
          <w:tcPr>
            <w:tcW w:w="1523" w:type="dxa"/>
            <w:shd w:val="clear" w:color="auto" w:fill="FFFFFF" w:themeFill="background1"/>
          </w:tcPr>
          <w:p w14:paraId="4FBE3DD7" w14:textId="77777777" w:rsidR="008632AE" w:rsidRDefault="008632AE" w:rsidP="009D306D">
            <w:pPr>
              <w:jc w:val="center"/>
            </w:pPr>
            <w:r>
              <w:t>55</w:t>
            </w:r>
          </w:p>
        </w:tc>
        <w:tc>
          <w:tcPr>
            <w:tcW w:w="2001" w:type="dxa"/>
            <w:shd w:val="clear" w:color="auto" w:fill="FFFFFF" w:themeFill="background1"/>
          </w:tcPr>
          <w:p w14:paraId="50574B6E" w14:textId="77777777" w:rsidR="008632AE" w:rsidRDefault="008632AE" w:rsidP="009D306D">
            <w:pPr>
              <w:jc w:val="center"/>
            </w:pPr>
            <w:r>
              <w:t>0</w:t>
            </w:r>
          </w:p>
        </w:tc>
      </w:tr>
      <w:tr w:rsidR="008632AE" w14:paraId="4A9A8224" w14:textId="77777777" w:rsidTr="009D306D">
        <w:tc>
          <w:tcPr>
            <w:tcW w:w="1743" w:type="dxa"/>
            <w:vMerge/>
            <w:shd w:val="clear" w:color="auto" w:fill="FFFFFF" w:themeFill="background1"/>
          </w:tcPr>
          <w:p w14:paraId="49E77ED4" w14:textId="77777777" w:rsidR="008632AE" w:rsidRDefault="008632AE" w:rsidP="009D306D">
            <w:pPr>
              <w:jc w:val="center"/>
            </w:pPr>
          </w:p>
        </w:tc>
        <w:tc>
          <w:tcPr>
            <w:tcW w:w="1228" w:type="dxa"/>
            <w:shd w:val="clear" w:color="auto" w:fill="FFFFFF" w:themeFill="background1"/>
          </w:tcPr>
          <w:p w14:paraId="50F95EEF" w14:textId="77777777" w:rsidR="008632AE" w:rsidRDefault="008632AE" w:rsidP="009D306D">
            <w:pPr>
              <w:jc w:val="center"/>
            </w:pPr>
            <w:r>
              <w:t>High</w:t>
            </w:r>
          </w:p>
        </w:tc>
        <w:tc>
          <w:tcPr>
            <w:tcW w:w="1145" w:type="dxa"/>
            <w:shd w:val="clear" w:color="auto" w:fill="FFFFFF" w:themeFill="background1"/>
          </w:tcPr>
          <w:p w14:paraId="09BBE173" w14:textId="77777777" w:rsidR="008632AE" w:rsidRDefault="008632AE" w:rsidP="009D306D">
            <w:pPr>
              <w:jc w:val="center"/>
            </w:pPr>
            <w:r>
              <w:t>15</w:t>
            </w:r>
          </w:p>
        </w:tc>
        <w:tc>
          <w:tcPr>
            <w:tcW w:w="1376" w:type="dxa"/>
            <w:shd w:val="clear" w:color="auto" w:fill="FFFFFF" w:themeFill="background1"/>
          </w:tcPr>
          <w:p w14:paraId="07C4BE77" w14:textId="77777777" w:rsidR="008632AE" w:rsidRDefault="008632AE" w:rsidP="009D306D">
            <w:pPr>
              <w:jc w:val="center"/>
            </w:pPr>
            <w:r>
              <w:t>8</w:t>
            </w:r>
          </w:p>
        </w:tc>
        <w:tc>
          <w:tcPr>
            <w:tcW w:w="1523" w:type="dxa"/>
            <w:shd w:val="clear" w:color="auto" w:fill="FFFFFF" w:themeFill="background1"/>
          </w:tcPr>
          <w:p w14:paraId="21CB8BDC" w14:textId="77777777" w:rsidR="008632AE" w:rsidRDefault="008632AE" w:rsidP="009D306D">
            <w:pPr>
              <w:jc w:val="center"/>
            </w:pPr>
            <w:r>
              <w:t>21</w:t>
            </w:r>
          </w:p>
        </w:tc>
        <w:tc>
          <w:tcPr>
            <w:tcW w:w="2001" w:type="dxa"/>
            <w:shd w:val="clear" w:color="auto" w:fill="FFFFFF" w:themeFill="background1"/>
          </w:tcPr>
          <w:p w14:paraId="18C14C58" w14:textId="77777777" w:rsidR="008632AE" w:rsidRDefault="008632AE" w:rsidP="009D306D">
            <w:pPr>
              <w:jc w:val="center"/>
            </w:pPr>
            <w:r>
              <w:t>0</w:t>
            </w:r>
          </w:p>
        </w:tc>
      </w:tr>
      <w:tr w:rsidR="008632AE" w14:paraId="2F2520FE" w14:textId="77777777" w:rsidTr="009D306D">
        <w:tc>
          <w:tcPr>
            <w:tcW w:w="1743" w:type="dxa"/>
            <w:vMerge w:val="restart"/>
            <w:shd w:val="clear" w:color="auto" w:fill="D1D1D1" w:themeFill="background2" w:themeFillShade="E6"/>
          </w:tcPr>
          <w:p w14:paraId="247F856F" w14:textId="77777777" w:rsidR="008632AE" w:rsidRDefault="008632AE" w:rsidP="009D306D">
            <w:pPr>
              <w:jc w:val="center"/>
            </w:pPr>
            <w:r>
              <w:t>Infant mortality rate (per 1,000 live births)</w:t>
            </w:r>
          </w:p>
        </w:tc>
        <w:tc>
          <w:tcPr>
            <w:tcW w:w="1228" w:type="dxa"/>
            <w:shd w:val="clear" w:color="auto" w:fill="D1D1D1" w:themeFill="background2" w:themeFillShade="E6"/>
          </w:tcPr>
          <w:p w14:paraId="4B2EAB72" w14:textId="77777777" w:rsidR="008632AE" w:rsidRDefault="008632AE" w:rsidP="009D306D">
            <w:pPr>
              <w:jc w:val="center"/>
            </w:pPr>
            <w:r>
              <w:t>Low</w:t>
            </w:r>
          </w:p>
        </w:tc>
        <w:tc>
          <w:tcPr>
            <w:tcW w:w="1145" w:type="dxa"/>
            <w:shd w:val="clear" w:color="auto" w:fill="D1D1D1" w:themeFill="background2" w:themeFillShade="E6"/>
          </w:tcPr>
          <w:p w14:paraId="58741020" w14:textId="77777777" w:rsidR="008632AE" w:rsidRDefault="008632AE" w:rsidP="009D306D">
            <w:pPr>
              <w:jc w:val="center"/>
            </w:pPr>
            <w:r>
              <w:t>63</w:t>
            </w:r>
          </w:p>
        </w:tc>
        <w:tc>
          <w:tcPr>
            <w:tcW w:w="1376" w:type="dxa"/>
            <w:shd w:val="clear" w:color="auto" w:fill="D1D1D1" w:themeFill="background2" w:themeFillShade="E6"/>
          </w:tcPr>
          <w:p w14:paraId="779B820D" w14:textId="77777777" w:rsidR="008632AE" w:rsidRDefault="008632AE" w:rsidP="009D306D">
            <w:pPr>
              <w:jc w:val="center"/>
            </w:pPr>
            <w:r>
              <w:t>65</w:t>
            </w:r>
          </w:p>
        </w:tc>
        <w:tc>
          <w:tcPr>
            <w:tcW w:w="1523" w:type="dxa"/>
            <w:shd w:val="clear" w:color="auto" w:fill="D1D1D1" w:themeFill="background2" w:themeFillShade="E6"/>
          </w:tcPr>
          <w:p w14:paraId="23D9122D" w14:textId="77777777" w:rsidR="008632AE" w:rsidRDefault="008632AE" w:rsidP="009D306D">
            <w:pPr>
              <w:jc w:val="center"/>
            </w:pPr>
            <w:r>
              <w:t>29</w:t>
            </w:r>
          </w:p>
        </w:tc>
        <w:tc>
          <w:tcPr>
            <w:tcW w:w="2001" w:type="dxa"/>
            <w:shd w:val="clear" w:color="auto" w:fill="D1D1D1" w:themeFill="background2" w:themeFillShade="E6"/>
          </w:tcPr>
          <w:p w14:paraId="599B1FF0" w14:textId="77777777" w:rsidR="008632AE" w:rsidRDefault="008632AE" w:rsidP="009D306D">
            <w:pPr>
              <w:jc w:val="center"/>
            </w:pPr>
            <w:r>
              <w:t>0</w:t>
            </w:r>
          </w:p>
        </w:tc>
      </w:tr>
      <w:tr w:rsidR="008632AE" w14:paraId="0540D6AE" w14:textId="77777777" w:rsidTr="009D306D">
        <w:tc>
          <w:tcPr>
            <w:tcW w:w="1743" w:type="dxa"/>
            <w:vMerge/>
            <w:shd w:val="clear" w:color="auto" w:fill="D1D1D1" w:themeFill="background2" w:themeFillShade="E6"/>
          </w:tcPr>
          <w:p w14:paraId="3E6F6BD8" w14:textId="77777777" w:rsidR="008632AE" w:rsidRDefault="008632AE" w:rsidP="009D306D">
            <w:pPr>
              <w:jc w:val="center"/>
            </w:pPr>
          </w:p>
        </w:tc>
        <w:tc>
          <w:tcPr>
            <w:tcW w:w="1228" w:type="dxa"/>
            <w:shd w:val="clear" w:color="auto" w:fill="D1D1D1" w:themeFill="background2" w:themeFillShade="E6"/>
          </w:tcPr>
          <w:p w14:paraId="53890074" w14:textId="77777777" w:rsidR="008632AE" w:rsidRDefault="008632AE" w:rsidP="009D306D">
            <w:pPr>
              <w:jc w:val="center"/>
            </w:pPr>
            <w:r>
              <w:t>Upper middle</w:t>
            </w:r>
          </w:p>
        </w:tc>
        <w:tc>
          <w:tcPr>
            <w:tcW w:w="1145" w:type="dxa"/>
            <w:shd w:val="clear" w:color="auto" w:fill="D1D1D1" w:themeFill="background2" w:themeFillShade="E6"/>
          </w:tcPr>
          <w:p w14:paraId="49E34AD1" w14:textId="77777777" w:rsidR="008632AE" w:rsidRDefault="008632AE" w:rsidP="009D306D">
            <w:pPr>
              <w:jc w:val="center"/>
            </w:pPr>
            <w:r>
              <w:t>43</w:t>
            </w:r>
          </w:p>
        </w:tc>
        <w:tc>
          <w:tcPr>
            <w:tcW w:w="1376" w:type="dxa"/>
            <w:shd w:val="clear" w:color="auto" w:fill="D1D1D1" w:themeFill="background2" w:themeFillShade="E6"/>
          </w:tcPr>
          <w:p w14:paraId="2FBA0440" w14:textId="77777777" w:rsidR="008632AE" w:rsidRDefault="008632AE" w:rsidP="009D306D">
            <w:pPr>
              <w:jc w:val="center"/>
            </w:pPr>
            <w:r>
              <w:t>39</w:t>
            </w:r>
          </w:p>
        </w:tc>
        <w:tc>
          <w:tcPr>
            <w:tcW w:w="1523" w:type="dxa"/>
            <w:shd w:val="clear" w:color="auto" w:fill="D1D1D1" w:themeFill="background2" w:themeFillShade="E6"/>
          </w:tcPr>
          <w:p w14:paraId="0E41DA4D" w14:textId="77777777" w:rsidR="008632AE" w:rsidRDefault="008632AE" w:rsidP="009D306D">
            <w:pPr>
              <w:jc w:val="center"/>
            </w:pPr>
            <w:r>
              <w:t>23</w:t>
            </w:r>
          </w:p>
        </w:tc>
        <w:tc>
          <w:tcPr>
            <w:tcW w:w="2001" w:type="dxa"/>
            <w:shd w:val="clear" w:color="auto" w:fill="D1D1D1" w:themeFill="background2" w:themeFillShade="E6"/>
          </w:tcPr>
          <w:p w14:paraId="0F6087A7" w14:textId="77777777" w:rsidR="008632AE" w:rsidRDefault="008632AE" w:rsidP="009D306D">
            <w:pPr>
              <w:jc w:val="center"/>
            </w:pPr>
            <w:r>
              <w:t>0</w:t>
            </w:r>
          </w:p>
        </w:tc>
      </w:tr>
      <w:tr w:rsidR="008632AE" w14:paraId="60EAD472" w14:textId="77777777" w:rsidTr="009D306D">
        <w:tc>
          <w:tcPr>
            <w:tcW w:w="1743" w:type="dxa"/>
            <w:vMerge/>
            <w:shd w:val="clear" w:color="auto" w:fill="D1D1D1" w:themeFill="background2" w:themeFillShade="E6"/>
          </w:tcPr>
          <w:p w14:paraId="23788FDA" w14:textId="77777777" w:rsidR="008632AE" w:rsidRDefault="008632AE" w:rsidP="009D306D">
            <w:pPr>
              <w:jc w:val="center"/>
            </w:pPr>
          </w:p>
        </w:tc>
        <w:tc>
          <w:tcPr>
            <w:tcW w:w="1228" w:type="dxa"/>
            <w:shd w:val="clear" w:color="auto" w:fill="D1D1D1" w:themeFill="background2" w:themeFillShade="E6"/>
          </w:tcPr>
          <w:p w14:paraId="63337257" w14:textId="77777777" w:rsidR="008632AE" w:rsidRDefault="008632AE" w:rsidP="009D306D">
            <w:pPr>
              <w:jc w:val="center"/>
            </w:pPr>
            <w:r>
              <w:t>Lower middle</w:t>
            </w:r>
          </w:p>
        </w:tc>
        <w:tc>
          <w:tcPr>
            <w:tcW w:w="1145" w:type="dxa"/>
            <w:shd w:val="clear" w:color="auto" w:fill="D1D1D1" w:themeFill="background2" w:themeFillShade="E6"/>
          </w:tcPr>
          <w:p w14:paraId="47B64CC5" w14:textId="77777777" w:rsidR="008632AE" w:rsidRDefault="008632AE" w:rsidP="009D306D">
            <w:pPr>
              <w:jc w:val="center"/>
            </w:pPr>
            <w:r>
              <w:t>24</w:t>
            </w:r>
          </w:p>
        </w:tc>
        <w:tc>
          <w:tcPr>
            <w:tcW w:w="1376" w:type="dxa"/>
            <w:shd w:val="clear" w:color="auto" w:fill="D1D1D1" w:themeFill="background2" w:themeFillShade="E6"/>
          </w:tcPr>
          <w:p w14:paraId="37AC0140" w14:textId="77777777" w:rsidR="008632AE" w:rsidRDefault="008632AE" w:rsidP="009D306D">
            <w:pPr>
              <w:jc w:val="center"/>
            </w:pPr>
            <w:r>
              <w:t>19</w:t>
            </w:r>
          </w:p>
        </w:tc>
        <w:tc>
          <w:tcPr>
            <w:tcW w:w="1523" w:type="dxa"/>
            <w:shd w:val="clear" w:color="auto" w:fill="D1D1D1" w:themeFill="background2" w:themeFillShade="E6"/>
          </w:tcPr>
          <w:p w14:paraId="5CB8CC5D" w14:textId="77777777" w:rsidR="008632AE" w:rsidRDefault="008632AE" w:rsidP="009D306D">
            <w:pPr>
              <w:jc w:val="center"/>
            </w:pPr>
            <w:r>
              <w:t>15</w:t>
            </w:r>
          </w:p>
        </w:tc>
        <w:tc>
          <w:tcPr>
            <w:tcW w:w="2001" w:type="dxa"/>
            <w:shd w:val="clear" w:color="auto" w:fill="D1D1D1" w:themeFill="background2" w:themeFillShade="E6"/>
          </w:tcPr>
          <w:p w14:paraId="3884FD01" w14:textId="77777777" w:rsidR="008632AE" w:rsidRDefault="008632AE" w:rsidP="009D306D">
            <w:pPr>
              <w:jc w:val="center"/>
            </w:pPr>
            <w:r>
              <w:t>0</w:t>
            </w:r>
          </w:p>
        </w:tc>
      </w:tr>
      <w:tr w:rsidR="008632AE" w14:paraId="01363EFA" w14:textId="77777777" w:rsidTr="009D306D">
        <w:tc>
          <w:tcPr>
            <w:tcW w:w="1743" w:type="dxa"/>
            <w:vMerge/>
            <w:shd w:val="clear" w:color="auto" w:fill="D1D1D1" w:themeFill="background2" w:themeFillShade="E6"/>
          </w:tcPr>
          <w:p w14:paraId="2BE50563" w14:textId="77777777" w:rsidR="008632AE" w:rsidRDefault="008632AE" w:rsidP="009D306D">
            <w:pPr>
              <w:jc w:val="center"/>
            </w:pPr>
          </w:p>
        </w:tc>
        <w:tc>
          <w:tcPr>
            <w:tcW w:w="1228" w:type="dxa"/>
            <w:shd w:val="clear" w:color="auto" w:fill="D1D1D1" w:themeFill="background2" w:themeFillShade="E6"/>
          </w:tcPr>
          <w:p w14:paraId="0C0C76FE" w14:textId="77777777" w:rsidR="008632AE" w:rsidRDefault="008632AE" w:rsidP="009D306D">
            <w:pPr>
              <w:jc w:val="center"/>
            </w:pPr>
            <w:r>
              <w:t>High</w:t>
            </w:r>
          </w:p>
        </w:tc>
        <w:tc>
          <w:tcPr>
            <w:tcW w:w="1145" w:type="dxa"/>
            <w:shd w:val="clear" w:color="auto" w:fill="D1D1D1" w:themeFill="background2" w:themeFillShade="E6"/>
          </w:tcPr>
          <w:p w14:paraId="553DA173" w14:textId="77777777" w:rsidR="008632AE" w:rsidRDefault="008632AE" w:rsidP="009D306D">
            <w:pPr>
              <w:jc w:val="center"/>
            </w:pPr>
            <w:r>
              <w:t>9</w:t>
            </w:r>
          </w:p>
        </w:tc>
        <w:tc>
          <w:tcPr>
            <w:tcW w:w="1376" w:type="dxa"/>
            <w:shd w:val="clear" w:color="auto" w:fill="D1D1D1" w:themeFill="background2" w:themeFillShade="E6"/>
          </w:tcPr>
          <w:p w14:paraId="386794F1" w14:textId="77777777" w:rsidR="008632AE" w:rsidRDefault="008632AE" w:rsidP="009D306D">
            <w:pPr>
              <w:jc w:val="center"/>
            </w:pPr>
            <w:r>
              <w:t>7</w:t>
            </w:r>
          </w:p>
        </w:tc>
        <w:tc>
          <w:tcPr>
            <w:tcW w:w="1523" w:type="dxa"/>
            <w:shd w:val="clear" w:color="auto" w:fill="D1D1D1" w:themeFill="background2" w:themeFillShade="E6"/>
          </w:tcPr>
          <w:p w14:paraId="78C9A50F" w14:textId="77777777" w:rsidR="008632AE" w:rsidRDefault="008632AE" w:rsidP="009D306D">
            <w:pPr>
              <w:jc w:val="center"/>
            </w:pPr>
            <w:r>
              <w:t>7</w:t>
            </w:r>
          </w:p>
        </w:tc>
        <w:tc>
          <w:tcPr>
            <w:tcW w:w="2001" w:type="dxa"/>
            <w:shd w:val="clear" w:color="auto" w:fill="D1D1D1" w:themeFill="background2" w:themeFillShade="E6"/>
          </w:tcPr>
          <w:p w14:paraId="6ACE2389" w14:textId="77777777" w:rsidR="008632AE" w:rsidRDefault="008632AE" w:rsidP="009D306D">
            <w:pPr>
              <w:jc w:val="center"/>
            </w:pPr>
            <w:r>
              <w:t>2</w:t>
            </w:r>
          </w:p>
        </w:tc>
      </w:tr>
      <w:tr w:rsidR="008632AE" w14:paraId="39FB4713" w14:textId="77777777" w:rsidTr="009D306D">
        <w:tc>
          <w:tcPr>
            <w:tcW w:w="1743" w:type="dxa"/>
            <w:vMerge w:val="restart"/>
          </w:tcPr>
          <w:p w14:paraId="191AA835" w14:textId="77777777" w:rsidR="008632AE" w:rsidRDefault="008632AE" w:rsidP="009D306D">
            <w:pPr>
              <w:jc w:val="center"/>
            </w:pPr>
            <w:r>
              <w:t>Pregnant women receiving prenatal care (%)</w:t>
            </w:r>
          </w:p>
        </w:tc>
        <w:tc>
          <w:tcPr>
            <w:tcW w:w="1228" w:type="dxa"/>
          </w:tcPr>
          <w:p w14:paraId="2EB3B340" w14:textId="77777777" w:rsidR="008632AE" w:rsidRDefault="008632AE" w:rsidP="009D306D">
            <w:pPr>
              <w:jc w:val="center"/>
            </w:pPr>
            <w:r>
              <w:t>Low</w:t>
            </w:r>
          </w:p>
        </w:tc>
        <w:tc>
          <w:tcPr>
            <w:tcW w:w="1145" w:type="dxa"/>
          </w:tcPr>
          <w:p w14:paraId="3EF073DB" w14:textId="77777777" w:rsidR="008632AE" w:rsidRDefault="008632AE" w:rsidP="009D306D">
            <w:pPr>
              <w:jc w:val="center"/>
            </w:pPr>
            <w:r>
              <w:t>74</w:t>
            </w:r>
          </w:p>
        </w:tc>
        <w:tc>
          <w:tcPr>
            <w:tcW w:w="1376" w:type="dxa"/>
          </w:tcPr>
          <w:p w14:paraId="29997356" w14:textId="77777777" w:rsidR="008632AE" w:rsidRDefault="008632AE" w:rsidP="009D306D">
            <w:pPr>
              <w:jc w:val="center"/>
            </w:pPr>
            <w:r>
              <w:t>85</w:t>
            </w:r>
          </w:p>
        </w:tc>
        <w:tc>
          <w:tcPr>
            <w:tcW w:w="1523" w:type="dxa"/>
          </w:tcPr>
          <w:p w14:paraId="7EEA7325" w14:textId="77777777" w:rsidR="008632AE" w:rsidRDefault="008632AE" w:rsidP="009D306D">
            <w:pPr>
              <w:jc w:val="center"/>
            </w:pPr>
            <w:r>
              <w:t>23</w:t>
            </w:r>
          </w:p>
        </w:tc>
        <w:tc>
          <w:tcPr>
            <w:tcW w:w="2001" w:type="dxa"/>
          </w:tcPr>
          <w:p w14:paraId="03504888" w14:textId="77777777" w:rsidR="008632AE" w:rsidRDefault="008632AE" w:rsidP="009D306D">
            <w:pPr>
              <w:jc w:val="center"/>
            </w:pPr>
            <w:r>
              <w:t>28</w:t>
            </w:r>
          </w:p>
        </w:tc>
      </w:tr>
      <w:tr w:rsidR="008632AE" w14:paraId="794C03C3" w14:textId="77777777" w:rsidTr="009D306D">
        <w:tc>
          <w:tcPr>
            <w:tcW w:w="1743" w:type="dxa"/>
            <w:vMerge/>
          </w:tcPr>
          <w:p w14:paraId="77E26A2F" w14:textId="77777777" w:rsidR="008632AE" w:rsidRDefault="008632AE" w:rsidP="009D306D">
            <w:pPr>
              <w:jc w:val="center"/>
            </w:pPr>
          </w:p>
        </w:tc>
        <w:tc>
          <w:tcPr>
            <w:tcW w:w="1228" w:type="dxa"/>
          </w:tcPr>
          <w:p w14:paraId="44108C74" w14:textId="77777777" w:rsidR="008632AE" w:rsidRDefault="008632AE" w:rsidP="009D306D">
            <w:pPr>
              <w:jc w:val="center"/>
            </w:pPr>
            <w:r>
              <w:t>Upper middle</w:t>
            </w:r>
          </w:p>
        </w:tc>
        <w:tc>
          <w:tcPr>
            <w:tcW w:w="1145" w:type="dxa"/>
          </w:tcPr>
          <w:p w14:paraId="49E90FE3" w14:textId="77777777" w:rsidR="008632AE" w:rsidRDefault="008632AE" w:rsidP="009D306D">
            <w:pPr>
              <w:jc w:val="center"/>
            </w:pPr>
            <w:r>
              <w:t>81</w:t>
            </w:r>
          </w:p>
        </w:tc>
        <w:tc>
          <w:tcPr>
            <w:tcW w:w="1376" w:type="dxa"/>
          </w:tcPr>
          <w:p w14:paraId="0D1357D3" w14:textId="77777777" w:rsidR="008632AE" w:rsidRDefault="008632AE" w:rsidP="009D306D">
            <w:pPr>
              <w:jc w:val="center"/>
            </w:pPr>
            <w:r>
              <w:t>86</w:t>
            </w:r>
          </w:p>
        </w:tc>
        <w:tc>
          <w:tcPr>
            <w:tcW w:w="1523" w:type="dxa"/>
          </w:tcPr>
          <w:p w14:paraId="3A1D03C2" w14:textId="77777777" w:rsidR="008632AE" w:rsidRDefault="008632AE" w:rsidP="009D306D">
            <w:pPr>
              <w:jc w:val="center"/>
            </w:pPr>
            <w:r>
              <w:t>18</w:t>
            </w:r>
          </w:p>
        </w:tc>
        <w:tc>
          <w:tcPr>
            <w:tcW w:w="2001" w:type="dxa"/>
          </w:tcPr>
          <w:p w14:paraId="0625F59C" w14:textId="77777777" w:rsidR="008632AE" w:rsidRDefault="008632AE" w:rsidP="009D306D">
            <w:pPr>
              <w:jc w:val="center"/>
            </w:pPr>
            <w:r>
              <w:t>65</w:t>
            </w:r>
          </w:p>
        </w:tc>
      </w:tr>
      <w:tr w:rsidR="008632AE" w14:paraId="7120C4BB" w14:textId="77777777" w:rsidTr="009D306D">
        <w:tc>
          <w:tcPr>
            <w:tcW w:w="1743" w:type="dxa"/>
            <w:vMerge/>
          </w:tcPr>
          <w:p w14:paraId="7439427A" w14:textId="77777777" w:rsidR="008632AE" w:rsidRDefault="008632AE" w:rsidP="009D306D">
            <w:pPr>
              <w:jc w:val="center"/>
            </w:pPr>
          </w:p>
        </w:tc>
        <w:tc>
          <w:tcPr>
            <w:tcW w:w="1228" w:type="dxa"/>
          </w:tcPr>
          <w:p w14:paraId="53B83F13" w14:textId="77777777" w:rsidR="008632AE" w:rsidRDefault="008632AE" w:rsidP="009D306D">
            <w:pPr>
              <w:jc w:val="center"/>
            </w:pPr>
            <w:r>
              <w:t>Lower middle</w:t>
            </w:r>
          </w:p>
        </w:tc>
        <w:tc>
          <w:tcPr>
            <w:tcW w:w="1145" w:type="dxa"/>
          </w:tcPr>
          <w:p w14:paraId="5E58A660" w14:textId="77777777" w:rsidR="008632AE" w:rsidRDefault="008632AE" w:rsidP="009D306D">
            <w:pPr>
              <w:jc w:val="center"/>
            </w:pPr>
            <w:r>
              <w:t>92</w:t>
            </w:r>
          </w:p>
        </w:tc>
        <w:tc>
          <w:tcPr>
            <w:tcW w:w="1376" w:type="dxa"/>
          </w:tcPr>
          <w:p w14:paraId="09F38EFD" w14:textId="77777777" w:rsidR="008632AE" w:rsidRDefault="008632AE" w:rsidP="009D306D">
            <w:pPr>
              <w:jc w:val="center"/>
            </w:pPr>
            <w:r>
              <w:t>96</w:t>
            </w:r>
          </w:p>
        </w:tc>
        <w:tc>
          <w:tcPr>
            <w:tcW w:w="1523" w:type="dxa"/>
          </w:tcPr>
          <w:p w14:paraId="5FC138C7" w14:textId="77777777" w:rsidR="008632AE" w:rsidRDefault="008632AE" w:rsidP="009D306D">
            <w:pPr>
              <w:jc w:val="center"/>
            </w:pPr>
            <w:r>
              <w:t>10</w:t>
            </w:r>
          </w:p>
        </w:tc>
        <w:tc>
          <w:tcPr>
            <w:tcW w:w="2001" w:type="dxa"/>
          </w:tcPr>
          <w:p w14:paraId="12AC2554" w14:textId="77777777" w:rsidR="008632AE" w:rsidRDefault="008632AE" w:rsidP="009D306D">
            <w:pPr>
              <w:jc w:val="center"/>
            </w:pPr>
            <w:r>
              <w:t>78</w:t>
            </w:r>
          </w:p>
        </w:tc>
      </w:tr>
      <w:tr w:rsidR="008632AE" w14:paraId="0649B653" w14:textId="77777777" w:rsidTr="009D306D">
        <w:tc>
          <w:tcPr>
            <w:tcW w:w="1743" w:type="dxa"/>
            <w:vMerge/>
          </w:tcPr>
          <w:p w14:paraId="11282323" w14:textId="77777777" w:rsidR="008632AE" w:rsidRDefault="008632AE" w:rsidP="009D306D">
            <w:pPr>
              <w:jc w:val="center"/>
            </w:pPr>
          </w:p>
        </w:tc>
        <w:tc>
          <w:tcPr>
            <w:tcW w:w="1228" w:type="dxa"/>
          </w:tcPr>
          <w:p w14:paraId="4BD8AA17" w14:textId="77777777" w:rsidR="008632AE" w:rsidRDefault="008632AE" w:rsidP="009D306D">
            <w:pPr>
              <w:jc w:val="center"/>
            </w:pPr>
            <w:r>
              <w:t>High</w:t>
            </w:r>
          </w:p>
        </w:tc>
        <w:tc>
          <w:tcPr>
            <w:tcW w:w="1145" w:type="dxa"/>
          </w:tcPr>
          <w:p w14:paraId="52020CEC" w14:textId="77777777" w:rsidR="008632AE" w:rsidRDefault="008632AE" w:rsidP="009D306D">
            <w:pPr>
              <w:jc w:val="center"/>
            </w:pPr>
            <w:r>
              <w:t>93</w:t>
            </w:r>
          </w:p>
        </w:tc>
        <w:tc>
          <w:tcPr>
            <w:tcW w:w="1376" w:type="dxa"/>
          </w:tcPr>
          <w:p w14:paraId="33B68809" w14:textId="77777777" w:rsidR="008632AE" w:rsidRDefault="008632AE" w:rsidP="009D306D">
            <w:pPr>
              <w:jc w:val="center"/>
            </w:pPr>
            <w:r>
              <w:t>97</w:t>
            </w:r>
          </w:p>
        </w:tc>
        <w:tc>
          <w:tcPr>
            <w:tcW w:w="1523" w:type="dxa"/>
          </w:tcPr>
          <w:p w14:paraId="7C8D93FD" w14:textId="77777777" w:rsidR="008632AE" w:rsidRDefault="008632AE" w:rsidP="009D306D">
            <w:pPr>
              <w:jc w:val="center"/>
            </w:pPr>
            <w:r>
              <w:t>8</w:t>
            </w:r>
          </w:p>
        </w:tc>
        <w:tc>
          <w:tcPr>
            <w:tcW w:w="2001" w:type="dxa"/>
          </w:tcPr>
          <w:p w14:paraId="5E733F21" w14:textId="77777777" w:rsidR="008632AE" w:rsidRDefault="008632AE" w:rsidP="009D306D">
            <w:pPr>
              <w:jc w:val="center"/>
            </w:pPr>
            <w:r>
              <w:t>95</w:t>
            </w:r>
          </w:p>
        </w:tc>
      </w:tr>
      <w:tr w:rsidR="008632AE" w14:paraId="4B0E7D1B" w14:textId="77777777" w:rsidTr="009D306D">
        <w:tc>
          <w:tcPr>
            <w:tcW w:w="1743" w:type="dxa"/>
            <w:vMerge w:val="restart"/>
            <w:shd w:val="clear" w:color="auto" w:fill="D1D1D1" w:themeFill="background2" w:themeFillShade="E6"/>
          </w:tcPr>
          <w:p w14:paraId="54E43FC1" w14:textId="77777777" w:rsidR="008632AE" w:rsidRDefault="008632AE" w:rsidP="009D306D">
            <w:pPr>
              <w:jc w:val="center"/>
            </w:pPr>
            <w:r>
              <w:t>Women participating in own health care decisions (% of women age 15-49)</w:t>
            </w:r>
          </w:p>
        </w:tc>
        <w:tc>
          <w:tcPr>
            <w:tcW w:w="1228" w:type="dxa"/>
            <w:shd w:val="clear" w:color="auto" w:fill="D1D1D1" w:themeFill="background2" w:themeFillShade="E6"/>
          </w:tcPr>
          <w:p w14:paraId="536EB264" w14:textId="77777777" w:rsidR="008632AE" w:rsidRDefault="008632AE" w:rsidP="009D306D">
            <w:pPr>
              <w:jc w:val="center"/>
            </w:pPr>
            <w:r>
              <w:t>Low</w:t>
            </w:r>
          </w:p>
        </w:tc>
        <w:tc>
          <w:tcPr>
            <w:tcW w:w="1145" w:type="dxa"/>
            <w:shd w:val="clear" w:color="auto" w:fill="D1D1D1" w:themeFill="background2" w:themeFillShade="E6"/>
          </w:tcPr>
          <w:p w14:paraId="58BE9A04" w14:textId="77777777" w:rsidR="008632AE" w:rsidRDefault="008632AE" w:rsidP="009D306D">
            <w:pPr>
              <w:jc w:val="center"/>
            </w:pPr>
            <w:r>
              <w:t>55</w:t>
            </w:r>
          </w:p>
        </w:tc>
        <w:tc>
          <w:tcPr>
            <w:tcW w:w="1376" w:type="dxa"/>
            <w:shd w:val="clear" w:color="auto" w:fill="D1D1D1" w:themeFill="background2" w:themeFillShade="E6"/>
          </w:tcPr>
          <w:p w14:paraId="232776AD" w14:textId="77777777" w:rsidR="008632AE" w:rsidRDefault="008632AE" w:rsidP="009D306D">
            <w:pPr>
              <w:jc w:val="center"/>
            </w:pPr>
            <w:r>
              <w:t>60</w:t>
            </w:r>
          </w:p>
        </w:tc>
        <w:tc>
          <w:tcPr>
            <w:tcW w:w="1523" w:type="dxa"/>
            <w:shd w:val="clear" w:color="auto" w:fill="D1D1D1" w:themeFill="background2" w:themeFillShade="E6"/>
          </w:tcPr>
          <w:p w14:paraId="3C00A1EA" w14:textId="77777777" w:rsidR="008632AE" w:rsidRDefault="008632AE" w:rsidP="009D306D">
            <w:pPr>
              <w:jc w:val="center"/>
            </w:pPr>
            <w:r>
              <w:t>22</w:t>
            </w:r>
          </w:p>
        </w:tc>
        <w:tc>
          <w:tcPr>
            <w:tcW w:w="2001" w:type="dxa"/>
            <w:shd w:val="clear" w:color="auto" w:fill="D1D1D1" w:themeFill="background2" w:themeFillShade="E6"/>
          </w:tcPr>
          <w:p w14:paraId="7F506A64" w14:textId="77777777" w:rsidR="008632AE" w:rsidRDefault="008632AE" w:rsidP="009D306D">
            <w:pPr>
              <w:jc w:val="center"/>
            </w:pPr>
            <w:r>
              <w:t>58</w:t>
            </w:r>
          </w:p>
        </w:tc>
      </w:tr>
      <w:tr w:rsidR="008632AE" w14:paraId="7502B105" w14:textId="77777777" w:rsidTr="009D306D">
        <w:tc>
          <w:tcPr>
            <w:tcW w:w="1743" w:type="dxa"/>
            <w:vMerge/>
            <w:shd w:val="clear" w:color="auto" w:fill="D1D1D1" w:themeFill="background2" w:themeFillShade="E6"/>
          </w:tcPr>
          <w:p w14:paraId="05E25B8A" w14:textId="77777777" w:rsidR="008632AE" w:rsidRDefault="008632AE" w:rsidP="009D306D">
            <w:pPr>
              <w:jc w:val="center"/>
            </w:pPr>
          </w:p>
        </w:tc>
        <w:tc>
          <w:tcPr>
            <w:tcW w:w="1228" w:type="dxa"/>
            <w:shd w:val="clear" w:color="auto" w:fill="D1D1D1" w:themeFill="background2" w:themeFillShade="E6"/>
          </w:tcPr>
          <w:p w14:paraId="57DE71BB" w14:textId="77777777" w:rsidR="008632AE" w:rsidRDefault="008632AE" w:rsidP="009D306D">
            <w:pPr>
              <w:jc w:val="center"/>
            </w:pPr>
            <w:r>
              <w:t>Upper middle</w:t>
            </w:r>
          </w:p>
        </w:tc>
        <w:tc>
          <w:tcPr>
            <w:tcW w:w="1145" w:type="dxa"/>
            <w:shd w:val="clear" w:color="auto" w:fill="D1D1D1" w:themeFill="background2" w:themeFillShade="E6"/>
          </w:tcPr>
          <w:p w14:paraId="0BBE0068" w14:textId="77777777" w:rsidR="008632AE" w:rsidRDefault="008632AE" w:rsidP="009D306D">
            <w:pPr>
              <w:jc w:val="center"/>
            </w:pPr>
            <w:r>
              <w:t>65</w:t>
            </w:r>
          </w:p>
        </w:tc>
        <w:tc>
          <w:tcPr>
            <w:tcW w:w="1376" w:type="dxa"/>
            <w:shd w:val="clear" w:color="auto" w:fill="D1D1D1" w:themeFill="background2" w:themeFillShade="E6"/>
          </w:tcPr>
          <w:p w14:paraId="132257B9" w14:textId="77777777" w:rsidR="008632AE" w:rsidRDefault="008632AE" w:rsidP="009D306D">
            <w:pPr>
              <w:jc w:val="center"/>
            </w:pPr>
            <w:r>
              <w:t>67</w:t>
            </w:r>
          </w:p>
        </w:tc>
        <w:tc>
          <w:tcPr>
            <w:tcW w:w="1523" w:type="dxa"/>
            <w:shd w:val="clear" w:color="auto" w:fill="D1D1D1" w:themeFill="background2" w:themeFillShade="E6"/>
          </w:tcPr>
          <w:p w14:paraId="278C01B1" w14:textId="77777777" w:rsidR="008632AE" w:rsidRDefault="008632AE" w:rsidP="009D306D">
            <w:pPr>
              <w:jc w:val="center"/>
            </w:pPr>
            <w:r>
              <w:t>22</w:t>
            </w:r>
          </w:p>
        </w:tc>
        <w:tc>
          <w:tcPr>
            <w:tcW w:w="2001" w:type="dxa"/>
            <w:shd w:val="clear" w:color="auto" w:fill="D1D1D1" w:themeFill="background2" w:themeFillShade="E6"/>
          </w:tcPr>
          <w:p w14:paraId="4129A098" w14:textId="77777777" w:rsidR="008632AE" w:rsidRDefault="008632AE" w:rsidP="009D306D">
            <w:pPr>
              <w:jc w:val="center"/>
            </w:pPr>
            <w:r>
              <w:t>86</w:t>
            </w:r>
          </w:p>
        </w:tc>
      </w:tr>
      <w:tr w:rsidR="008632AE" w14:paraId="70A74557" w14:textId="77777777" w:rsidTr="009D306D">
        <w:tc>
          <w:tcPr>
            <w:tcW w:w="1743" w:type="dxa"/>
            <w:vMerge/>
            <w:shd w:val="clear" w:color="auto" w:fill="D1D1D1" w:themeFill="background2" w:themeFillShade="E6"/>
          </w:tcPr>
          <w:p w14:paraId="034E09CD" w14:textId="77777777" w:rsidR="008632AE" w:rsidRDefault="008632AE" w:rsidP="009D306D">
            <w:pPr>
              <w:jc w:val="center"/>
            </w:pPr>
          </w:p>
        </w:tc>
        <w:tc>
          <w:tcPr>
            <w:tcW w:w="1228" w:type="dxa"/>
            <w:shd w:val="clear" w:color="auto" w:fill="D1D1D1" w:themeFill="background2" w:themeFillShade="E6"/>
          </w:tcPr>
          <w:p w14:paraId="63DAB00C" w14:textId="77777777" w:rsidR="008632AE" w:rsidRDefault="008632AE" w:rsidP="009D306D">
            <w:pPr>
              <w:jc w:val="center"/>
            </w:pPr>
            <w:r>
              <w:t>Lower middle</w:t>
            </w:r>
          </w:p>
        </w:tc>
        <w:tc>
          <w:tcPr>
            <w:tcW w:w="1145" w:type="dxa"/>
            <w:shd w:val="clear" w:color="auto" w:fill="D1D1D1" w:themeFill="background2" w:themeFillShade="E6"/>
          </w:tcPr>
          <w:p w14:paraId="57A0AD81" w14:textId="77777777" w:rsidR="008632AE" w:rsidRDefault="008632AE" w:rsidP="009D306D">
            <w:pPr>
              <w:jc w:val="center"/>
            </w:pPr>
            <w:r>
              <w:t>84</w:t>
            </w:r>
          </w:p>
        </w:tc>
        <w:tc>
          <w:tcPr>
            <w:tcW w:w="1376" w:type="dxa"/>
            <w:shd w:val="clear" w:color="auto" w:fill="D1D1D1" w:themeFill="background2" w:themeFillShade="E6"/>
          </w:tcPr>
          <w:p w14:paraId="4A2D02FB" w14:textId="77777777" w:rsidR="008632AE" w:rsidRDefault="008632AE" w:rsidP="009D306D">
            <w:pPr>
              <w:jc w:val="center"/>
            </w:pPr>
            <w:r>
              <w:t>84</w:t>
            </w:r>
          </w:p>
        </w:tc>
        <w:tc>
          <w:tcPr>
            <w:tcW w:w="1523" w:type="dxa"/>
            <w:shd w:val="clear" w:color="auto" w:fill="D1D1D1" w:themeFill="background2" w:themeFillShade="E6"/>
          </w:tcPr>
          <w:p w14:paraId="3BD83E36" w14:textId="77777777" w:rsidR="008632AE" w:rsidRDefault="008632AE" w:rsidP="009D306D">
            <w:pPr>
              <w:jc w:val="center"/>
            </w:pPr>
            <w:r>
              <w:t>8.7</w:t>
            </w:r>
          </w:p>
        </w:tc>
        <w:tc>
          <w:tcPr>
            <w:tcW w:w="2001" w:type="dxa"/>
            <w:shd w:val="clear" w:color="auto" w:fill="D1D1D1" w:themeFill="background2" w:themeFillShade="E6"/>
          </w:tcPr>
          <w:p w14:paraId="71D76E16" w14:textId="77777777" w:rsidR="008632AE" w:rsidRDefault="008632AE" w:rsidP="009D306D">
            <w:pPr>
              <w:jc w:val="center"/>
            </w:pPr>
            <w:r>
              <w:t>97</w:t>
            </w:r>
          </w:p>
        </w:tc>
      </w:tr>
      <w:tr w:rsidR="008632AE" w14:paraId="64236B56" w14:textId="77777777" w:rsidTr="009D306D">
        <w:tc>
          <w:tcPr>
            <w:tcW w:w="1743" w:type="dxa"/>
            <w:vMerge/>
            <w:shd w:val="clear" w:color="auto" w:fill="D1D1D1" w:themeFill="background2" w:themeFillShade="E6"/>
          </w:tcPr>
          <w:p w14:paraId="5C1C047A" w14:textId="77777777" w:rsidR="008632AE" w:rsidRDefault="008632AE" w:rsidP="009D306D">
            <w:pPr>
              <w:jc w:val="center"/>
            </w:pPr>
          </w:p>
        </w:tc>
        <w:tc>
          <w:tcPr>
            <w:tcW w:w="1228" w:type="dxa"/>
            <w:shd w:val="clear" w:color="auto" w:fill="D1D1D1" w:themeFill="background2" w:themeFillShade="E6"/>
          </w:tcPr>
          <w:p w14:paraId="39E4AF7C" w14:textId="77777777" w:rsidR="008632AE" w:rsidRDefault="008632AE" w:rsidP="009D306D">
            <w:pPr>
              <w:jc w:val="center"/>
            </w:pPr>
            <w:r>
              <w:t>High</w:t>
            </w:r>
          </w:p>
        </w:tc>
        <w:tc>
          <w:tcPr>
            <w:tcW w:w="1145" w:type="dxa"/>
            <w:shd w:val="clear" w:color="auto" w:fill="D1D1D1" w:themeFill="background2" w:themeFillShade="E6"/>
          </w:tcPr>
          <w:p w14:paraId="152D08DB" w14:textId="77777777" w:rsidR="008632AE" w:rsidRDefault="008632AE" w:rsidP="009D306D">
            <w:pPr>
              <w:jc w:val="center"/>
            </w:pPr>
            <w:r>
              <w:t>91</w:t>
            </w:r>
          </w:p>
        </w:tc>
        <w:tc>
          <w:tcPr>
            <w:tcW w:w="1376" w:type="dxa"/>
            <w:shd w:val="clear" w:color="auto" w:fill="D1D1D1" w:themeFill="background2" w:themeFillShade="E6"/>
          </w:tcPr>
          <w:p w14:paraId="7BB9871B" w14:textId="77777777" w:rsidR="008632AE" w:rsidRDefault="008632AE" w:rsidP="009D306D">
            <w:pPr>
              <w:jc w:val="center"/>
            </w:pPr>
            <w:r>
              <w:t>91</w:t>
            </w:r>
          </w:p>
        </w:tc>
        <w:tc>
          <w:tcPr>
            <w:tcW w:w="1523" w:type="dxa"/>
            <w:shd w:val="clear" w:color="auto" w:fill="D1D1D1" w:themeFill="background2" w:themeFillShade="E6"/>
          </w:tcPr>
          <w:p w14:paraId="178116F0" w14:textId="77777777" w:rsidR="008632AE" w:rsidRDefault="008632AE" w:rsidP="009D306D">
            <w:pPr>
              <w:jc w:val="center"/>
            </w:pPr>
            <w:proofErr w:type="spellStart"/>
            <w:r>
              <w:t>NaN</w:t>
            </w:r>
            <w:proofErr w:type="spellEnd"/>
          </w:p>
        </w:tc>
        <w:tc>
          <w:tcPr>
            <w:tcW w:w="2001" w:type="dxa"/>
            <w:shd w:val="clear" w:color="auto" w:fill="D1D1D1" w:themeFill="background2" w:themeFillShade="E6"/>
          </w:tcPr>
          <w:p w14:paraId="4E59BFE4" w14:textId="77777777" w:rsidR="008632AE" w:rsidRDefault="008632AE" w:rsidP="009D306D">
            <w:pPr>
              <w:jc w:val="center"/>
            </w:pPr>
            <w:r>
              <w:t>99.9</w:t>
            </w:r>
          </w:p>
        </w:tc>
      </w:tr>
      <w:tr w:rsidR="008632AE" w14:paraId="14558CAB" w14:textId="77777777" w:rsidTr="009D306D">
        <w:trPr>
          <w:trHeight w:val="562"/>
        </w:trPr>
        <w:tc>
          <w:tcPr>
            <w:tcW w:w="1743" w:type="dxa"/>
            <w:vMerge w:val="restart"/>
          </w:tcPr>
          <w:p w14:paraId="3DD9B675" w14:textId="77777777" w:rsidR="008632AE" w:rsidRDefault="008632AE" w:rsidP="009D306D">
            <w:pPr>
              <w:jc w:val="center"/>
            </w:pPr>
            <w:r>
              <w:lastRenderedPageBreak/>
              <w:t>Communicable, maternal, neonatal, and nutritional diseases prevalence in females (age standardized) (per 100,000 population)</w:t>
            </w:r>
          </w:p>
        </w:tc>
        <w:tc>
          <w:tcPr>
            <w:tcW w:w="1228" w:type="dxa"/>
          </w:tcPr>
          <w:p w14:paraId="643975C7" w14:textId="77777777" w:rsidR="008632AE" w:rsidRDefault="008632AE" w:rsidP="009D306D">
            <w:pPr>
              <w:jc w:val="center"/>
            </w:pPr>
            <w:r>
              <w:t>Low</w:t>
            </w:r>
          </w:p>
        </w:tc>
        <w:tc>
          <w:tcPr>
            <w:tcW w:w="1145" w:type="dxa"/>
          </w:tcPr>
          <w:p w14:paraId="0B6833E1" w14:textId="77777777" w:rsidR="008632AE" w:rsidRDefault="008632AE" w:rsidP="009D306D">
            <w:pPr>
              <w:jc w:val="center"/>
            </w:pPr>
            <w:r>
              <w:t>79,399</w:t>
            </w:r>
          </w:p>
        </w:tc>
        <w:tc>
          <w:tcPr>
            <w:tcW w:w="1376" w:type="dxa"/>
          </w:tcPr>
          <w:p w14:paraId="379AF763" w14:textId="77777777" w:rsidR="008632AE" w:rsidRDefault="008632AE" w:rsidP="009D306D">
            <w:pPr>
              <w:jc w:val="center"/>
            </w:pPr>
            <w:r>
              <w:t>84,661</w:t>
            </w:r>
          </w:p>
        </w:tc>
        <w:tc>
          <w:tcPr>
            <w:tcW w:w="1523" w:type="dxa"/>
          </w:tcPr>
          <w:p w14:paraId="4F1150BA" w14:textId="77777777" w:rsidR="008632AE" w:rsidRDefault="008632AE" w:rsidP="009D306D">
            <w:pPr>
              <w:jc w:val="center"/>
            </w:pPr>
            <w:r>
              <w:t>14,140</w:t>
            </w:r>
          </w:p>
        </w:tc>
        <w:tc>
          <w:tcPr>
            <w:tcW w:w="2001" w:type="dxa"/>
          </w:tcPr>
          <w:p w14:paraId="6652DF83" w14:textId="77777777" w:rsidR="008632AE" w:rsidRDefault="008632AE" w:rsidP="009D306D">
            <w:pPr>
              <w:jc w:val="center"/>
            </w:pPr>
            <w:r>
              <w:t>77</w:t>
            </w:r>
          </w:p>
        </w:tc>
      </w:tr>
      <w:tr w:rsidR="008632AE" w14:paraId="7199D5D1" w14:textId="77777777" w:rsidTr="009D306D">
        <w:trPr>
          <w:trHeight w:val="854"/>
        </w:trPr>
        <w:tc>
          <w:tcPr>
            <w:tcW w:w="1743" w:type="dxa"/>
            <w:vMerge/>
          </w:tcPr>
          <w:p w14:paraId="31023B10" w14:textId="77777777" w:rsidR="008632AE" w:rsidRDefault="008632AE" w:rsidP="009D306D">
            <w:pPr>
              <w:jc w:val="center"/>
            </w:pPr>
          </w:p>
        </w:tc>
        <w:tc>
          <w:tcPr>
            <w:tcW w:w="1228" w:type="dxa"/>
          </w:tcPr>
          <w:p w14:paraId="3DA09E78" w14:textId="77777777" w:rsidR="008632AE" w:rsidRDefault="008632AE" w:rsidP="009D306D">
            <w:pPr>
              <w:jc w:val="center"/>
            </w:pPr>
            <w:r>
              <w:t>Upper middle</w:t>
            </w:r>
          </w:p>
        </w:tc>
        <w:tc>
          <w:tcPr>
            <w:tcW w:w="1145" w:type="dxa"/>
          </w:tcPr>
          <w:p w14:paraId="55EC2A46" w14:textId="77777777" w:rsidR="008632AE" w:rsidRDefault="008632AE" w:rsidP="009D306D">
            <w:pPr>
              <w:jc w:val="center"/>
            </w:pPr>
            <w:r>
              <w:t>73,030</w:t>
            </w:r>
          </w:p>
        </w:tc>
        <w:tc>
          <w:tcPr>
            <w:tcW w:w="1376" w:type="dxa"/>
          </w:tcPr>
          <w:p w14:paraId="601EA09C" w14:textId="77777777" w:rsidR="008632AE" w:rsidRDefault="008632AE" w:rsidP="009D306D">
            <w:pPr>
              <w:jc w:val="center"/>
            </w:pPr>
            <w:r>
              <w:t>73,279</w:t>
            </w:r>
          </w:p>
        </w:tc>
        <w:tc>
          <w:tcPr>
            <w:tcW w:w="1523" w:type="dxa"/>
          </w:tcPr>
          <w:p w14:paraId="12047111" w14:textId="77777777" w:rsidR="008632AE" w:rsidRDefault="008632AE" w:rsidP="009D306D">
            <w:pPr>
              <w:jc w:val="center"/>
            </w:pPr>
            <w:r>
              <w:t>9,389</w:t>
            </w:r>
          </w:p>
        </w:tc>
        <w:tc>
          <w:tcPr>
            <w:tcW w:w="2001" w:type="dxa"/>
          </w:tcPr>
          <w:p w14:paraId="4F725E55" w14:textId="77777777" w:rsidR="008632AE" w:rsidRDefault="008632AE" w:rsidP="009D306D">
            <w:pPr>
              <w:jc w:val="center"/>
            </w:pPr>
            <w:r>
              <w:t>84</w:t>
            </w:r>
          </w:p>
        </w:tc>
      </w:tr>
      <w:tr w:rsidR="008632AE" w14:paraId="72B2FCA5" w14:textId="77777777" w:rsidTr="009D306D">
        <w:trPr>
          <w:trHeight w:val="838"/>
        </w:trPr>
        <w:tc>
          <w:tcPr>
            <w:tcW w:w="1743" w:type="dxa"/>
            <w:vMerge/>
          </w:tcPr>
          <w:p w14:paraId="35ACA531" w14:textId="77777777" w:rsidR="008632AE" w:rsidRDefault="008632AE" w:rsidP="009D306D">
            <w:pPr>
              <w:jc w:val="center"/>
            </w:pPr>
          </w:p>
        </w:tc>
        <w:tc>
          <w:tcPr>
            <w:tcW w:w="1228" w:type="dxa"/>
          </w:tcPr>
          <w:p w14:paraId="3B4A22CA" w14:textId="77777777" w:rsidR="008632AE" w:rsidRDefault="008632AE" w:rsidP="009D306D">
            <w:pPr>
              <w:jc w:val="center"/>
            </w:pPr>
            <w:r>
              <w:t>Lower middle</w:t>
            </w:r>
          </w:p>
        </w:tc>
        <w:tc>
          <w:tcPr>
            <w:tcW w:w="1145" w:type="dxa"/>
          </w:tcPr>
          <w:p w14:paraId="26257EFE" w14:textId="77777777" w:rsidR="008632AE" w:rsidRDefault="008632AE" w:rsidP="009D306D">
            <w:pPr>
              <w:jc w:val="center"/>
            </w:pPr>
            <w:r>
              <w:t>62,248</w:t>
            </w:r>
          </w:p>
        </w:tc>
        <w:tc>
          <w:tcPr>
            <w:tcW w:w="1376" w:type="dxa"/>
          </w:tcPr>
          <w:p w14:paraId="0785A76D" w14:textId="77777777" w:rsidR="008632AE" w:rsidRDefault="008632AE" w:rsidP="009D306D">
            <w:pPr>
              <w:jc w:val="center"/>
            </w:pPr>
            <w:r>
              <w:t>63,092</w:t>
            </w:r>
          </w:p>
        </w:tc>
        <w:tc>
          <w:tcPr>
            <w:tcW w:w="1523" w:type="dxa"/>
          </w:tcPr>
          <w:p w14:paraId="2D74A936" w14:textId="77777777" w:rsidR="008632AE" w:rsidRDefault="008632AE" w:rsidP="009D306D">
            <w:pPr>
              <w:jc w:val="center"/>
            </w:pPr>
            <w:r>
              <w:t>10,658</w:t>
            </w:r>
          </w:p>
        </w:tc>
        <w:tc>
          <w:tcPr>
            <w:tcW w:w="2001" w:type="dxa"/>
          </w:tcPr>
          <w:p w14:paraId="6F8C4153" w14:textId="77777777" w:rsidR="008632AE" w:rsidRDefault="008632AE" w:rsidP="009D306D">
            <w:pPr>
              <w:jc w:val="center"/>
            </w:pPr>
            <w:r>
              <w:t>86</w:t>
            </w:r>
          </w:p>
        </w:tc>
      </w:tr>
      <w:tr w:rsidR="008632AE" w14:paraId="29FDFBED" w14:textId="77777777" w:rsidTr="009D306D">
        <w:trPr>
          <w:trHeight w:val="543"/>
        </w:trPr>
        <w:tc>
          <w:tcPr>
            <w:tcW w:w="1743" w:type="dxa"/>
            <w:vMerge/>
          </w:tcPr>
          <w:p w14:paraId="57932A92" w14:textId="77777777" w:rsidR="008632AE" w:rsidRDefault="008632AE" w:rsidP="009D306D">
            <w:pPr>
              <w:jc w:val="center"/>
            </w:pPr>
          </w:p>
        </w:tc>
        <w:tc>
          <w:tcPr>
            <w:tcW w:w="1228" w:type="dxa"/>
          </w:tcPr>
          <w:p w14:paraId="43D4FAC8" w14:textId="77777777" w:rsidR="008632AE" w:rsidRDefault="008632AE" w:rsidP="009D306D">
            <w:pPr>
              <w:jc w:val="center"/>
            </w:pPr>
            <w:r>
              <w:t>High</w:t>
            </w:r>
          </w:p>
        </w:tc>
        <w:tc>
          <w:tcPr>
            <w:tcW w:w="1145" w:type="dxa"/>
          </w:tcPr>
          <w:p w14:paraId="5CA59908" w14:textId="77777777" w:rsidR="008632AE" w:rsidRDefault="008632AE" w:rsidP="009D306D">
            <w:pPr>
              <w:jc w:val="center"/>
            </w:pPr>
            <w:r>
              <w:t>38,835</w:t>
            </w:r>
          </w:p>
        </w:tc>
        <w:tc>
          <w:tcPr>
            <w:tcW w:w="1376" w:type="dxa"/>
          </w:tcPr>
          <w:p w14:paraId="57ECA198" w14:textId="77777777" w:rsidR="008632AE" w:rsidRDefault="008632AE" w:rsidP="009D306D">
            <w:pPr>
              <w:jc w:val="center"/>
            </w:pPr>
            <w:r>
              <w:t>36,807</w:t>
            </w:r>
          </w:p>
        </w:tc>
        <w:tc>
          <w:tcPr>
            <w:tcW w:w="1523" w:type="dxa"/>
          </w:tcPr>
          <w:p w14:paraId="2C002E52" w14:textId="77777777" w:rsidR="008632AE" w:rsidRDefault="008632AE" w:rsidP="009D306D">
            <w:pPr>
              <w:jc w:val="center"/>
            </w:pPr>
            <w:r>
              <w:t>11,821</w:t>
            </w:r>
          </w:p>
        </w:tc>
        <w:tc>
          <w:tcPr>
            <w:tcW w:w="2001" w:type="dxa"/>
          </w:tcPr>
          <w:p w14:paraId="1DFDBB0F" w14:textId="77777777" w:rsidR="008632AE" w:rsidRDefault="008632AE" w:rsidP="009D306D">
            <w:pPr>
              <w:jc w:val="center"/>
            </w:pPr>
            <w:r>
              <w:t>87</w:t>
            </w:r>
          </w:p>
        </w:tc>
      </w:tr>
      <w:tr w:rsidR="008632AE" w14:paraId="4E3E1D09" w14:textId="77777777" w:rsidTr="009D306D">
        <w:tc>
          <w:tcPr>
            <w:tcW w:w="1743" w:type="dxa"/>
            <w:vMerge w:val="restart"/>
            <w:shd w:val="clear" w:color="auto" w:fill="D1D1D1" w:themeFill="background2" w:themeFillShade="E6"/>
          </w:tcPr>
          <w:p w14:paraId="0FB685E6" w14:textId="77777777" w:rsidR="008632AE" w:rsidRDefault="008632AE" w:rsidP="009D306D">
            <w:pPr>
              <w:jc w:val="center"/>
            </w:pPr>
            <w:r>
              <w:t>Survival to age 65, female (% of cohort)</w:t>
            </w:r>
          </w:p>
        </w:tc>
        <w:tc>
          <w:tcPr>
            <w:tcW w:w="1228" w:type="dxa"/>
            <w:shd w:val="clear" w:color="auto" w:fill="D1D1D1" w:themeFill="background2" w:themeFillShade="E6"/>
          </w:tcPr>
          <w:p w14:paraId="683B7104" w14:textId="77777777" w:rsidR="008632AE" w:rsidRDefault="008632AE" w:rsidP="009D306D">
            <w:pPr>
              <w:jc w:val="center"/>
            </w:pPr>
            <w:r>
              <w:t>Low</w:t>
            </w:r>
          </w:p>
        </w:tc>
        <w:tc>
          <w:tcPr>
            <w:tcW w:w="1145" w:type="dxa"/>
            <w:shd w:val="clear" w:color="auto" w:fill="D1D1D1" w:themeFill="background2" w:themeFillShade="E6"/>
          </w:tcPr>
          <w:p w14:paraId="4B6B8397" w14:textId="77777777" w:rsidR="008632AE" w:rsidRDefault="008632AE" w:rsidP="009D306D">
            <w:pPr>
              <w:jc w:val="center"/>
            </w:pPr>
            <w:r>
              <w:t>59</w:t>
            </w:r>
          </w:p>
        </w:tc>
        <w:tc>
          <w:tcPr>
            <w:tcW w:w="1376" w:type="dxa"/>
            <w:shd w:val="clear" w:color="auto" w:fill="D1D1D1" w:themeFill="background2" w:themeFillShade="E6"/>
          </w:tcPr>
          <w:p w14:paraId="76A40939" w14:textId="77777777" w:rsidR="008632AE" w:rsidRDefault="008632AE" w:rsidP="009D306D">
            <w:pPr>
              <w:jc w:val="center"/>
            </w:pPr>
            <w:r>
              <w:t>58</w:t>
            </w:r>
          </w:p>
        </w:tc>
        <w:tc>
          <w:tcPr>
            <w:tcW w:w="1523" w:type="dxa"/>
            <w:shd w:val="clear" w:color="auto" w:fill="D1D1D1" w:themeFill="background2" w:themeFillShade="E6"/>
          </w:tcPr>
          <w:p w14:paraId="0E02D9F4" w14:textId="77777777" w:rsidR="008632AE" w:rsidRDefault="008632AE" w:rsidP="009D306D">
            <w:pPr>
              <w:jc w:val="center"/>
            </w:pPr>
            <w:r>
              <w:t>13</w:t>
            </w:r>
          </w:p>
        </w:tc>
        <w:tc>
          <w:tcPr>
            <w:tcW w:w="2001" w:type="dxa"/>
            <w:shd w:val="clear" w:color="auto" w:fill="D1D1D1" w:themeFill="background2" w:themeFillShade="E6"/>
          </w:tcPr>
          <w:p w14:paraId="1E701E10" w14:textId="77777777" w:rsidR="008632AE" w:rsidRDefault="008632AE" w:rsidP="009D306D">
            <w:pPr>
              <w:jc w:val="center"/>
            </w:pPr>
            <w:r>
              <w:t>0</w:t>
            </w:r>
          </w:p>
        </w:tc>
      </w:tr>
      <w:tr w:rsidR="008632AE" w14:paraId="50696F26" w14:textId="77777777" w:rsidTr="009D306D">
        <w:tc>
          <w:tcPr>
            <w:tcW w:w="1743" w:type="dxa"/>
            <w:vMerge/>
            <w:shd w:val="clear" w:color="auto" w:fill="D1D1D1" w:themeFill="background2" w:themeFillShade="E6"/>
          </w:tcPr>
          <w:p w14:paraId="3FECB836" w14:textId="77777777" w:rsidR="008632AE" w:rsidRDefault="008632AE" w:rsidP="009D306D">
            <w:pPr>
              <w:jc w:val="center"/>
            </w:pPr>
          </w:p>
        </w:tc>
        <w:tc>
          <w:tcPr>
            <w:tcW w:w="1228" w:type="dxa"/>
            <w:shd w:val="clear" w:color="auto" w:fill="D1D1D1" w:themeFill="background2" w:themeFillShade="E6"/>
          </w:tcPr>
          <w:p w14:paraId="7763D691" w14:textId="77777777" w:rsidR="008632AE" w:rsidRDefault="008632AE" w:rsidP="009D306D">
            <w:pPr>
              <w:jc w:val="center"/>
            </w:pPr>
            <w:r>
              <w:t>Lower-Middle</w:t>
            </w:r>
          </w:p>
        </w:tc>
        <w:tc>
          <w:tcPr>
            <w:tcW w:w="1145" w:type="dxa"/>
            <w:shd w:val="clear" w:color="auto" w:fill="D1D1D1" w:themeFill="background2" w:themeFillShade="E6"/>
          </w:tcPr>
          <w:p w14:paraId="4C2B688B" w14:textId="77777777" w:rsidR="008632AE" w:rsidRDefault="008632AE" w:rsidP="009D306D">
            <w:pPr>
              <w:jc w:val="center"/>
            </w:pPr>
            <w:r>
              <w:t>71</w:t>
            </w:r>
          </w:p>
        </w:tc>
        <w:tc>
          <w:tcPr>
            <w:tcW w:w="1376" w:type="dxa"/>
            <w:shd w:val="clear" w:color="auto" w:fill="D1D1D1" w:themeFill="background2" w:themeFillShade="E6"/>
          </w:tcPr>
          <w:p w14:paraId="38567DAE" w14:textId="77777777" w:rsidR="008632AE" w:rsidRDefault="008632AE" w:rsidP="009D306D">
            <w:pPr>
              <w:jc w:val="center"/>
            </w:pPr>
            <w:r>
              <w:t>73</w:t>
            </w:r>
          </w:p>
        </w:tc>
        <w:tc>
          <w:tcPr>
            <w:tcW w:w="1523" w:type="dxa"/>
            <w:shd w:val="clear" w:color="auto" w:fill="D1D1D1" w:themeFill="background2" w:themeFillShade="E6"/>
          </w:tcPr>
          <w:p w14:paraId="6920463D" w14:textId="77777777" w:rsidR="008632AE" w:rsidRDefault="008632AE" w:rsidP="009D306D">
            <w:pPr>
              <w:jc w:val="center"/>
            </w:pPr>
            <w:r>
              <w:t>12</w:t>
            </w:r>
          </w:p>
        </w:tc>
        <w:tc>
          <w:tcPr>
            <w:tcW w:w="2001" w:type="dxa"/>
            <w:shd w:val="clear" w:color="auto" w:fill="D1D1D1" w:themeFill="background2" w:themeFillShade="E6"/>
          </w:tcPr>
          <w:p w14:paraId="16337DAF" w14:textId="77777777" w:rsidR="008632AE" w:rsidRDefault="008632AE" w:rsidP="009D306D">
            <w:pPr>
              <w:jc w:val="center"/>
            </w:pPr>
            <w:r>
              <w:t>0</w:t>
            </w:r>
          </w:p>
        </w:tc>
      </w:tr>
      <w:tr w:rsidR="008632AE" w14:paraId="4C71D8EA" w14:textId="77777777" w:rsidTr="009D306D">
        <w:tc>
          <w:tcPr>
            <w:tcW w:w="1743" w:type="dxa"/>
            <w:vMerge/>
            <w:shd w:val="clear" w:color="auto" w:fill="D1D1D1" w:themeFill="background2" w:themeFillShade="E6"/>
          </w:tcPr>
          <w:p w14:paraId="77D9F711" w14:textId="77777777" w:rsidR="008632AE" w:rsidRDefault="008632AE" w:rsidP="009D306D">
            <w:pPr>
              <w:jc w:val="center"/>
            </w:pPr>
          </w:p>
        </w:tc>
        <w:tc>
          <w:tcPr>
            <w:tcW w:w="1228" w:type="dxa"/>
            <w:shd w:val="clear" w:color="auto" w:fill="D1D1D1" w:themeFill="background2" w:themeFillShade="E6"/>
          </w:tcPr>
          <w:p w14:paraId="7FE84773" w14:textId="77777777" w:rsidR="008632AE" w:rsidRDefault="008632AE" w:rsidP="009D306D">
            <w:pPr>
              <w:jc w:val="center"/>
            </w:pPr>
            <w:r>
              <w:t>Upper-Middle</w:t>
            </w:r>
          </w:p>
        </w:tc>
        <w:tc>
          <w:tcPr>
            <w:tcW w:w="1145" w:type="dxa"/>
            <w:shd w:val="clear" w:color="auto" w:fill="D1D1D1" w:themeFill="background2" w:themeFillShade="E6"/>
          </w:tcPr>
          <w:p w14:paraId="0D0A05C9" w14:textId="77777777" w:rsidR="008632AE" w:rsidRDefault="008632AE" w:rsidP="009D306D">
            <w:pPr>
              <w:jc w:val="center"/>
            </w:pPr>
            <w:r>
              <w:t>79</w:t>
            </w:r>
          </w:p>
        </w:tc>
        <w:tc>
          <w:tcPr>
            <w:tcW w:w="1376" w:type="dxa"/>
            <w:shd w:val="clear" w:color="auto" w:fill="D1D1D1" w:themeFill="background2" w:themeFillShade="E6"/>
          </w:tcPr>
          <w:p w14:paraId="548C9F00" w14:textId="77777777" w:rsidR="008632AE" w:rsidRDefault="008632AE" w:rsidP="009D306D">
            <w:pPr>
              <w:jc w:val="center"/>
            </w:pPr>
            <w:r>
              <w:t>80</w:t>
            </w:r>
          </w:p>
        </w:tc>
        <w:tc>
          <w:tcPr>
            <w:tcW w:w="1523" w:type="dxa"/>
            <w:shd w:val="clear" w:color="auto" w:fill="D1D1D1" w:themeFill="background2" w:themeFillShade="E6"/>
          </w:tcPr>
          <w:p w14:paraId="31BC9892" w14:textId="77777777" w:rsidR="008632AE" w:rsidRDefault="008632AE" w:rsidP="009D306D">
            <w:pPr>
              <w:jc w:val="center"/>
            </w:pPr>
            <w:r>
              <w:t>8</w:t>
            </w:r>
          </w:p>
        </w:tc>
        <w:tc>
          <w:tcPr>
            <w:tcW w:w="2001" w:type="dxa"/>
            <w:shd w:val="clear" w:color="auto" w:fill="D1D1D1" w:themeFill="background2" w:themeFillShade="E6"/>
          </w:tcPr>
          <w:p w14:paraId="2B35DD27" w14:textId="77777777" w:rsidR="008632AE" w:rsidRDefault="008632AE" w:rsidP="009D306D">
            <w:pPr>
              <w:jc w:val="center"/>
            </w:pPr>
            <w:r>
              <w:t>0</w:t>
            </w:r>
          </w:p>
        </w:tc>
      </w:tr>
      <w:tr w:rsidR="008632AE" w14:paraId="35E30A8F" w14:textId="77777777" w:rsidTr="009D306D">
        <w:tc>
          <w:tcPr>
            <w:tcW w:w="1743" w:type="dxa"/>
            <w:vMerge/>
            <w:shd w:val="clear" w:color="auto" w:fill="D1D1D1" w:themeFill="background2" w:themeFillShade="E6"/>
          </w:tcPr>
          <w:p w14:paraId="469B683E" w14:textId="77777777" w:rsidR="008632AE" w:rsidRDefault="008632AE" w:rsidP="009D306D">
            <w:pPr>
              <w:jc w:val="center"/>
            </w:pPr>
          </w:p>
        </w:tc>
        <w:tc>
          <w:tcPr>
            <w:tcW w:w="1228" w:type="dxa"/>
            <w:shd w:val="clear" w:color="auto" w:fill="D1D1D1" w:themeFill="background2" w:themeFillShade="E6"/>
          </w:tcPr>
          <w:p w14:paraId="52FAE731" w14:textId="77777777" w:rsidR="008632AE" w:rsidRDefault="008632AE" w:rsidP="009D306D">
            <w:pPr>
              <w:jc w:val="center"/>
            </w:pPr>
            <w:r>
              <w:t>High</w:t>
            </w:r>
          </w:p>
        </w:tc>
        <w:tc>
          <w:tcPr>
            <w:tcW w:w="1145" w:type="dxa"/>
            <w:shd w:val="clear" w:color="auto" w:fill="D1D1D1" w:themeFill="background2" w:themeFillShade="E6"/>
          </w:tcPr>
          <w:p w14:paraId="7E842661" w14:textId="77777777" w:rsidR="008632AE" w:rsidRDefault="008632AE" w:rsidP="009D306D">
            <w:pPr>
              <w:jc w:val="center"/>
            </w:pPr>
            <w:r>
              <w:t>87</w:t>
            </w:r>
          </w:p>
        </w:tc>
        <w:tc>
          <w:tcPr>
            <w:tcW w:w="1376" w:type="dxa"/>
            <w:shd w:val="clear" w:color="auto" w:fill="D1D1D1" w:themeFill="background2" w:themeFillShade="E6"/>
          </w:tcPr>
          <w:p w14:paraId="2EC14070" w14:textId="77777777" w:rsidR="008632AE" w:rsidRDefault="008632AE" w:rsidP="009D306D">
            <w:pPr>
              <w:jc w:val="center"/>
            </w:pPr>
            <w:r>
              <w:t>88</w:t>
            </w:r>
          </w:p>
        </w:tc>
        <w:tc>
          <w:tcPr>
            <w:tcW w:w="1523" w:type="dxa"/>
            <w:shd w:val="clear" w:color="auto" w:fill="D1D1D1" w:themeFill="background2" w:themeFillShade="E6"/>
          </w:tcPr>
          <w:p w14:paraId="46D1E36D" w14:textId="77777777" w:rsidR="008632AE" w:rsidRDefault="008632AE" w:rsidP="009D306D">
            <w:pPr>
              <w:jc w:val="center"/>
            </w:pPr>
            <w:r>
              <w:t>5</w:t>
            </w:r>
          </w:p>
        </w:tc>
        <w:tc>
          <w:tcPr>
            <w:tcW w:w="2001" w:type="dxa"/>
            <w:shd w:val="clear" w:color="auto" w:fill="D1D1D1" w:themeFill="background2" w:themeFillShade="E6"/>
          </w:tcPr>
          <w:p w14:paraId="7D0EA529" w14:textId="77777777" w:rsidR="008632AE" w:rsidRDefault="008632AE" w:rsidP="009D306D">
            <w:pPr>
              <w:jc w:val="center"/>
            </w:pPr>
            <w:r>
              <w:t>0</w:t>
            </w:r>
          </w:p>
        </w:tc>
      </w:tr>
      <w:tr w:rsidR="008632AE" w14:paraId="3DD5BEA8" w14:textId="77777777" w:rsidTr="009D306D">
        <w:tc>
          <w:tcPr>
            <w:tcW w:w="1743" w:type="dxa"/>
            <w:vMerge w:val="restart"/>
          </w:tcPr>
          <w:p w14:paraId="6218E2BE" w14:textId="77777777" w:rsidR="008632AE" w:rsidRDefault="008632AE" w:rsidP="009D306D">
            <w:pPr>
              <w:jc w:val="center"/>
            </w:pPr>
            <w:r>
              <w:t>Unmet need for contraception</w:t>
            </w:r>
          </w:p>
        </w:tc>
        <w:tc>
          <w:tcPr>
            <w:tcW w:w="1228" w:type="dxa"/>
          </w:tcPr>
          <w:p w14:paraId="6FBF8835" w14:textId="77777777" w:rsidR="008632AE" w:rsidRDefault="008632AE" w:rsidP="009D306D">
            <w:pPr>
              <w:jc w:val="center"/>
            </w:pPr>
            <w:r>
              <w:t>Low</w:t>
            </w:r>
          </w:p>
        </w:tc>
        <w:tc>
          <w:tcPr>
            <w:tcW w:w="1145" w:type="dxa"/>
          </w:tcPr>
          <w:p w14:paraId="21D95CC1" w14:textId="77777777" w:rsidR="008632AE" w:rsidRDefault="008632AE" w:rsidP="009D306D">
            <w:pPr>
              <w:jc w:val="center"/>
            </w:pPr>
            <w:r>
              <w:t>27</w:t>
            </w:r>
          </w:p>
        </w:tc>
        <w:tc>
          <w:tcPr>
            <w:tcW w:w="1376" w:type="dxa"/>
          </w:tcPr>
          <w:p w14:paraId="2AC82990" w14:textId="77777777" w:rsidR="008632AE" w:rsidRDefault="008632AE" w:rsidP="009D306D">
            <w:pPr>
              <w:jc w:val="center"/>
            </w:pPr>
            <w:r>
              <w:t>28</w:t>
            </w:r>
          </w:p>
        </w:tc>
        <w:tc>
          <w:tcPr>
            <w:tcW w:w="1523" w:type="dxa"/>
          </w:tcPr>
          <w:p w14:paraId="5BEF3DCC" w14:textId="77777777" w:rsidR="008632AE" w:rsidRDefault="008632AE" w:rsidP="009D306D">
            <w:pPr>
              <w:jc w:val="center"/>
            </w:pPr>
            <w:r>
              <w:t>7</w:t>
            </w:r>
          </w:p>
        </w:tc>
        <w:tc>
          <w:tcPr>
            <w:tcW w:w="2001" w:type="dxa"/>
          </w:tcPr>
          <w:p w14:paraId="042295B4" w14:textId="77777777" w:rsidR="008632AE" w:rsidRDefault="008632AE" w:rsidP="009D306D">
            <w:pPr>
              <w:jc w:val="center"/>
            </w:pPr>
            <w:r>
              <w:t>33</w:t>
            </w:r>
          </w:p>
        </w:tc>
      </w:tr>
      <w:tr w:rsidR="008632AE" w14:paraId="5E93733A" w14:textId="77777777" w:rsidTr="009D306D">
        <w:tc>
          <w:tcPr>
            <w:tcW w:w="1743" w:type="dxa"/>
            <w:vMerge/>
          </w:tcPr>
          <w:p w14:paraId="4C000993" w14:textId="77777777" w:rsidR="008632AE" w:rsidRDefault="008632AE" w:rsidP="009D306D">
            <w:pPr>
              <w:jc w:val="center"/>
            </w:pPr>
          </w:p>
        </w:tc>
        <w:tc>
          <w:tcPr>
            <w:tcW w:w="1228" w:type="dxa"/>
          </w:tcPr>
          <w:p w14:paraId="387C1E60" w14:textId="77777777" w:rsidR="008632AE" w:rsidRDefault="008632AE" w:rsidP="009D306D">
            <w:pPr>
              <w:jc w:val="center"/>
            </w:pPr>
            <w:r>
              <w:t>Upper middle</w:t>
            </w:r>
          </w:p>
        </w:tc>
        <w:tc>
          <w:tcPr>
            <w:tcW w:w="1145" w:type="dxa"/>
          </w:tcPr>
          <w:p w14:paraId="0CA617C7" w14:textId="77777777" w:rsidR="008632AE" w:rsidRDefault="008632AE" w:rsidP="009D306D">
            <w:pPr>
              <w:jc w:val="center"/>
            </w:pPr>
            <w:r>
              <w:t>22</w:t>
            </w:r>
          </w:p>
        </w:tc>
        <w:tc>
          <w:tcPr>
            <w:tcW w:w="1376" w:type="dxa"/>
          </w:tcPr>
          <w:p w14:paraId="5AEAEB08" w14:textId="77777777" w:rsidR="008632AE" w:rsidRDefault="008632AE" w:rsidP="009D306D">
            <w:pPr>
              <w:jc w:val="center"/>
            </w:pPr>
            <w:r>
              <w:t>23</w:t>
            </w:r>
          </w:p>
        </w:tc>
        <w:tc>
          <w:tcPr>
            <w:tcW w:w="1523" w:type="dxa"/>
          </w:tcPr>
          <w:p w14:paraId="01478586" w14:textId="77777777" w:rsidR="008632AE" w:rsidRDefault="008632AE" w:rsidP="009D306D">
            <w:pPr>
              <w:jc w:val="center"/>
            </w:pPr>
            <w:r>
              <w:t>8</w:t>
            </w:r>
          </w:p>
        </w:tc>
        <w:tc>
          <w:tcPr>
            <w:tcW w:w="2001" w:type="dxa"/>
          </w:tcPr>
          <w:p w14:paraId="2FDA2392" w14:textId="77777777" w:rsidR="008632AE" w:rsidRDefault="008632AE" w:rsidP="009D306D">
            <w:pPr>
              <w:jc w:val="center"/>
            </w:pPr>
            <w:r>
              <w:t>72</w:t>
            </w:r>
          </w:p>
        </w:tc>
      </w:tr>
      <w:tr w:rsidR="008632AE" w14:paraId="4DEB75A4" w14:textId="77777777" w:rsidTr="009D306D">
        <w:tc>
          <w:tcPr>
            <w:tcW w:w="1743" w:type="dxa"/>
            <w:vMerge/>
          </w:tcPr>
          <w:p w14:paraId="59B85F95" w14:textId="77777777" w:rsidR="008632AE" w:rsidRDefault="008632AE" w:rsidP="009D306D">
            <w:pPr>
              <w:jc w:val="center"/>
            </w:pPr>
          </w:p>
        </w:tc>
        <w:tc>
          <w:tcPr>
            <w:tcW w:w="1228" w:type="dxa"/>
          </w:tcPr>
          <w:p w14:paraId="1137C1C1" w14:textId="77777777" w:rsidR="008632AE" w:rsidRDefault="008632AE" w:rsidP="009D306D">
            <w:pPr>
              <w:jc w:val="center"/>
            </w:pPr>
            <w:r>
              <w:t>Lower middle</w:t>
            </w:r>
          </w:p>
        </w:tc>
        <w:tc>
          <w:tcPr>
            <w:tcW w:w="1145" w:type="dxa"/>
          </w:tcPr>
          <w:p w14:paraId="2310CECC" w14:textId="77777777" w:rsidR="008632AE" w:rsidRDefault="008632AE" w:rsidP="009D306D">
            <w:pPr>
              <w:jc w:val="center"/>
            </w:pPr>
            <w:r>
              <w:t>13</w:t>
            </w:r>
          </w:p>
        </w:tc>
        <w:tc>
          <w:tcPr>
            <w:tcW w:w="1376" w:type="dxa"/>
          </w:tcPr>
          <w:p w14:paraId="56DA3F1A" w14:textId="77777777" w:rsidR="008632AE" w:rsidRDefault="008632AE" w:rsidP="009D306D">
            <w:pPr>
              <w:jc w:val="center"/>
            </w:pPr>
            <w:r>
              <w:t>12</w:t>
            </w:r>
          </w:p>
        </w:tc>
        <w:tc>
          <w:tcPr>
            <w:tcW w:w="1523" w:type="dxa"/>
          </w:tcPr>
          <w:p w14:paraId="0DB39DDE" w14:textId="77777777" w:rsidR="008632AE" w:rsidRDefault="008632AE" w:rsidP="009D306D">
            <w:pPr>
              <w:jc w:val="center"/>
            </w:pPr>
            <w:r>
              <w:t>6</w:t>
            </w:r>
          </w:p>
        </w:tc>
        <w:tc>
          <w:tcPr>
            <w:tcW w:w="2001" w:type="dxa"/>
          </w:tcPr>
          <w:p w14:paraId="3EBC03D2" w14:textId="77777777" w:rsidR="008632AE" w:rsidRDefault="008632AE" w:rsidP="009D306D">
            <w:pPr>
              <w:jc w:val="center"/>
            </w:pPr>
            <w:r>
              <w:t>88</w:t>
            </w:r>
          </w:p>
        </w:tc>
      </w:tr>
      <w:tr w:rsidR="008632AE" w14:paraId="346ACA46" w14:textId="77777777" w:rsidTr="009D306D">
        <w:tc>
          <w:tcPr>
            <w:tcW w:w="1743" w:type="dxa"/>
            <w:vMerge/>
          </w:tcPr>
          <w:p w14:paraId="5D0CF310" w14:textId="77777777" w:rsidR="008632AE" w:rsidRDefault="008632AE" w:rsidP="009D306D">
            <w:pPr>
              <w:jc w:val="center"/>
            </w:pPr>
          </w:p>
        </w:tc>
        <w:tc>
          <w:tcPr>
            <w:tcW w:w="1228" w:type="dxa"/>
          </w:tcPr>
          <w:p w14:paraId="54D58886" w14:textId="77777777" w:rsidR="008632AE" w:rsidRDefault="008632AE" w:rsidP="009D306D">
            <w:pPr>
              <w:jc w:val="center"/>
            </w:pPr>
            <w:r>
              <w:t>High</w:t>
            </w:r>
          </w:p>
        </w:tc>
        <w:tc>
          <w:tcPr>
            <w:tcW w:w="1145" w:type="dxa"/>
          </w:tcPr>
          <w:p w14:paraId="1EE3631C" w14:textId="77777777" w:rsidR="008632AE" w:rsidRDefault="008632AE" w:rsidP="009D306D">
            <w:pPr>
              <w:jc w:val="center"/>
            </w:pPr>
            <w:r>
              <w:t>13</w:t>
            </w:r>
          </w:p>
        </w:tc>
        <w:tc>
          <w:tcPr>
            <w:tcW w:w="1376" w:type="dxa"/>
          </w:tcPr>
          <w:p w14:paraId="145DE844" w14:textId="77777777" w:rsidR="008632AE" w:rsidRDefault="008632AE" w:rsidP="009D306D">
            <w:pPr>
              <w:jc w:val="center"/>
            </w:pPr>
            <w:r>
              <w:t>10</w:t>
            </w:r>
          </w:p>
        </w:tc>
        <w:tc>
          <w:tcPr>
            <w:tcW w:w="1523" w:type="dxa"/>
          </w:tcPr>
          <w:p w14:paraId="71A429EE" w14:textId="77777777" w:rsidR="008632AE" w:rsidRDefault="008632AE" w:rsidP="009D306D">
            <w:pPr>
              <w:jc w:val="center"/>
            </w:pPr>
            <w:r>
              <w:t>10</w:t>
            </w:r>
          </w:p>
        </w:tc>
        <w:tc>
          <w:tcPr>
            <w:tcW w:w="2001" w:type="dxa"/>
          </w:tcPr>
          <w:p w14:paraId="41E97643" w14:textId="77777777" w:rsidR="008632AE" w:rsidRDefault="008632AE" w:rsidP="009D306D">
            <w:pPr>
              <w:jc w:val="center"/>
            </w:pPr>
            <w:r>
              <w:t>97</w:t>
            </w:r>
          </w:p>
        </w:tc>
      </w:tr>
    </w:tbl>
    <w:p w14:paraId="07D8D7A5" w14:textId="77777777" w:rsidR="008632AE" w:rsidRPr="008632AE" w:rsidRDefault="008632AE" w:rsidP="008632AE"/>
    <w:p w14:paraId="7FD21566" w14:textId="77777777" w:rsidR="00202B46" w:rsidRDefault="00202B46" w:rsidP="00F449BB">
      <w:pPr>
        <w:jc w:val="both"/>
      </w:pPr>
    </w:p>
    <w:p w14:paraId="7484002E" w14:textId="43A1C4B0" w:rsidR="0070750D" w:rsidRDefault="0070750D" w:rsidP="0070750D">
      <w:pPr>
        <w:pStyle w:val="Heading4"/>
      </w:pPr>
      <w:r>
        <w:t>5.1</w:t>
      </w:r>
      <w:r>
        <w:t>3</w:t>
      </w:r>
      <w:r>
        <w:t xml:space="preserve"> </w:t>
      </w:r>
      <w:r>
        <w:t>Principal Component Analysis</w:t>
      </w:r>
    </w:p>
    <w:p w14:paraId="2E4E3EE9" w14:textId="77777777" w:rsidR="0070750D" w:rsidRDefault="0070750D" w:rsidP="00F449BB">
      <w:pPr>
        <w:jc w:val="both"/>
      </w:pPr>
    </w:p>
    <w:p w14:paraId="7D1C3F1F" w14:textId="77777777" w:rsidR="00202B46" w:rsidRDefault="00202B46" w:rsidP="00202B46">
      <w:pPr>
        <w:jc w:val="both"/>
      </w:pPr>
      <w:r>
        <w:rPr>
          <w:noProof/>
        </w:rPr>
        <w:t xml:space="preserve">The dense cluster of data in the bottom left of the Figures 6a and 6b correspond to the countries with the lowest MMRs and highest income levels, as expected. A country’s income level tended to decrease and its MMR tended to increase travelling up and to the right of Figures 6a and 6b, indicating an relationship between the two trends. There was no clustering by year (see Figure 6c), potentially due to heterogeneity in countries’ MMR ratios at time points (see Figure 3). The greater influence of income level on MMR compared to year was shown in Figure 3. </w:t>
      </w:r>
    </w:p>
    <w:p w14:paraId="3FAE732F" w14:textId="77777777" w:rsidR="00202B46" w:rsidRDefault="00202B46" w:rsidP="00202B46">
      <w:pPr>
        <w:jc w:val="both"/>
      </w:pPr>
    </w:p>
    <w:p w14:paraId="2285B3B5" w14:textId="77777777" w:rsidR="00202B46" w:rsidRDefault="00202B46" w:rsidP="00202B46">
      <w:pPr>
        <w:jc w:val="both"/>
      </w:pPr>
      <w:r>
        <w:t>a)</w:t>
      </w:r>
      <w:r>
        <w:tab/>
        <w:t xml:space="preserve">    </w:t>
      </w:r>
      <w:r>
        <w:tab/>
      </w:r>
      <w:r>
        <w:tab/>
      </w:r>
      <w:r>
        <w:tab/>
      </w:r>
      <w:r>
        <w:tab/>
      </w:r>
      <w:r>
        <w:tab/>
        <w:t xml:space="preserve">    b)</w:t>
      </w:r>
    </w:p>
    <w:p w14:paraId="7E4BF43A" w14:textId="77777777" w:rsidR="00202B46" w:rsidRDefault="00202B46" w:rsidP="00202B46">
      <w:pPr>
        <w:jc w:val="both"/>
      </w:pPr>
      <w:r w:rsidRPr="009B01A2">
        <w:rPr>
          <w:noProof/>
        </w:rPr>
        <w:drawing>
          <wp:inline distT="0" distB="0" distL="0" distR="0" wp14:anchorId="18398CCD" wp14:editId="72DB525C">
            <wp:extent cx="2637085" cy="2057108"/>
            <wp:effectExtent l="0" t="0" r="5080" b="635"/>
            <wp:docPr id="2092261040" name="Picture 1" descr="A graph of red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61040" name="Picture 1" descr="A graph of red dots and a red line&#10;&#10;AI-generated content may be incorrect."/>
                    <pic:cNvPicPr/>
                  </pic:nvPicPr>
                  <pic:blipFill>
                    <a:blip r:embed="rId5"/>
                    <a:stretch>
                      <a:fillRect/>
                    </a:stretch>
                  </pic:blipFill>
                  <pic:spPr>
                    <a:xfrm>
                      <a:off x="0" y="0"/>
                      <a:ext cx="2656769" cy="2072463"/>
                    </a:xfrm>
                    <a:prstGeom prst="rect">
                      <a:avLst/>
                    </a:prstGeom>
                  </pic:spPr>
                </pic:pic>
              </a:graphicData>
            </a:graphic>
          </wp:inline>
        </w:drawing>
      </w:r>
      <w:r w:rsidRPr="00F43719">
        <w:rPr>
          <w:noProof/>
        </w:rPr>
        <w:t xml:space="preserve"> </w:t>
      </w:r>
      <w:r w:rsidRPr="00F43719">
        <w:rPr>
          <w:noProof/>
        </w:rPr>
        <w:drawing>
          <wp:inline distT="0" distB="0" distL="0" distR="0" wp14:anchorId="62F394F9" wp14:editId="35A6F08B">
            <wp:extent cx="2885440" cy="2046859"/>
            <wp:effectExtent l="0" t="0" r="0" b="0"/>
            <wp:docPr id="416164574" name="Picture 1" descr="A graph with a chart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64574" name="Picture 1" descr="A graph with a chart and a diagram&#10;&#10;AI-generated content may be incorrect."/>
                    <pic:cNvPicPr/>
                  </pic:nvPicPr>
                  <pic:blipFill>
                    <a:blip r:embed="rId6"/>
                    <a:stretch>
                      <a:fillRect/>
                    </a:stretch>
                  </pic:blipFill>
                  <pic:spPr>
                    <a:xfrm>
                      <a:off x="0" y="0"/>
                      <a:ext cx="2917379" cy="2069516"/>
                    </a:xfrm>
                    <a:prstGeom prst="rect">
                      <a:avLst/>
                    </a:prstGeom>
                  </pic:spPr>
                </pic:pic>
              </a:graphicData>
            </a:graphic>
          </wp:inline>
        </w:drawing>
      </w:r>
    </w:p>
    <w:p w14:paraId="42E54E3B" w14:textId="77777777" w:rsidR="00202B46" w:rsidRDefault="00202B46" w:rsidP="00202B46">
      <w:pPr>
        <w:jc w:val="both"/>
      </w:pPr>
      <w:r>
        <w:lastRenderedPageBreak/>
        <w:t>c)</w:t>
      </w:r>
    </w:p>
    <w:p w14:paraId="71F6FC55" w14:textId="77777777" w:rsidR="00202B46" w:rsidRPr="00276CE5" w:rsidRDefault="00202B46" w:rsidP="00202B46">
      <w:pPr>
        <w:jc w:val="center"/>
      </w:pPr>
      <w:r w:rsidRPr="00276CE5">
        <w:rPr>
          <w:noProof/>
        </w:rPr>
        <w:drawing>
          <wp:inline distT="0" distB="0" distL="0" distR="0" wp14:anchorId="6066E766" wp14:editId="66C82B43">
            <wp:extent cx="2654013" cy="2070312"/>
            <wp:effectExtent l="0" t="0" r="635" b="0"/>
            <wp:docPr id="240501055" name="Picture 1" descr="A graph with a graph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1055" name="Picture 1" descr="A graph with a graph of colored dots&#10;&#10;AI-generated content may be incorrect."/>
                    <pic:cNvPicPr/>
                  </pic:nvPicPr>
                  <pic:blipFill>
                    <a:blip r:embed="rId7"/>
                    <a:stretch>
                      <a:fillRect/>
                    </a:stretch>
                  </pic:blipFill>
                  <pic:spPr>
                    <a:xfrm>
                      <a:off x="0" y="0"/>
                      <a:ext cx="2736741" cy="2134845"/>
                    </a:xfrm>
                    <a:prstGeom prst="rect">
                      <a:avLst/>
                    </a:prstGeom>
                  </pic:spPr>
                </pic:pic>
              </a:graphicData>
            </a:graphic>
          </wp:inline>
        </w:drawing>
      </w:r>
    </w:p>
    <w:p w14:paraId="2B3B2CFC" w14:textId="77777777" w:rsidR="00202B46" w:rsidRPr="00C329AF" w:rsidRDefault="00202B46" w:rsidP="00202B46">
      <w:pPr>
        <w:jc w:val="both"/>
      </w:pPr>
      <w:r w:rsidRPr="00B371D8">
        <w:rPr>
          <w:b/>
          <w:bCs/>
        </w:rPr>
        <w:t>Figure 6:</w:t>
      </w:r>
      <w:r>
        <w:t xml:space="preserve"> PCA projection of feature dataset onto first two principal components, which captured 30.8 and 8.6% of the data’s total variation, respectively. The PCA projection was coloured by the sample’s a) MMR ratio, b) income level, c) year. </w:t>
      </w:r>
    </w:p>
    <w:p w14:paraId="49A94080" w14:textId="77777777" w:rsidR="00202B46" w:rsidRDefault="00202B46" w:rsidP="00F449BB">
      <w:pPr>
        <w:jc w:val="both"/>
      </w:pPr>
    </w:p>
    <w:p w14:paraId="4932DB7E" w14:textId="741A1D1E" w:rsidR="0070750D" w:rsidRDefault="0070750D" w:rsidP="0070750D">
      <w:pPr>
        <w:pStyle w:val="Heading4"/>
      </w:pPr>
      <w:r>
        <w:t>5.1</w:t>
      </w:r>
      <w:r>
        <w:t>4</w:t>
      </w:r>
      <w:r>
        <w:t xml:space="preserve"> </w:t>
      </w:r>
      <w:r>
        <w:t xml:space="preserve">Correlation Analysis </w:t>
      </w:r>
    </w:p>
    <w:p w14:paraId="1C858458" w14:textId="77777777" w:rsidR="0070750D" w:rsidRDefault="0070750D" w:rsidP="00F449BB">
      <w:pPr>
        <w:jc w:val="both"/>
      </w:pPr>
    </w:p>
    <w:p w14:paraId="5FF5A255" w14:textId="77777777" w:rsidR="00356378" w:rsidRDefault="00356378" w:rsidP="00356378">
      <w:pPr>
        <w:jc w:val="both"/>
      </w:pPr>
      <w:r>
        <w:t xml:space="preserve">analysed to provide  were multiple instances of features with a high magnitude pair-wise Pearson correlation coefficient with MMR (see Table 6). The features with the top 5 highest magnitude coefficients measured a mixture of health-related and social outcomes, indicating the importance of using a wide range of features to predict maternal mortality. </w:t>
      </w:r>
    </w:p>
    <w:p w14:paraId="6D618805" w14:textId="77777777" w:rsidR="00356378" w:rsidRDefault="00356378" w:rsidP="00356378">
      <w:pPr>
        <w:jc w:val="both"/>
      </w:pPr>
    </w:p>
    <w:p w14:paraId="51AC0C4B" w14:textId="77777777" w:rsidR="00356378" w:rsidRDefault="00356378" w:rsidP="00356378">
      <w:pPr>
        <w:jc w:val="both"/>
      </w:pPr>
      <w:r w:rsidRPr="007A40BC">
        <w:rPr>
          <w:b/>
          <w:bCs/>
        </w:rPr>
        <w:t>Table 6:</w:t>
      </w:r>
      <w:r>
        <w:t xml:space="preserve"> Features with the five highest magnitude pair-wise Pearson correlation coefficients with MMR.</w:t>
      </w:r>
    </w:p>
    <w:p w14:paraId="5060896A" w14:textId="77777777" w:rsidR="00356378" w:rsidRDefault="00356378" w:rsidP="00356378">
      <w:pPr>
        <w:jc w:val="both"/>
      </w:pPr>
    </w:p>
    <w:tbl>
      <w:tblPr>
        <w:tblStyle w:val="TableGrid"/>
        <w:tblW w:w="0" w:type="auto"/>
        <w:tblLook w:val="04A0" w:firstRow="1" w:lastRow="0" w:firstColumn="1" w:lastColumn="0" w:noHBand="0" w:noVBand="1"/>
      </w:tblPr>
      <w:tblGrid>
        <w:gridCol w:w="6091"/>
        <w:gridCol w:w="2925"/>
      </w:tblGrid>
      <w:tr w:rsidR="00356378" w14:paraId="7BF00773" w14:textId="77777777" w:rsidTr="00A303B4">
        <w:tc>
          <w:tcPr>
            <w:tcW w:w="6091" w:type="dxa"/>
          </w:tcPr>
          <w:p w14:paraId="22847E21" w14:textId="77777777" w:rsidR="00356378" w:rsidRPr="00DC77FF" w:rsidRDefault="00356378" w:rsidP="00A303B4">
            <w:pPr>
              <w:jc w:val="center"/>
              <w:rPr>
                <w:b/>
                <w:bCs/>
              </w:rPr>
            </w:pPr>
            <w:r w:rsidRPr="00DC77FF">
              <w:rPr>
                <w:b/>
                <w:bCs/>
              </w:rPr>
              <w:t>Feature</w:t>
            </w:r>
          </w:p>
        </w:tc>
        <w:tc>
          <w:tcPr>
            <w:tcW w:w="2925" w:type="dxa"/>
          </w:tcPr>
          <w:p w14:paraId="4FE76A90" w14:textId="77777777" w:rsidR="00356378" w:rsidRPr="00DC77FF" w:rsidRDefault="00356378" w:rsidP="00A303B4">
            <w:pPr>
              <w:jc w:val="center"/>
              <w:rPr>
                <w:b/>
                <w:bCs/>
              </w:rPr>
            </w:pPr>
            <w:r w:rsidRPr="00DC77FF">
              <w:rPr>
                <w:b/>
                <w:bCs/>
              </w:rPr>
              <w:t>Pair-wise Pearson Correlation Coefficient</w:t>
            </w:r>
          </w:p>
        </w:tc>
      </w:tr>
      <w:tr w:rsidR="00356378" w14:paraId="14E31D30" w14:textId="77777777" w:rsidTr="00A303B4">
        <w:tc>
          <w:tcPr>
            <w:tcW w:w="6091" w:type="dxa"/>
          </w:tcPr>
          <w:p w14:paraId="425AD19F" w14:textId="77777777" w:rsidR="00356378" w:rsidRPr="00DC77FF" w:rsidRDefault="00356378" w:rsidP="00A303B4">
            <w:pPr>
              <w:jc w:val="center"/>
            </w:pPr>
            <w:r w:rsidRPr="00DC77FF">
              <w:rPr>
                <w:color w:val="000000"/>
              </w:rPr>
              <w:t>Women and girls who use menstrual materials (% of women and girls ages 15-49 who had a menstrual period within the last year)</w:t>
            </w:r>
          </w:p>
        </w:tc>
        <w:tc>
          <w:tcPr>
            <w:tcW w:w="2925" w:type="dxa"/>
          </w:tcPr>
          <w:p w14:paraId="31288A91" w14:textId="77777777" w:rsidR="00356378" w:rsidRPr="00DC77FF" w:rsidRDefault="00356378" w:rsidP="00A303B4">
            <w:pPr>
              <w:jc w:val="center"/>
              <w:rPr>
                <w:color w:val="000000"/>
              </w:rPr>
            </w:pPr>
          </w:p>
          <w:p w14:paraId="7B58B34A" w14:textId="77777777" w:rsidR="00356378" w:rsidRPr="00DC77FF" w:rsidRDefault="00356378" w:rsidP="00A303B4">
            <w:pPr>
              <w:jc w:val="center"/>
            </w:pPr>
            <w:r w:rsidRPr="00DC77FF">
              <w:rPr>
                <w:color w:val="000000"/>
              </w:rPr>
              <w:t>0.995959</w:t>
            </w:r>
          </w:p>
        </w:tc>
      </w:tr>
      <w:tr w:rsidR="00356378" w14:paraId="48F2A97D" w14:textId="77777777" w:rsidTr="00A303B4">
        <w:tc>
          <w:tcPr>
            <w:tcW w:w="6091" w:type="dxa"/>
          </w:tcPr>
          <w:p w14:paraId="67E3854A" w14:textId="77777777" w:rsidR="00356378" w:rsidRPr="00DC77FF" w:rsidRDefault="00356378" w:rsidP="00A303B4">
            <w:pPr>
              <w:jc w:val="center"/>
            </w:pPr>
            <w:r w:rsidRPr="00DC77FF">
              <w:rPr>
                <w:color w:val="000000"/>
              </w:rPr>
              <w:t>Probability of Survival to Age 5</w:t>
            </w:r>
          </w:p>
        </w:tc>
        <w:tc>
          <w:tcPr>
            <w:tcW w:w="2925" w:type="dxa"/>
          </w:tcPr>
          <w:p w14:paraId="1E7D5355" w14:textId="77777777" w:rsidR="00356378" w:rsidRPr="00DC77FF" w:rsidRDefault="00356378" w:rsidP="00A303B4">
            <w:pPr>
              <w:jc w:val="center"/>
            </w:pPr>
            <w:r w:rsidRPr="00DC77FF">
              <w:rPr>
                <w:color w:val="000000"/>
              </w:rPr>
              <w:t>-0.869512</w:t>
            </w:r>
          </w:p>
        </w:tc>
      </w:tr>
      <w:tr w:rsidR="00356378" w14:paraId="6B4E1972" w14:textId="77777777" w:rsidTr="00A303B4">
        <w:tc>
          <w:tcPr>
            <w:tcW w:w="6091" w:type="dxa"/>
          </w:tcPr>
          <w:p w14:paraId="205CF070" w14:textId="77777777" w:rsidR="00356378" w:rsidRPr="00DC77FF" w:rsidRDefault="00356378" w:rsidP="00A303B4">
            <w:pPr>
              <w:jc w:val="center"/>
            </w:pPr>
            <w:r w:rsidRPr="00DC77FF">
              <w:rPr>
                <w:color w:val="000000"/>
              </w:rPr>
              <w:t>Probability of Survival to Age 5, Female</w:t>
            </w:r>
          </w:p>
        </w:tc>
        <w:tc>
          <w:tcPr>
            <w:tcW w:w="2925" w:type="dxa"/>
          </w:tcPr>
          <w:p w14:paraId="2880ABDE" w14:textId="77777777" w:rsidR="00356378" w:rsidRPr="00DC77FF" w:rsidRDefault="00356378" w:rsidP="00A303B4">
            <w:pPr>
              <w:jc w:val="center"/>
            </w:pPr>
            <w:r w:rsidRPr="00DC77FF">
              <w:rPr>
                <w:color w:val="000000"/>
              </w:rPr>
              <w:t>-0.867849</w:t>
            </w:r>
          </w:p>
        </w:tc>
      </w:tr>
      <w:tr w:rsidR="00356378" w14:paraId="66654561" w14:textId="77777777" w:rsidTr="00A303B4">
        <w:tc>
          <w:tcPr>
            <w:tcW w:w="6091" w:type="dxa"/>
          </w:tcPr>
          <w:p w14:paraId="2E33144A" w14:textId="77777777" w:rsidR="00356378" w:rsidRPr="00DC77FF" w:rsidRDefault="00356378" w:rsidP="00A303B4">
            <w:pPr>
              <w:jc w:val="center"/>
            </w:pPr>
            <w:r w:rsidRPr="00DC77FF">
              <w:rPr>
                <w:color w:val="000000"/>
              </w:rPr>
              <w:t>Probability of Survival to Age 5, Male</w:t>
            </w:r>
          </w:p>
        </w:tc>
        <w:tc>
          <w:tcPr>
            <w:tcW w:w="2925" w:type="dxa"/>
          </w:tcPr>
          <w:p w14:paraId="789E27AE" w14:textId="77777777" w:rsidR="00356378" w:rsidRPr="00DC77FF" w:rsidRDefault="00356378" w:rsidP="00A303B4">
            <w:pPr>
              <w:jc w:val="center"/>
            </w:pPr>
            <w:r w:rsidRPr="00DC77FF">
              <w:rPr>
                <w:color w:val="000000"/>
              </w:rPr>
              <w:t>-0.867237</w:t>
            </w:r>
          </w:p>
        </w:tc>
      </w:tr>
      <w:tr w:rsidR="00356378" w14:paraId="4FC7268E" w14:textId="77777777" w:rsidTr="00A303B4">
        <w:tc>
          <w:tcPr>
            <w:tcW w:w="6091" w:type="dxa"/>
          </w:tcPr>
          <w:p w14:paraId="56238E27" w14:textId="77777777" w:rsidR="00356378" w:rsidRPr="00DC77FF" w:rsidRDefault="00356378" w:rsidP="00A303B4">
            <w:pPr>
              <w:jc w:val="center"/>
            </w:pPr>
            <w:r w:rsidRPr="00DC77FF">
              <w:rPr>
                <w:color w:val="000000"/>
              </w:rPr>
              <w:t>1.F.01 Maternal disorders prevalence (age standardized) (per 100 000 population) female ratio (national estimate, per 100,000 live births)</w:t>
            </w:r>
          </w:p>
        </w:tc>
        <w:tc>
          <w:tcPr>
            <w:tcW w:w="2925" w:type="dxa"/>
          </w:tcPr>
          <w:p w14:paraId="2D1147EF" w14:textId="77777777" w:rsidR="00356378" w:rsidRPr="00DC77FF" w:rsidRDefault="00356378" w:rsidP="00A303B4">
            <w:pPr>
              <w:jc w:val="center"/>
              <w:rPr>
                <w:color w:val="000000"/>
              </w:rPr>
            </w:pPr>
          </w:p>
          <w:p w14:paraId="0B016688" w14:textId="77777777" w:rsidR="00356378" w:rsidRPr="00DC77FF" w:rsidRDefault="00356378" w:rsidP="00A303B4">
            <w:pPr>
              <w:jc w:val="center"/>
            </w:pPr>
            <w:r w:rsidRPr="00DC77FF">
              <w:rPr>
                <w:color w:val="000000"/>
              </w:rPr>
              <w:t>0.848715</w:t>
            </w:r>
          </w:p>
        </w:tc>
      </w:tr>
    </w:tbl>
    <w:p w14:paraId="2969EEA9" w14:textId="77777777" w:rsidR="00356378" w:rsidRDefault="00356378" w:rsidP="00F449BB">
      <w:pPr>
        <w:jc w:val="both"/>
      </w:pPr>
    </w:p>
    <w:p w14:paraId="07A52286" w14:textId="3749890D" w:rsidR="0070750D" w:rsidRDefault="0070750D" w:rsidP="0070750D">
      <w:pPr>
        <w:pStyle w:val="Heading3"/>
      </w:pPr>
      <w:r>
        <w:t>5.</w:t>
      </w:r>
      <w:r>
        <w:t>2</w:t>
      </w:r>
      <w:r>
        <w:t xml:space="preserve"> </w:t>
      </w:r>
      <w:r>
        <w:t>Data Distribution After Pre-Processing</w:t>
      </w:r>
      <w:r>
        <w:t xml:space="preserve"> </w:t>
      </w:r>
    </w:p>
    <w:p w14:paraId="40251631" w14:textId="705AA228" w:rsidR="00280D23" w:rsidRDefault="00280D23" w:rsidP="00280D23"/>
    <w:p w14:paraId="754009AE" w14:textId="2FE31108" w:rsidR="00280D23" w:rsidRPr="00280D23" w:rsidRDefault="0093316D" w:rsidP="00280D23">
      <w:r w:rsidRPr="0093316D">
        <w:lastRenderedPageBreak/>
        <w:drawing>
          <wp:inline distT="0" distB="0" distL="0" distR="0" wp14:anchorId="35113567" wp14:editId="703A6D8F">
            <wp:extent cx="5448300" cy="3467100"/>
            <wp:effectExtent l="0" t="0" r="0" b="0"/>
            <wp:docPr id="123058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89666" name=""/>
                    <pic:cNvPicPr/>
                  </pic:nvPicPr>
                  <pic:blipFill>
                    <a:blip r:embed="rId8"/>
                    <a:stretch>
                      <a:fillRect/>
                    </a:stretch>
                  </pic:blipFill>
                  <pic:spPr>
                    <a:xfrm>
                      <a:off x="0" y="0"/>
                      <a:ext cx="5448300" cy="3467100"/>
                    </a:xfrm>
                    <a:prstGeom prst="rect">
                      <a:avLst/>
                    </a:prstGeom>
                  </pic:spPr>
                </pic:pic>
              </a:graphicData>
            </a:graphic>
          </wp:inline>
        </w:drawing>
      </w:r>
    </w:p>
    <w:p w14:paraId="78DD9A87" w14:textId="7D5B37D7" w:rsidR="00A953E7" w:rsidRDefault="003B56DE" w:rsidP="00A953E7">
      <w:r w:rsidRPr="003B56DE">
        <w:drawing>
          <wp:inline distT="0" distB="0" distL="0" distR="0" wp14:anchorId="2F7A3170" wp14:editId="7DC7529A">
            <wp:extent cx="5448300" cy="3467100"/>
            <wp:effectExtent l="0" t="0" r="0" b="0"/>
            <wp:docPr id="7065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25612" name=""/>
                    <pic:cNvPicPr/>
                  </pic:nvPicPr>
                  <pic:blipFill>
                    <a:blip r:embed="rId9"/>
                    <a:stretch>
                      <a:fillRect/>
                    </a:stretch>
                  </pic:blipFill>
                  <pic:spPr>
                    <a:xfrm>
                      <a:off x="0" y="0"/>
                      <a:ext cx="5448300" cy="3467100"/>
                    </a:xfrm>
                    <a:prstGeom prst="rect">
                      <a:avLst/>
                    </a:prstGeom>
                  </pic:spPr>
                </pic:pic>
              </a:graphicData>
            </a:graphic>
          </wp:inline>
        </w:drawing>
      </w:r>
    </w:p>
    <w:p w14:paraId="3B728AC0" w14:textId="77777777" w:rsidR="00280D23" w:rsidRPr="00A953E7" w:rsidRDefault="00280D23" w:rsidP="00A953E7"/>
    <w:p w14:paraId="5503B445" w14:textId="77777777" w:rsidR="00F449BB" w:rsidRDefault="00F449BB" w:rsidP="007D5211">
      <w:pPr>
        <w:jc w:val="both"/>
        <w:rPr>
          <w:color w:val="EE0000"/>
          <w:sz w:val="30"/>
          <w:szCs w:val="30"/>
        </w:rPr>
      </w:pPr>
    </w:p>
    <w:p w14:paraId="67D9CB09" w14:textId="02222E9B" w:rsidR="0070750D" w:rsidRDefault="0070750D" w:rsidP="0070750D">
      <w:pPr>
        <w:pStyle w:val="Heading3"/>
      </w:pPr>
      <w:r>
        <w:t>5.</w:t>
      </w:r>
      <w:r>
        <w:t>3</w:t>
      </w:r>
      <w:r>
        <w:t xml:space="preserve"> </w:t>
      </w:r>
      <w:r>
        <w:t xml:space="preserve">Base Model Results </w:t>
      </w:r>
    </w:p>
    <w:p w14:paraId="3B3AB3CB" w14:textId="1881A9FB" w:rsidR="0070750D" w:rsidRDefault="0070750D" w:rsidP="0070750D">
      <w:pPr>
        <w:pStyle w:val="Heading4"/>
      </w:pPr>
      <w:r>
        <w:t>5.</w:t>
      </w:r>
      <w:r>
        <w:t>31</w:t>
      </w:r>
      <w:r>
        <w:t xml:space="preserve"> </w:t>
      </w:r>
      <w:r>
        <w:t xml:space="preserve">Base Model Performance on Different Feature Subsets and Missing Data Removal Thresholds </w:t>
      </w:r>
    </w:p>
    <w:p w14:paraId="190DA334" w14:textId="77777777" w:rsidR="0070750D" w:rsidRPr="0070750D" w:rsidRDefault="0070750D" w:rsidP="0070750D"/>
    <w:p w14:paraId="5B7B095D" w14:textId="77777777" w:rsidR="0070750D" w:rsidRPr="0041283E" w:rsidRDefault="0070750D" w:rsidP="0070750D">
      <w:pPr>
        <w:jc w:val="both"/>
        <w:rPr>
          <w:color w:val="EE0000"/>
          <w:sz w:val="30"/>
          <w:szCs w:val="30"/>
        </w:rPr>
      </w:pPr>
      <w:r>
        <w:rPr>
          <w:color w:val="EE0000"/>
          <w:sz w:val="30"/>
          <w:szCs w:val="30"/>
        </w:rPr>
        <w:t xml:space="preserve">Look at correlation between the metrics, and can use later as a discussion point about comparative model performance </w:t>
      </w:r>
    </w:p>
    <w:p w14:paraId="1A2328C7" w14:textId="77777777" w:rsidR="0070750D" w:rsidRDefault="0070750D" w:rsidP="0070750D">
      <w:pPr>
        <w:jc w:val="both"/>
      </w:pPr>
    </w:p>
    <w:p w14:paraId="50C43744" w14:textId="3FE6E765" w:rsidR="0070750D" w:rsidRDefault="0070750D" w:rsidP="0070750D">
      <w:pPr>
        <w:pStyle w:val="Heading4"/>
      </w:pPr>
      <w:r>
        <w:t>5.</w:t>
      </w:r>
      <w:r>
        <w:t>32</w:t>
      </w:r>
      <w:r>
        <w:t xml:space="preserve"> </w:t>
      </w:r>
      <w:r>
        <w:t>Feature Importance Analysis</w:t>
      </w:r>
    </w:p>
    <w:p w14:paraId="7FD0D9B1" w14:textId="77777777" w:rsidR="0070750D" w:rsidRPr="0070750D" w:rsidRDefault="0070750D" w:rsidP="0070750D"/>
    <w:p w14:paraId="794C9870" w14:textId="5424A651" w:rsidR="0070750D" w:rsidRDefault="0070750D" w:rsidP="0070750D">
      <w:pPr>
        <w:pStyle w:val="Heading3"/>
      </w:pPr>
      <w:r>
        <w:t>5.</w:t>
      </w:r>
      <w:r>
        <w:t>4</w:t>
      </w:r>
      <w:r>
        <w:t xml:space="preserve"> </w:t>
      </w:r>
      <w:r>
        <w:t xml:space="preserve">Ensemble Results </w:t>
      </w:r>
    </w:p>
    <w:p w14:paraId="34B5B66A" w14:textId="6165E556" w:rsidR="0070750D" w:rsidRDefault="0070750D" w:rsidP="0070750D">
      <w:pPr>
        <w:pStyle w:val="Heading4"/>
      </w:pPr>
      <w:r>
        <w:t>5.</w:t>
      </w:r>
      <w:r>
        <w:t>4</w:t>
      </w:r>
      <w:r>
        <w:t xml:space="preserve">1 </w:t>
      </w:r>
      <w:r>
        <w:t xml:space="preserve">Ensemble Performance with All Base Estimators </w:t>
      </w:r>
    </w:p>
    <w:p w14:paraId="3838938B" w14:textId="1482154E" w:rsidR="0070750D" w:rsidRDefault="0070750D" w:rsidP="0070750D">
      <w:pPr>
        <w:pStyle w:val="Heading4"/>
      </w:pPr>
      <w:r>
        <w:t>5.</w:t>
      </w:r>
      <w:r>
        <w:t>42</w:t>
      </w:r>
      <w:r>
        <w:t xml:space="preserve"> </w:t>
      </w:r>
      <w:r>
        <w:t>Ensemble Performance with Different Combinations of Base Estimators</w:t>
      </w:r>
    </w:p>
    <w:p w14:paraId="2B674B05" w14:textId="0D7408E8" w:rsidR="0070750D" w:rsidRDefault="0070750D" w:rsidP="0070750D">
      <w:pPr>
        <w:pStyle w:val="Heading4"/>
      </w:pPr>
      <w:r>
        <w:t>5.</w:t>
      </w:r>
      <w:r>
        <w:t>43</w:t>
      </w:r>
      <w:r>
        <w:t xml:space="preserve"> </w:t>
      </w:r>
      <w:r>
        <w:t xml:space="preserve">Model Importance </w:t>
      </w:r>
    </w:p>
    <w:p w14:paraId="3A592D6E" w14:textId="364341DD" w:rsidR="0070750D" w:rsidRDefault="0070750D" w:rsidP="0070750D">
      <w:pPr>
        <w:pStyle w:val="Heading4"/>
      </w:pPr>
      <w:r>
        <w:t>5.</w:t>
      </w:r>
      <w:r>
        <w:t>44</w:t>
      </w:r>
      <w:r>
        <w:t xml:space="preserve"> </w:t>
      </w:r>
      <w:r>
        <w:t>Uncertainty Analysis</w:t>
      </w:r>
    </w:p>
    <w:p w14:paraId="0AFA2B3B" w14:textId="77777777" w:rsidR="0070750D" w:rsidRPr="0070750D" w:rsidRDefault="0070750D" w:rsidP="0070750D"/>
    <w:p w14:paraId="19F653E4" w14:textId="0BDE90D7" w:rsidR="0070750D" w:rsidRDefault="0070750D" w:rsidP="0070750D">
      <w:pPr>
        <w:pStyle w:val="Heading3"/>
      </w:pPr>
      <w:r>
        <w:t>5.</w:t>
      </w:r>
      <w:r>
        <w:t>5</w:t>
      </w:r>
      <w:r>
        <w:t xml:space="preserve"> </w:t>
      </w:r>
      <w:r>
        <w:t>Sensitivity Analysis</w:t>
      </w:r>
    </w:p>
    <w:p w14:paraId="521063C9" w14:textId="0C5E7E37" w:rsidR="0070750D" w:rsidRPr="0070750D" w:rsidRDefault="0070750D" w:rsidP="0070750D">
      <w:pPr>
        <w:pStyle w:val="Heading3"/>
      </w:pPr>
      <w:r>
        <w:t>5.</w:t>
      </w:r>
      <w:r>
        <w:t>6</w:t>
      </w:r>
      <w:r>
        <w:t xml:space="preserve"> </w:t>
      </w:r>
      <w:r>
        <w:t xml:space="preserve">Comparison to Literature </w:t>
      </w:r>
    </w:p>
    <w:sectPr w:rsidR="0070750D" w:rsidRPr="00707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B"/>
    <w:rsid w:val="000D770F"/>
    <w:rsid w:val="001A7405"/>
    <w:rsid w:val="00202B46"/>
    <w:rsid w:val="00226784"/>
    <w:rsid w:val="00271F99"/>
    <w:rsid w:val="00280D23"/>
    <w:rsid w:val="002F13A1"/>
    <w:rsid w:val="00356378"/>
    <w:rsid w:val="00397E05"/>
    <w:rsid w:val="003A3731"/>
    <w:rsid w:val="003B56DE"/>
    <w:rsid w:val="004019E6"/>
    <w:rsid w:val="0041283E"/>
    <w:rsid w:val="004C1E9E"/>
    <w:rsid w:val="005D21C1"/>
    <w:rsid w:val="005D6580"/>
    <w:rsid w:val="006A7210"/>
    <w:rsid w:val="0070750D"/>
    <w:rsid w:val="00761FF3"/>
    <w:rsid w:val="007D5211"/>
    <w:rsid w:val="007D6B62"/>
    <w:rsid w:val="00855B3F"/>
    <w:rsid w:val="008632AE"/>
    <w:rsid w:val="0093316D"/>
    <w:rsid w:val="00937B41"/>
    <w:rsid w:val="00961129"/>
    <w:rsid w:val="009D28AD"/>
    <w:rsid w:val="00A953E7"/>
    <w:rsid w:val="00B13CF8"/>
    <w:rsid w:val="00B1510D"/>
    <w:rsid w:val="00B20A44"/>
    <w:rsid w:val="00BC636A"/>
    <w:rsid w:val="00C23179"/>
    <w:rsid w:val="00C70D0B"/>
    <w:rsid w:val="00DE45FF"/>
    <w:rsid w:val="00F338A4"/>
    <w:rsid w:val="00F449BB"/>
    <w:rsid w:val="00FD1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1375160"/>
  <w15:chartTrackingRefBased/>
  <w15:docId w15:val="{D0DED212-4380-6F48-A374-BB6E971C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0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0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0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D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D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D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D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0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0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0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D0B"/>
    <w:rPr>
      <w:rFonts w:eastAsiaTheme="majorEastAsia" w:cstheme="majorBidi"/>
      <w:color w:val="272727" w:themeColor="text1" w:themeTint="D8"/>
    </w:rPr>
  </w:style>
  <w:style w:type="paragraph" w:styleId="Title">
    <w:name w:val="Title"/>
    <w:basedOn w:val="Normal"/>
    <w:next w:val="Normal"/>
    <w:link w:val="TitleChar"/>
    <w:uiPriority w:val="10"/>
    <w:qFormat/>
    <w:rsid w:val="00C70D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D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D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0D0B"/>
    <w:rPr>
      <w:i/>
      <w:iCs/>
      <w:color w:val="404040" w:themeColor="text1" w:themeTint="BF"/>
    </w:rPr>
  </w:style>
  <w:style w:type="paragraph" w:styleId="ListParagraph">
    <w:name w:val="List Paragraph"/>
    <w:basedOn w:val="Normal"/>
    <w:uiPriority w:val="34"/>
    <w:qFormat/>
    <w:rsid w:val="00C70D0B"/>
    <w:pPr>
      <w:ind w:left="720"/>
      <w:contextualSpacing/>
    </w:pPr>
  </w:style>
  <w:style w:type="character" w:styleId="IntenseEmphasis">
    <w:name w:val="Intense Emphasis"/>
    <w:basedOn w:val="DefaultParagraphFont"/>
    <w:uiPriority w:val="21"/>
    <w:qFormat/>
    <w:rsid w:val="00C70D0B"/>
    <w:rPr>
      <w:i/>
      <w:iCs/>
      <w:color w:val="0F4761" w:themeColor="accent1" w:themeShade="BF"/>
    </w:rPr>
  </w:style>
  <w:style w:type="paragraph" w:styleId="IntenseQuote">
    <w:name w:val="Intense Quote"/>
    <w:basedOn w:val="Normal"/>
    <w:next w:val="Normal"/>
    <w:link w:val="IntenseQuoteChar"/>
    <w:uiPriority w:val="30"/>
    <w:qFormat/>
    <w:rsid w:val="00C70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D0B"/>
    <w:rPr>
      <w:i/>
      <w:iCs/>
      <w:color w:val="0F4761" w:themeColor="accent1" w:themeShade="BF"/>
    </w:rPr>
  </w:style>
  <w:style w:type="character" w:styleId="IntenseReference">
    <w:name w:val="Intense Reference"/>
    <w:basedOn w:val="DefaultParagraphFont"/>
    <w:uiPriority w:val="32"/>
    <w:qFormat/>
    <w:rsid w:val="00C70D0B"/>
    <w:rPr>
      <w:b/>
      <w:bCs/>
      <w:smallCaps/>
      <w:color w:val="0F4761" w:themeColor="accent1" w:themeShade="BF"/>
      <w:spacing w:val="5"/>
    </w:rPr>
  </w:style>
  <w:style w:type="table" w:styleId="TableGrid">
    <w:name w:val="Table Grid"/>
    <w:basedOn w:val="TableNormal"/>
    <w:uiPriority w:val="39"/>
    <w:rsid w:val="0035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28</cp:revision>
  <dcterms:created xsi:type="dcterms:W3CDTF">2025-09-20T05:20:00Z</dcterms:created>
  <dcterms:modified xsi:type="dcterms:W3CDTF">2025-09-27T11:18:00Z</dcterms:modified>
</cp:coreProperties>
</file>