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B9C3" w14:textId="1C1A21C3" w:rsidR="004727FC" w:rsidRDefault="00B65988" w:rsidP="004727FC">
      <w:pPr>
        <w:pStyle w:val="Heading1"/>
      </w:pPr>
      <w:r>
        <w:t>4</w:t>
      </w:r>
      <w:r w:rsidR="004727FC">
        <w:t>. Materials and Methodology</w:t>
      </w:r>
    </w:p>
    <w:p w14:paraId="65722202" w14:textId="22444564" w:rsidR="00F63DFC" w:rsidRDefault="0088799A" w:rsidP="008754EE">
      <w:pPr>
        <w:jc w:val="both"/>
      </w:pPr>
      <w:r>
        <w:t xml:space="preserve">In brief, this thesis used a variety of socio-economic and health-related feature variables to predict the national MMR estimate </w:t>
      </w:r>
      <w:r w:rsidR="0019590D">
        <w:t xml:space="preserve">for each country, year sample. The method </w:t>
      </w:r>
      <w:r w:rsidR="00A517D4">
        <w:t>was</w:t>
      </w:r>
      <w:r w:rsidR="0019590D">
        <w:t xml:space="preserve"> described in detail in the following </w:t>
      </w:r>
      <w:r w:rsidR="00F3308C">
        <w:t>chapter</w:t>
      </w:r>
      <w:r w:rsidR="0019590D">
        <w:t xml:space="preserve"> and </w:t>
      </w:r>
      <w:r w:rsidR="00F40FE5">
        <w:t xml:space="preserve">summarised in Figure 2, below. </w:t>
      </w:r>
      <w:r w:rsidR="00F63DFC">
        <w:t>The development of the final, highest performing model involved X major steps.</w:t>
      </w:r>
    </w:p>
    <w:p w14:paraId="6292D829" w14:textId="77777777" w:rsidR="00960F53" w:rsidRDefault="00960F53" w:rsidP="008754EE">
      <w:pPr>
        <w:jc w:val="both"/>
      </w:pPr>
    </w:p>
    <w:p w14:paraId="40975BFD" w14:textId="77777777" w:rsidR="00737710" w:rsidRDefault="00F63DFC" w:rsidP="00F63DFC">
      <w:pPr>
        <w:pStyle w:val="ListParagraph"/>
        <w:numPr>
          <w:ilvl w:val="0"/>
          <w:numId w:val="12"/>
        </w:numPr>
        <w:jc w:val="both"/>
      </w:pPr>
      <w:r>
        <w:t xml:space="preserve"> Applying cross-fold validation, feature selection, and missing data removal </w:t>
      </w:r>
      <w:r w:rsidR="00737710">
        <w:t xml:space="preserve">to generate different train datasets. </w:t>
      </w:r>
    </w:p>
    <w:p w14:paraId="0040283A" w14:textId="77EC269B" w:rsidR="00FD43AF" w:rsidRDefault="00737710" w:rsidP="00F63DFC">
      <w:pPr>
        <w:pStyle w:val="ListParagraph"/>
        <w:numPr>
          <w:ilvl w:val="0"/>
          <w:numId w:val="12"/>
        </w:numPr>
        <w:jc w:val="both"/>
      </w:pPr>
      <w:r>
        <w:t>Train Random Forest,</w:t>
      </w:r>
      <w:r w:rsidR="00F63DFC">
        <w:t xml:space="preserve"> </w:t>
      </w:r>
      <w:r>
        <w:t xml:space="preserve">XGBoost, and LightGBM regressors </w:t>
      </w:r>
      <w:r w:rsidR="00A34442">
        <w:t xml:space="preserve">on different versions of the train dataset to be able to predict MMR estimates as part of a missing data and predictive analysis. </w:t>
      </w:r>
    </w:p>
    <w:p w14:paraId="329F784A" w14:textId="53CA5579" w:rsidR="00A34442" w:rsidRDefault="00A34442" w:rsidP="00F63DFC">
      <w:pPr>
        <w:pStyle w:val="ListParagraph"/>
        <w:numPr>
          <w:ilvl w:val="0"/>
          <w:numId w:val="12"/>
        </w:numPr>
        <w:jc w:val="both"/>
      </w:pPr>
      <w:r>
        <w:t xml:space="preserve">Train stacking and voting ensemble models on each of these base estimators </w:t>
      </w:r>
      <w:r w:rsidR="00DF6935">
        <w:t xml:space="preserve">to improve MMR estimates. </w:t>
      </w:r>
    </w:p>
    <w:p w14:paraId="751B2575" w14:textId="2BBF7092" w:rsidR="00C95C6B" w:rsidRDefault="00DF6935" w:rsidP="00944E5B">
      <w:pPr>
        <w:pStyle w:val="ListParagraph"/>
        <w:numPr>
          <w:ilvl w:val="0"/>
          <w:numId w:val="12"/>
        </w:numPr>
        <w:jc w:val="both"/>
      </w:pPr>
      <w:r>
        <w:t xml:space="preserve">Evaluate best-performing model by </w:t>
      </w:r>
      <w:r w:rsidR="00405190">
        <w:t xml:space="preserve">analysing feature importance and </w:t>
      </w:r>
      <w:r>
        <w:t xml:space="preserve">sensitivity </w:t>
      </w:r>
      <w:r w:rsidR="00405190">
        <w:t>to input data as well as</w:t>
      </w:r>
      <w:r w:rsidR="00DC7C66">
        <w:t xml:space="preserve"> comparing </w:t>
      </w:r>
      <w:r w:rsidR="00603C54">
        <w:t>its</w:t>
      </w:r>
      <w:r w:rsidR="00DC7C66">
        <w:t xml:space="preserve"> </w:t>
      </w:r>
      <w:r w:rsidR="00603C54">
        <w:t>estimates</w:t>
      </w:r>
      <w:r w:rsidR="00DC7C66">
        <w:t xml:space="preserve"> to </w:t>
      </w:r>
      <w:r w:rsidR="00603C54">
        <w:t xml:space="preserve">MMR </w:t>
      </w:r>
      <w:r w:rsidR="00DC7C66">
        <w:t>predictions in the literature.</w:t>
      </w:r>
    </w:p>
    <w:p w14:paraId="2F687293" w14:textId="77777777" w:rsidR="00960F53" w:rsidRDefault="00960F53" w:rsidP="00960F53">
      <w:pPr>
        <w:jc w:val="both"/>
      </w:pPr>
    </w:p>
    <w:p w14:paraId="5115F74D" w14:textId="77777777" w:rsidR="00960F53" w:rsidRPr="00F82982" w:rsidRDefault="00960F53" w:rsidP="00960F53">
      <w:pPr>
        <w:jc w:val="both"/>
      </w:pPr>
      <w:r>
        <w:t>All code was written using Python3 and run in Visual Code Studio or on the Gadi supercomputer at the National Computational Infrastructure. Where appropriate, the random seed was set to 42 for reproducibility. All datasets and code used in this thesis were uploaded to a public GitHub repository (</w:t>
      </w:r>
      <w:hyperlink r:id="rId8" w:history="1">
        <w:r w:rsidRPr="00610F4A">
          <w:rPr>
            <w:rStyle w:val="Hyperlink"/>
          </w:rPr>
          <w:t>https://github.com/R0sle/health_economics_honours</w:t>
        </w:r>
      </w:hyperlink>
      <w:r>
        <w:t>). Unfortunately, some of the datasets were too large to be uploaded. All datasets are available upon request.</w:t>
      </w:r>
    </w:p>
    <w:p w14:paraId="0A6B4A81" w14:textId="77777777" w:rsidR="00960F53" w:rsidRDefault="00960F53" w:rsidP="00960F53">
      <w:pPr>
        <w:jc w:val="both"/>
      </w:pPr>
    </w:p>
    <w:p w14:paraId="57649718" w14:textId="64955130" w:rsidR="00EC6050" w:rsidRDefault="009F216E" w:rsidP="00FD43AF">
      <w:pPr>
        <w:jc w:val="center"/>
      </w:pPr>
      <w:r w:rsidRPr="009F216E">
        <w:rPr>
          <w:noProof/>
          <w14:ligatures w14:val="standardContextual"/>
        </w:rPr>
        <w:lastRenderedPageBreak/>
        <w:drawing>
          <wp:inline distT="0" distB="0" distL="0" distR="0" wp14:anchorId="36385F8E" wp14:editId="4DB02ED2">
            <wp:extent cx="4579200" cy="2902388"/>
            <wp:effectExtent l="0" t="0" r="5715" b="6350"/>
            <wp:docPr id="2039582224" name="Picture 1" descr="A diagram of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82224" name="Picture 1" descr="A diagram of data analysis&#10;&#10;AI-generated content may be incorrect."/>
                    <pic:cNvPicPr/>
                  </pic:nvPicPr>
                  <pic:blipFill rotWithShape="1">
                    <a:blip r:embed="rId9"/>
                    <a:srcRect r="1203"/>
                    <a:stretch>
                      <a:fillRect/>
                    </a:stretch>
                  </pic:blipFill>
                  <pic:spPr bwMode="auto">
                    <a:xfrm>
                      <a:off x="0" y="0"/>
                      <a:ext cx="4605087" cy="2918795"/>
                    </a:xfrm>
                    <a:prstGeom prst="rect">
                      <a:avLst/>
                    </a:prstGeom>
                    <a:ln>
                      <a:noFill/>
                    </a:ln>
                    <a:extLst>
                      <a:ext uri="{53640926-AAD7-44D8-BBD7-CCE9431645EC}">
                        <a14:shadowObscured xmlns:a14="http://schemas.microsoft.com/office/drawing/2010/main"/>
                      </a:ext>
                    </a:extLst>
                  </pic:spPr>
                </pic:pic>
              </a:graphicData>
            </a:graphic>
          </wp:inline>
        </w:drawing>
      </w:r>
      <w:r w:rsidR="007817DC" w:rsidRPr="007817DC">
        <w:rPr>
          <w:noProof/>
          <w14:ligatures w14:val="standardContextual"/>
        </w:rPr>
        <w:t xml:space="preserve"> </w:t>
      </w:r>
      <w:r w:rsidR="00960F53" w:rsidRPr="00A71B59">
        <w:rPr>
          <w:noProof/>
          <w14:ligatures w14:val="standardContextual"/>
        </w:rPr>
        <w:drawing>
          <wp:inline distT="0" distB="0" distL="0" distR="0" wp14:anchorId="4F58899F" wp14:editId="1CA2ACB4">
            <wp:extent cx="4297830" cy="3283200"/>
            <wp:effectExtent l="0" t="0" r="0" b="6350"/>
            <wp:docPr id="1541356304"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6304" name="Picture 1" descr="A diagram of a graph&#10;&#10;AI-generated content may be incorrect."/>
                    <pic:cNvPicPr/>
                  </pic:nvPicPr>
                  <pic:blipFill rotWithShape="1">
                    <a:blip r:embed="rId10"/>
                    <a:srcRect b="3430"/>
                    <a:stretch>
                      <a:fillRect/>
                    </a:stretch>
                  </pic:blipFill>
                  <pic:spPr bwMode="auto">
                    <a:xfrm>
                      <a:off x="0" y="0"/>
                      <a:ext cx="4363539" cy="3333396"/>
                    </a:xfrm>
                    <a:prstGeom prst="rect">
                      <a:avLst/>
                    </a:prstGeom>
                    <a:ln>
                      <a:noFill/>
                    </a:ln>
                    <a:extLst>
                      <a:ext uri="{53640926-AAD7-44D8-BBD7-CCE9431645EC}">
                        <a14:shadowObscured xmlns:a14="http://schemas.microsoft.com/office/drawing/2010/main"/>
                      </a:ext>
                    </a:extLst>
                  </pic:spPr>
                </pic:pic>
              </a:graphicData>
            </a:graphic>
          </wp:inline>
        </w:drawing>
      </w:r>
    </w:p>
    <w:p w14:paraId="06B61182" w14:textId="7565F174" w:rsidR="00622B42" w:rsidRDefault="00960F53" w:rsidP="00FD43AF">
      <w:pPr>
        <w:jc w:val="center"/>
      </w:pPr>
      <w:r w:rsidRPr="00960F53">
        <w:rPr>
          <w:noProof/>
        </w:rPr>
        <w:drawing>
          <wp:inline distT="0" distB="0" distL="0" distR="0" wp14:anchorId="62ECD3EB" wp14:editId="2AF63B60">
            <wp:extent cx="4543200" cy="1363876"/>
            <wp:effectExtent l="0" t="0" r="3810" b="0"/>
            <wp:docPr id="1523074871"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74871" name="Picture 1" descr="A diagram of a model&#10;&#10;AI-generated content may be incorrect."/>
                    <pic:cNvPicPr/>
                  </pic:nvPicPr>
                  <pic:blipFill rotWithShape="1">
                    <a:blip r:embed="rId11"/>
                    <a:srcRect t="6904" b="25675"/>
                    <a:stretch>
                      <a:fillRect/>
                    </a:stretch>
                  </pic:blipFill>
                  <pic:spPr bwMode="auto">
                    <a:xfrm>
                      <a:off x="0" y="0"/>
                      <a:ext cx="4655222" cy="1397505"/>
                    </a:xfrm>
                    <a:prstGeom prst="rect">
                      <a:avLst/>
                    </a:prstGeom>
                    <a:ln>
                      <a:noFill/>
                    </a:ln>
                    <a:extLst>
                      <a:ext uri="{53640926-AAD7-44D8-BBD7-CCE9431645EC}">
                        <a14:shadowObscured xmlns:a14="http://schemas.microsoft.com/office/drawing/2010/main"/>
                      </a:ext>
                    </a:extLst>
                  </pic:spPr>
                </pic:pic>
              </a:graphicData>
            </a:graphic>
          </wp:inline>
        </w:drawing>
      </w:r>
    </w:p>
    <w:p w14:paraId="6E4EB828" w14:textId="516F2AA8" w:rsidR="00EC6050" w:rsidRDefault="00EC6050" w:rsidP="00DB625E">
      <w:pPr>
        <w:jc w:val="center"/>
      </w:pPr>
      <w:r w:rsidRPr="00DB625E">
        <w:rPr>
          <w:b/>
          <w:bCs/>
        </w:rPr>
        <w:t xml:space="preserve">Figure </w:t>
      </w:r>
      <w:r w:rsidR="00F40FE5">
        <w:rPr>
          <w:b/>
          <w:bCs/>
        </w:rPr>
        <w:t>2</w:t>
      </w:r>
      <w:r>
        <w:t xml:space="preserve">: </w:t>
      </w:r>
      <w:r w:rsidR="00CA5720">
        <w:t xml:space="preserve">Flowchart </w:t>
      </w:r>
      <w:r w:rsidR="00DB625E">
        <w:t xml:space="preserve">of </w:t>
      </w:r>
      <w:r w:rsidR="00293131">
        <w:t>e</w:t>
      </w:r>
      <w:r w:rsidR="00DB625E">
        <w:t xml:space="preserve">xperimental </w:t>
      </w:r>
      <w:r w:rsidR="00293131">
        <w:t>w</w:t>
      </w:r>
      <w:r w:rsidR="00DB625E">
        <w:t>orkflow</w:t>
      </w:r>
      <w:r w:rsidR="00490A14">
        <w:t xml:space="preserve">. It </w:t>
      </w:r>
      <w:r w:rsidR="00293131">
        <w:t>gives a high-level overview</w:t>
      </w:r>
      <w:r w:rsidR="00490A14">
        <w:t xml:space="preserve"> </w:t>
      </w:r>
      <w:r w:rsidR="00C34532">
        <w:t xml:space="preserve">of </w:t>
      </w:r>
      <w:r w:rsidR="00490A14">
        <w:t>the proces</w:t>
      </w:r>
      <w:r w:rsidR="008E36EC">
        <w:t>s of</w:t>
      </w:r>
      <w:r w:rsidR="00490A14">
        <w:t xml:space="preserve"> generating train</w:t>
      </w:r>
      <w:r w:rsidR="008E36EC">
        <w:t xml:space="preserve">, validation and test </w:t>
      </w:r>
      <w:r w:rsidR="00490A14">
        <w:t>datasets</w:t>
      </w:r>
      <w:r w:rsidR="00C34532">
        <w:t xml:space="preserve"> and </w:t>
      </w:r>
      <w:r w:rsidR="007A332A">
        <w:t>fitting</w:t>
      </w:r>
      <w:r w:rsidR="00C34532">
        <w:t xml:space="preserve"> </w:t>
      </w:r>
      <w:r w:rsidR="007A332A">
        <w:t>a variety of decision-tree based ML models to the input data.</w:t>
      </w:r>
    </w:p>
    <w:p w14:paraId="4C3C6FF1" w14:textId="77777777" w:rsidR="008754EE" w:rsidRDefault="008754EE" w:rsidP="00DB625E">
      <w:pPr>
        <w:jc w:val="center"/>
      </w:pPr>
    </w:p>
    <w:p w14:paraId="71F79A8D" w14:textId="2B076BFC" w:rsidR="008665C4" w:rsidRPr="008665C4" w:rsidRDefault="009B1754" w:rsidP="00FD7FBF">
      <w:pPr>
        <w:pStyle w:val="Heading2"/>
      </w:pPr>
      <w:r w:rsidRPr="003A5C50">
        <w:lastRenderedPageBreak/>
        <w:t xml:space="preserve">4.1 </w:t>
      </w:r>
      <w:r w:rsidR="001B637E" w:rsidRPr="003A5C50">
        <w:t>Data Sources and Merging</w:t>
      </w:r>
    </w:p>
    <w:p w14:paraId="073AEE37" w14:textId="76FA5E14" w:rsidR="001B637E" w:rsidRDefault="002211ED" w:rsidP="002211ED">
      <w:pPr>
        <w:pStyle w:val="Heading3"/>
      </w:pPr>
      <w:r>
        <w:t>4.11 Data Sources</w:t>
      </w:r>
    </w:p>
    <w:p w14:paraId="06FE8A90" w14:textId="77777777" w:rsidR="005C403D" w:rsidRDefault="00BD114F" w:rsidP="00B31862">
      <w:pPr>
        <w:jc w:val="both"/>
      </w:pPr>
      <w:r>
        <w:t xml:space="preserve">Data was sourced from a variety of World Health Organisation (WHO) and World Bank </w:t>
      </w:r>
      <w:r w:rsidR="00A10CD3">
        <w:t xml:space="preserve">Group </w:t>
      </w:r>
      <w:r>
        <w:t xml:space="preserve">(WB) data repositories. </w:t>
      </w:r>
      <w:r w:rsidR="00384EBA">
        <w:t xml:space="preserve">The final </w:t>
      </w:r>
      <w:r w:rsidR="002A3774">
        <w:t xml:space="preserve">merged dataset </w:t>
      </w:r>
      <w:r w:rsidR="00546060">
        <w:t xml:space="preserve">consisted of a mixture of </w:t>
      </w:r>
      <w:r w:rsidR="002A3774">
        <w:t>socioeconomic, health-related, and environmental indicators</w:t>
      </w:r>
      <w:r w:rsidR="00B854A7">
        <w:t xml:space="preserve"> from a range of sources</w:t>
      </w:r>
      <w:r w:rsidR="002A3774">
        <w:t>.</w:t>
      </w:r>
      <w:r w:rsidR="00BD0800">
        <w:t xml:space="preserve"> Using data from a variety of data sources was motivated by comments made by </w:t>
      </w:r>
      <w:proofErr w:type="spellStart"/>
      <w:r w:rsidR="00BD0800">
        <w:t>Onambele</w:t>
      </w:r>
      <w:proofErr w:type="spellEnd"/>
      <w:r w:rsidR="00BD0800">
        <w:t xml:space="preserve"> et al. (</w:t>
      </w:r>
      <w:r w:rsidR="00384EBA">
        <w:t>2023</w:t>
      </w:r>
      <w:r w:rsidR="00546060">
        <w:t>), who recommended that future research into maternal mortality estimates combine data from multiple sources</w:t>
      </w:r>
      <w:r w:rsidR="00FD7FBF">
        <w:t xml:space="preserve"> to take advantage of the different datasets offered by the WHO.</w:t>
      </w:r>
      <w:r w:rsidR="002A3774">
        <w:t xml:space="preserve"> </w:t>
      </w:r>
    </w:p>
    <w:p w14:paraId="6D1EB977" w14:textId="77777777" w:rsidR="005C403D" w:rsidRDefault="005C403D" w:rsidP="00B31862">
      <w:pPr>
        <w:jc w:val="both"/>
      </w:pPr>
    </w:p>
    <w:p w14:paraId="77762127" w14:textId="168B1648" w:rsidR="00B31862" w:rsidRDefault="00B31862" w:rsidP="00B31862">
      <w:pPr>
        <w:jc w:val="both"/>
      </w:pPr>
      <w:r>
        <w:t>The national estimates for the maternal mortality ratio (MMR) were sourced from the World Bank Group’s Gender Data Portal (</w:t>
      </w:r>
      <w:r w:rsidR="00590B87">
        <w:t>30</w:t>
      </w:r>
      <w:r>
        <w:t xml:space="preserve">). This dataset contains MMR estimates for 242 regions, countries, territories, and areas between 1985 and 2018. </w:t>
      </w:r>
      <w:r w:rsidRPr="00832E6C">
        <w:rPr>
          <w:b/>
          <w:bCs/>
        </w:rPr>
        <w:t>These</w:t>
      </w:r>
      <w:r>
        <w:rPr>
          <w:b/>
          <w:bCs/>
        </w:rPr>
        <w:t xml:space="preserve"> national MMR</w:t>
      </w:r>
      <w:r w:rsidRPr="00832E6C">
        <w:rPr>
          <w:b/>
          <w:bCs/>
        </w:rPr>
        <w:t xml:space="preserve"> estimates served as the ‘ground truth’ in this study.</w:t>
      </w:r>
      <w:r w:rsidRPr="00B31862">
        <w:t xml:space="preserve"> </w:t>
      </w:r>
    </w:p>
    <w:p w14:paraId="09E2BEF8" w14:textId="77777777" w:rsidR="00B31862" w:rsidRDefault="00B31862" w:rsidP="00B31862">
      <w:pPr>
        <w:jc w:val="both"/>
      </w:pPr>
    </w:p>
    <w:p w14:paraId="5AC4F5DA" w14:textId="77777777" w:rsidR="00B31862" w:rsidRDefault="00B31862" w:rsidP="00B31862">
      <w:pPr>
        <w:jc w:val="both"/>
      </w:pPr>
      <w:r>
        <w:t>Some of the datasets used in this study contained disaggregated data. For example, features were sex or economic status specific. However, the national MMR estimates were not disaggregated. Including the disaggregation as its own feature column would therefore produce a missing value in the MMR estimate column when merging the datasets. To prevent this, I created subgroup specific versions of the feature for each included demographic.</w:t>
      </w:r>
      <w:r w:rsidRPr="00E73E4C">
        <w:t xml:space="preserve"> </w:t>
      </w:r>
      <w:r>
        <w:t xml:space="preserve">See Table 2 for an illustrative example. If the data was disaggregated on a scale (e.g. Feature A was reported for wealth quintiles 1 through 5), I only used values from the most extreme </w:t>
      </w:r>
      <w:proofErr w:type="spellStart"/>
      <w:r>
        <w:t>subsgroups</w:t>
      </w:r>
      <w:proofErr w:type="spellEnd"/>
      <w:r>
        <w:t xml:space="preserve"> (e.g. quintiles 1 and 5) to prevent the number of features, and thus the dimensionality of the dataset, from becoming too large.</w:t>
      </w:r>
    </w:p>
    <w:p w14:paraId="18AFC6EE" w14:textId="77777777" w:rsidR="007F044C" w:rsidRDefault="007F044C" w:rsidP="007F044C">
      <w:pPr>
        <w:jc w:val="both"/>
      </w:pPr>
    </w:p>
    <w:p w14:paraId="15C67248" w14:textId="3133BB55" w:rsidR="000B4C9A" w:rsidRDefault="000B4C9A" w:rsidP="000B4C9A">
      <w:pPr>
        <w:jc w:val="both"/>
      </w:pPr>
      <w:r w:rsidRPr="00AE0E77">
        <w:rPr>
          <w:b/>
          <w:bCs/>
        </w:rPr>
        <w:t xml:space="preserve">Table </w:t>
      </w:r>
      <w:r>
        <w:rPr>
          <w:b/>
          <w:bCs/>
        </w:rPr>
        <w:t>1</w:t>
      </w:r>
      <w:r>
        <w:t xml:space="preserve">: Illustrative example of subgroup specific versions of a single feature, ‘Feature 1’, with the bolded text defining the demographic being represented. </w:t>
      </w:r>
    </w:p>
    <w:p w14:paraId="791AEC46" w14:textId="77777777" w:rsidR="000B4C9A" w:rsidRDefault="000B4C9A" w:rsidP="000B4C9A">
      <w:pPr>
        <w:jc w:val="both"/>
      </w:pPr>
    </w:p>
    <w:tbl>
      <w:tblPr>
        <w:tblStyle w:val="TableGrid"/>
        <w:tblW w:w="0" w:type="auto"/>
        <w:tblLook w:val="04A0" w:firstRow="1" w:lastRow="0" w:firstColumn="1" w:lastColumn="0" w:noHBand="0" w:noVBand="1"/>
      </w:tblPr>
      <w:tblGrid>
        <w:gridCol w:w="1004"/>
        <w:gridCol w:w="692"/>
        <w:gridCol w:w="1134"/>
        <w:gridCol w:w="1276"/>
        <w:gridCol w:w="1134"/>
        <w:gridCol w:w="1134"/>
        <w:gridCol w:w="1276"/>
        <w:gridCol w:w="1366"/>
      </w:tblGrid>
      <w:tr w:rsidR="000B4C9A" w14:paraId="387B2441" w14:textId="77777777" w:rsidTr="00A303B4">
        <w:tc>
          <w:tcPr>
            <w:tcW w:w="1004" w:type="dxa"/>
          </w:tcPr>
          <w:p w14:paraId="18E73B82" w14:textId="77777777" w:rsidR="000B4C9A" w:rsidRDefault="000B4C9A" w:rsidP="00A303B4">
            <w:pPr>
              <w:jc w:val="center"/>
            </w:pPr>
            <w:r>
              <w:t>Country</w:t>
            </w:r>
          </w:p>
        </w:tc>
        <w:tc>
          <w:tcPr>
            <w:tcW w:w="692" w:type="dxa"/>
          </w:tcPr>
          <w:p w14:paraId="79E2AA49" w14:textId="77777777" w:rsidR="000B4C9A" w:rsidRDefault="000B4C9A" w:rsidP="00A303B4">
            <w:pPr>
              <w:jc w:val="center"/>
            </w:pPr>
            <w:r>
              <w:t>Date</w:t>
            </w:r>
          </w:p>
        </w:tc>
        <w:tc>
          <w:tcPr>
            <w:tcW w:w="1134" w:type="dxa"/>
          </w:tcPr>
          <w:p w14:paraId="07ABBE57" w14:textId="77777777" w:rsidR="000B4C9A" w:rsidRDefault="000B4C9A" w:rsidP="00A303B4">
            <w:pPr>
              <w:jc w:val="center"/>
            </w:pPr>
            <w:r>
              <w:t xml:space="preserve">Feature 1 </w:t>
            </w:r>
            <w:r>
              <w:rPr>
                <w:b/>
                <w:bCs/>
              </w:rPr>
              <w:t>F</w:t>
            </w:r>
            <w:r w:rsidRPr="003201C0">
              <w:rPr>
                <w:b/>
                <w:bCs/>
              </w:rPr>
              <w:t>emale</w:t>
            </w:r>
          </w:p>
        </w:tc>
        <w:tc>
          <w:tcPr>
            <w:tcW w:w="1276" w:type="dxa"/>
          </w:tcPr>
          <w:p w14:paraId="62B1C0D5" w14:textId="77777777" w:rsidR="000B4C9A" w:rsidRDefault="000B4C9A" w:rsidP="00A303B4">
            <w:pPr>
              <w:jc w:val="center"/>
            </w:pPr>
            <w:r>
              <w:t xml:space="preserve">Feature 1 </w:t>
            </w:r>
            <w:r>
              <w:rPr>
                <w:b/>
                <w:bCs/>
              </w:rPr>
              <w:t>Male</w:t>
            </w:r>
          </w:p>
        </w:tc>
        <w:tc>
          <w:tcPr>
            <w:tcW w:w="1134" w:type="dxa"/>
          </w:tcPr>
          <w:p w14:paraId="583F922E" w14:textId="77777777" w:rsidR="000B4C9A" w:rsidRDefault="000B4C9A" w:rsidP="00A303B4">
            <w:pPr>
              <w:jc w:val="center"/>
            </w:pPr>
            <w:r>
              <w:t xml:space="preserve">Feature 1 </w:t>
            </w:r>
            <w:r>
              <w:rPr>
                <w:b/>
                <w:bCs/>
              </w:rPr>
              <w:t>Rural</w:t>
            </w:r>
          </w:p>
        </w:tc>
        <w:tc>
          <w:tcPr>
            <w:tcW w:w="1134" w:type="dxa"/>
          </w:tcPr>
          <w:p w14:paraId="19D7D0A5" w14:textId="77777777" w:rsidR="000B4C9A" w:rsidRDefault="000B4C9A" w:rsidP="00A303B4">
            <w:pPr>
              <w:jc w:val="center"/>
            </w:pPr>
            <w:r>
              <w:t xml:space="preserve">Feature 1 </w:t>
            </w:r>
            <w:r>
              <w:rPr>
                <w:b/>
                <w:bCs/>
              </w:rPr>
              <w:t>Urban</w:t>
            </w:r>
          </w:p>
        </w:tc>
        <w:tc>
          <w:tcPr>
            <w:tcW w:w="1276" w:type="dxa"/>
          </w:tcPr>
          <w:p w14:paraId="076C0CEE" w14:textId="77777777" w:rsidR="000B4C9A" w:rsidRDefault="000B4C9A" w:rsidP="00A303B4">
            <w:pPr>
              <w:jc w:val="center"/>
            </w:pPr>
            <w:r>
              <w:t xml:space="preserve">Feature 1 </w:t>
            </w:r>
            <w:r>
              <w:rPr>
                <w:b/>
                <w:bCs/>
              </w:rPr>
              <w:t>Wealth Quintile 1</w:t>
            </w:r>
          </w:p>
        </w:tc>
        <w:tc>
          <w:tcPr>
            <w:tcW w:w="1366" w:type="dxa"/>
          </w:tcPr>
          <w:p w14:paraId="5738C8C5" w14:textId="77777777" w:rsidR="000B4C9A" w:rsidRDefault="000B4C9A" w:rsidP="00A303B4">
            <w:pPr>
              <w:jc w:val="center"/>
            </w:pPr>
            <w:r>
              <w:t xml:space="preserve">Feature 1 </w:t>
            </w:r>
            <w:r>
              <w:rPr>
                <w:b/>
                <w:bCs/>
              </w:rPr>
              <w:t>Wealth Quintile 5</w:t>
            </w:r>
          </w:p>
        </w:tc>
      </w:tr>
      <w:tr w:rsidR="000B4C9A" w14:paraId="43A0155C" w14:textId="77777777" w:rsidTr="00A303B4">
        <w:tc>
          <w:tcPr>
            <w:tcW w:w="1004" w:type="dxa"/>
            <w:shd w:val="clear" w:color="auto" w:fill="ADADAD" w:themeFill="background2" w:themeFillShade="BF"/>
          </w:tcPr>
          <w:p w14:paraId="672AA0A9" w14:textId="77777777" w:rsidR="000B4C9A" w:rsidRDefault="000B4C9A" w:rsidP="00A303B4">
            <w:pPr>
              <w:jc w:val="center"/>
            </w:pPr>
          </w:p>
        </w:tc>
        <w:tc>
          <w:tcPr>
            <w:tcW w:w="692" w:type="dxa"/>
            <w:shd w:val="clear" w:color="auto" w:fill="ADADAD" w:themeFill="background2" w:themeFillShade="BF"/>
          </w:tcPr>
          <w:p w14:paraId="6962656F" w14:textId="77777777" w:rsidR="000B4C9A" w:rsidRDefault="000B4C9A" w:rsidP="00A303B4">
            <w:pPr>
              <w:jc w:val="center"/>
            </w:pPr>
          </w:p>
        </w:tc>
        <w:tc>
          <w:tcPr>
            <w:tcW w:w="1134" w:type="dxa"/>
            <w:shd w:val="clear" w:color="auto" w:fill="ADADAD" w:themeFill="background2" w:themeFillShade="BF"/>
          </w:tcPr>
          <w:p w14:paraId="7EDA3EB1" w14:textId="77777777" w:rsidR="000B4C9A" w:rsidRDefault="000B4C9A" w:rsidP="00A303B4">
            <w:pPr>
              <w:jc w:val="center"/>
            </w:pPr>
          </w:p>
        </w:tc>
        <w:tc>
          <w:tcPr>
            <w:tcW w:w="1276" w:type="dxa"/>
            <w:shd w:val="clear" w:color="auto" w:fill="ADADAD" w:themeFill="background2" w:themeFillShade="BF"/>
          </w:tcPr>
          <w:p w14:paraId="15A417AC" w14:textId="77777777" w:rsidR="000B4C9A" w:rsidRDefault="000B4C9A" w:rsidP="00A303B4">
            <w:pPr>
              <w:jc w:val="center"/>
            </w:pPr>
          </w:p>
        </w:tc>
        <w:tc>
          <w:tcPr>
            <w:tcW w:w="1134" w:type="dxa"/>
            <w:shd w:val="clear" w:color="auto" w:fill="ADADAD" w:themeFill="background2" w:themeFillShade="BF"/>
          </w:tcPr>
          <w:p w14:paraId="532CCF44" w14:textId="77777777" w:rsidR="000B4C9A" w:rsidRDefault="000B4C9A" w:rsidP="00A303B4">
            <w:pPr>
              <w:jc w:val="center"/>
            </w:pPr>
          </w:p>
        </w:tc>
        <w:tc>
          <w:tcPr>
            <w:tcW w:w="1134" w:type="dxa"/>
            <w:shd w:val="clear" w:color="auto" w:fill="ADADAD" w:themeFill="background2" w:themeFillShade="BF"/>
          </w:tcPr>
          <w:p w14:paraId="79183CDD" w14:textId="77777777" w:rsidR="000B4C9A" w:rsidRDefault="000B4C9A" w:rsidP="00A303B4">
            <w:pPr>
              <w:jc w:val="center"/>
            </w:pPr>
          </w:p>
        </w:tc>
        <w:tc>
          <w:tcPr>
            <w:tcW w:w="1276" w:type="dxa"/>
            <w:shd w:val="clear" w:color="auto" w:fill="ADADAD" w:themeFill="background2" w:themeFillShade="BF"/>
          </w:tcPr>
          <w:p w14:paraId="31E3F055" w14:textId="77777777" w:rsidR="000B4C9A" w:rsidRDefault="000B4C9A" w:rsidP="00A303B4">
            <w:pPr>
              <w:jc w:val="center"/>
            </w:pPr>
          </w:p>
        </w:tc>
        <w:tc>
          <w:tcPr>
            <w:tcW w:w="1366" w:type="dxa"/>
            <w:shd w:val="clear" w:color="auto" w:fill="ADADAD" w:themeFill="background2" w:themeFillShade="BF"/>
          </w:tcPr>
          <w:p w14:paraId="1087C513" w14:textId="77777777" w:rsidR="000B4C9A" w:rsidRDefault="000B4C9A" w:rsidP="00A303B4">
            <w:pPr>
              <w:jc w:val="center"/>
            </w:pPr>
          </w:p>
        </w:tc>
      </w:tr>
      <w:tr w:rsidR="000B4C9A" w14:paraId="30171E60" w14:textId="77777777" w:rsidTr="00A303B4">
        <w:tc>
          <w:tcPr>
            <w:tcW w:w="1004" w:type="dxa"/>
            <w:shd w:val="clear" w:color="auto" w:fill="ADADAD" w:themeFill="background2" w:themeFillShade="BF"/>
          </w:tcPr>
          <w:p w14:paraId="6F6051BF" w14:textId="77777777" w:rsidR="000B4C9A" w:rsidRDefault="000B4C9A" w:rsidP="00A303B4">
            <w:pPr>
              <w:jc w:val="center"/>
            </w:pPr>
          </w:p>
        </w:tc>
        <w:tc>
          <w:tcPr>
            <w:tcW w:w="692" w:type="dxa"/>
            <w:shd w:val="clear" w:color="auto" w:fill="ADADAD" w:themeFill="background2" w:themeFillShade="BF"/>
          </w:tcPr>
          <w:p w14:paraId="5D2CF8BB" w14:textId="77777777" w:rsidR="000B4C9A" w:rsidRDefault="000B4C9A" w:rsidP="00A303B4">
            <w:pPr>
              <w:jc w:val="center"/>
            </w:pPr>
          </w:p>
        </w:tc>
        <w:tc>
          <w:tcPr>
            <w:tcW w:w="1134" w:type="dxa"/>
            <w:shd w:val="clear" w:color="auto" w:fill="ADADAD" w:themeFill="background2" w:themeFillShade="BF"/>
          </w:tcPr>
          <w:p w14:paraId="214F10CD" w14:textId="77777777" w:rsidR="000B4C9A" w:rsidRDefault="000B4C9A" w:rsidP="00A303B4">
            <w:pPr>
              <w:jc w:val="center"/>
            </w:pPr>
          </w:p>
        </w:tc>
        <w:tc>
          <w:tcPr>
            <w:tcW w:w="1276" w:type="dxa"/>
            <w:shd w:val="clear" w:color="auto" w:fill="ADADAD" w:themeFill="background2" w:themeFillShade="BF"/>
          </w:tcPr>
          <w:p w14:paraId="71444D67" w14:textId="77777777" w:rsidR="000B4C9A" w:rsidRDefault="000B4C9A" w:rsidP="00A303B4">
            <w:pPr>
              <w:jc w:val="center"/>
            </w:pPr>
          </w:p>
        </w:tc>
        <w:tc>
          <w:tcPr>
            <w:tcW w:w="1134" w:type="dxa"/>
            <w:shd w:val="clear" w:color="auto" w:fill="ADADAD" w:themeFill="background2" w:themeFillShade="BF"/>
          </w:tcPr>
          <w:p w14:paraId="645A6CD0" w14:textId="77777777" w:rsidR="000B4C9A" w:rsidRDefault="000B4C9A" w:rsidP="00A303B4">
            <w:pPr>
              <w:jc w:val="center"/>
            </w:pPr>
          </w:p>
        </w:tc>
        <w:tc>
          <w:tcPr>
            <w:tcW w:w="1134" w:type="dxa"/>
            <w:shd w:val="clear" w:color="auto" w:fill="ADADAD" w:themeFill="background2" w:themeFillShade="BF"/>
          </w:tcPr>
          <w:p w14:paraId="7C0D6643" w14:textId="77777777" w:rsidR="000B4C9A" w:rsidRDefault="000B4C9A" w:rsidP="00A303B4">
            <w:pPr>
              <w:jc w:val="center"/>
            </w:pPr>
          </w:p>
        </w:tc>
        <w:tc>
          <w:tcPr>
            <w:tcW w:w="1276" w:type="dxa"/>
            <w:shd w:val="clear" w:color="auto" w:fill="ADADAD" w:themeFill="background2" w:themeFillShade="BF"/>
          </w:tcPr>
          <w:p w14:paraId="29191E77" w14:textId="77777777" w:rsidR="000B4C9A" w:rsidRDefault="000B4C9A" w:rsidP="00A303B4">
            <w:pPr>
              <w:jc w:val="center"/>
            </w:pPr>
          </w:p>
        </w:tc>
        <w:tc>
          <w:tcPr>
            <w:tcW w:w="1366" w:type="dxa"/>
            <w:shd w:val="clear" w:color="auto" w:fill="ADADAD" w:themeFill="background2" w:themeFillShade="BF"/>
          </w:tcPr>
          <w:p w14:paraId="43B273F4" w14:textId="77777777" w:rsidR="000B4C9A" w:rsidRDefault="000B4C9A" w:rsidP="00A303B4">
            <w:pPr>
              <w:jc w:val="center"/>
            </w:pPr>
          </w:p>
        </w:tc>
      </w:tr>
    </w:tbl>
    <w:p w14:paraId="485F943B" w14:textId="77777777" w:rsidR="000B4C9A" w:rsidRDefault="000B4C9A" w:rsidP="007F044C">
      <w:pPr>
        <w:jc w:val="both"/>
      </w:pPr>
    </w:p>
    <w:p w14:paraId="75E31E23" w14:textId="070DEEF9" w:rsidR="000B4C9A" w:rsidRDefault="000B4C9A" w:rsidP="000B4C9A">
      <w:pPr>
        <w:jc w:val="both"/>
      </w:pPr>
      <w:r>
        <w:t>Information about the specific datasets used in this study was summarised in Table 2, below.</w:t>
      </w:r>
      <w:r w:rsidRPr="007F044C">
        <w:t xml:space="preserve"> </w:t>
      </w:r>
      <w:r>
        <w:t>See the Appendix, section 9.1, for the specific variables gathered from each data source.</w:t>
      </w:r>
      <w:r w:rsidR="007D5CD2">
        <w:t xml:space="preserve"> Each of the individual features</w:t>
      </w:r>
      <w:r w:rsidR="0064284A">
        <w:t xml:space="preserve"> were collated by WHO technical programs</w:t>
      </w:r>
      <w:r w:rsidR="007D5CD2">
        <w:t xml:space="preserve"> </w:t>
      </w:r>
      <w:r w:rsidR="0064284A">
        <w:t xml:space="preserve">[rep </w:t>
      </w:r>
      <w:proofErr w:type="spellStart"/>
      <w:r w:rsidR="0064284A">
        <w:t>gho</w:t>
      </w:r>
      <w:proofErr w:type="spellEnd"/>
      <w:r w:rsidR="0064284A">
        <w:t xml:space="preserve"> meta-data]. </w:t>
      </w:r>
    </w:p>
    <w:p w14:paraId="290D14C9" w14:textId="77777777" w:rsidR="000B4C9A" w:rsidRDefault="000B4C9A" w:rsidP="007F044C">
      <w:pPr>
        <w:jc w:val="both"/>
      </w:pPr>
    </w:p>
    <w:p w14:paraId="2A6F5B26" w14:textId="066EDB88" w:rsidR="007F044C" w:rsidRDefault="007F044C" w:rsidP="00FB6A97">
      <w:pPr>
        <w:jc w:val="center"/>
      </w:pPr>
      <w:r w:rsidRPr="007F044C">
        <w:rPr>
          <w:b/>
          <w:bCs/>
        </w:rPr>
        <w:t xml:space="preserve">Table </w:t>
      </w:r>
      <w:r w:rsidR="000B4C9A">
        <w:rPr>
          <w:b/>
          <w:bCs/>
        </w:rPr>
        <w:t>2</w:t>
      </w:r>
      <w:r w:rsidRPr="007F044C">
        <w:rPr>
          <w:b/>
          <w:bCs/>
        </w:rPr>
        <w:t>:</w:t>
      </w:r>
      <w:r>
        <w:t xml:space="preserve"> Summary information about the datasets used in this study.</w:t>
      </w:r>
    </w:p>
    <w:tbl>
      <w:tblPr>
        <w:tblStyle w:val="TableGrid"/>
        <w:tblW w:w="5000" w:type="pct"/>
        <w:tblLayout w:type="fixed"/>
        <w:tblLook w:val="04A0" w:firstRow="1" w:lastRow="0" w:firstColumn="1" w:lastColumn="0" w:noHBand="0" w:noVBand="1"/>
      </w:tblPr>
      <w:tblGrid>
        <w:gridCol w:w="1838"/>
        <w:gridCol w:w="1134"/>
        <w:gridCol w:w="994"/>
        <w:gridCol w:w="1134"/>
        <w:gridCol w:w="1700"/>
        <w:gridCol w:w="2216"/>
      </w:tblGrid>
      <w:tr w:rsidR="000243DD" w14:paraId="5E3ACE4F" w14:textId="2E665128" w:rsidTr="00053B21">
        <w:tc>
          <w:tcPr>
            <w:tcW w:w="1019" w:type="pct"/>
          </w:tcPr>
          <w:p w14:paraId="2F49F11F" w14:textId="6D9DC337" w:rsidR="008E496A" w:rsidRPr="008B6DEB" w:rsidRDefault="008E496A" w:rsidP="008B6DEB">
            <w:pPr>
              <w:jc w:val="center"/>
              <w:rPr>
                <w:b/>
                <w:bCs/>
              </w:rPr>
            </w:pPr>
            <w:r>
              <w:rPr>
                <w:b/>
                <w:bCs/>
              </w:rPr>
              <w:t>Type of Dataset</w:t>
            </w:r>
          </w:p>
        </w:tc>
        <w:tc>
          <w:tcPr>
            <w:tcW w:w="629" w:type="pct"/>
          </w:tcPr>
          <w:p w14:paraId="0F891B66" w14:textId="2BDE4939" w:rsidR="008E496A" w:rsidRPr="008B6DEB" w:rsidRDefault="008E496A" w:rsidP="008B6DEB">
            <w:pPr>
              <w:jc w:val="center"/>
              <w:rPr>
                <w:b/>
                <w:bCs/>
              </w:rPr>
            </w:pPr>
            <w:r w:rsidRPr="008B6DEB">
              <w:rPr>
                <w:b/>
                <w:bCs/>
              </w:rPr>
              <w:t xml:space="preserve">Number of </w:t>
            </w:r>
            <w:r>
              <w:rPr>
                <w:b/>
                <w:bCs/>
              </w:rPr>
              <w:t>Features</w:t>
            </w:r>
          </w:p>
        </w:tc>
        <w:tc>
          <w:tcPr>
            <w:tcW w:w="551" w:type="pct"/>
          </w:tcPr>
          <w:p w14:paraId="19ECC64A" w14:textId="250254FB" w:rsidR="008E496A" w:rsidRPr="008B6DEB" w:rsidRDefault="008E496A" w:rsidP="008B6DEB">
            <w:pPr>
              <w:jc w:val="center"/>
              <w:rPr>
                <w:b/>
                <w:bCs/>
              </w:rPr>
            </w:pPr>
            <w:r w:rsidRPr="008B6DEB">
              <w:rPr>
                <w:b/>
                <w:bCs/>
              </w:rPr>
              <w:t>Date Range</w:t>
            </w:r>
          </w:p>
        </w:tc>
        <w:tc>
          <w:tcPr>
            <w:tcW w:w="629" w:type="pct"/>
          </w:tcPr>
          <w:p w14:paraId="2B7FBB22" w14:textId="1427F67B" w:rsidR="00A665BB" w:rsidRPr="008B6DEB" w:rsidRDefault="008E496A" w:rsidP="00A665BB">
            <w:pPr>
              <w:jc w:val="center"/>
              <w:rPr>
                <w:b/>
                <w:bCs/>
              </w:rPr>
            </w:pPr>
            <w:r w:rsidRPr="008B6DEB">
              <w:rPr>
                <w:b/>
                <w:bCs/>
              </w:rPr>
              <w:t xml:space="preserve">Number of </w:t>
            </w:r>
            <w:r w:rsidR="00A665BB">
              <w:rPr>
                <w:b/>
                <w:bCs/>
              </w:rPr>
              <w:t>Areas Covered</w:t>
            </w:r>
          </w:p>
        </w:tc>
        <w:tc>
          <w:tcPr>
            <w:tcW w:w="943" w:type="pct"/>
          </w:tcPr>
          <w:p w14:paraId="2C635752" w14:textId="2EC5C67A" w:rsidR="008E496A" w:rsidRDefault="008E496A" w:rsidP="008B6DEB">
            <w:pPr>
              <w:jc w:val="center"/>
              <w:rPr>
                <w:b/>
                <w:bCs/>
              </w:rPr>
            </w:pPr>
            <w:r>
              <w:rPr>
                <w:b/>
                <w:bCs/>
              </w:rPr>
              <w:t xml:space="preserve">Demographic Subsets </w:t>
            </w:r>
            <w:r w:rsidR="000D10D3">
              <w:rPr>
                <w:b/>
                <w:bCs/>
              </w:rPr>
              <w:t>Used</w:t>
            </w:r>
            <w:r w:rsidR="00B4449C">
              <w:rPr>
                <w:b/>
                <w:bCs/>
              </w:rPr>
              <w:t xml:space="preserve"> </w:t>
            </w:r>
          </w:p>
        </w:tc>
        <w:tc>
          <w:tcPr>
            <w:tcW w:w="1229" w:type="pct"/>
          </w:tcPr>
          <w:p w14:paraId="62318E9C" w14:textId="77777777" w:rsidR="008E496A" w:rsidRDefault="008E496A" w:rsidP="008B6DEB">
            <w:pPr>
              <w:jc w:val="center"/>
              <w:rPr>
                <w:b/>
                <w:bCs/>
              </w:rPr>
            </w:pPr>
            <w:r>
              <w:rPr>
                <w:b/>
                <w:bCs/>
              </w:rPr>
              <w:t>Source</w:t>
            </w:r>
          </w:p>
          <w:p w14:paraId="2644266D" w14:textId="745BF375" w:rsidR="00191E78" w:rsidRPr="00191E78" w:rsidRDefault="00191E78" w:rsidP="008B6DEB">
            <w:pPr>
              <w:jc w:val="center"/>
              <w:rPr>
                <w:b/>
                <w:bCs/>
                <w:color w:val="EE0000"/>
              </w:rPr>
            </w:pPr>
          </w:p>
        </w:tc>
      </w:tr>
      <w:tr w:rsidR="000243DD" w14:paraId="0BDAEF66" w14:textId="3AE46AB7" w:rsidTr="00053B21">
        <w:tc>
          <w:tcPr>
            <w:tcW w:w="1019" w:type="pct"/>
          </w:tcPr>
          <w:p w14:paraId="27197907" w14:textId="71B60678" w:rsidR="008E496A" w:rsidRDefault="007B455F" w:rsidP="008B6DEB">
            <w:pPr>
              <w:jc w:val="center"/>
            </w:pPr>
            <w:r>
              <w:t xml:space="preserve">National </w:t>
            </w:r>
            <w:r w:rsidR="008E496A">
              <w:t>MMR estimates</w:t>
            </w:r>
          </w:p>
        </w:tc>
        <w:tc>
          <w:tcPr>
            <w:tcW w:w="629" w:type="pct"/>
          </w:tcPr>
          <w:p w14:paraId="45A4472A" w14:textId="311E9ED8" w:rsidR="008E496A" w:rsidRDefault="007B455F" w:rsidP="008B6DEB">
            <w:pPr>
              <w:jc w:val="center"/>
            </w:pPr>
            <w:r>
              <w:t>1</w:t>
            </w:r>
          </w:p>
        </w:tc>
        <w:tc>
          <w:tcPr>
            <w:tcW w:w="551" w:type="pct"/>
          </w:tcPr>
          <w:p w14:paraId="4A4AF02C" w14:textId="23DA5E1B" w:rsidR="008E496A" w:rsidRDefault="008E496A" w:rsidP="008B6DEB">
            <w:pPr>
              <w:jc w:val="center"/>
            </w:pPr>
            <w:r>
              <w:t>1985-20</w:t>
            </w:r>
            <w:r w:rsidR="004E71FE">
              <w:t>18</w:t>
            </w:r>
          </w:p>
        </w:tc>
        <w:tc>
          <w:tcPr>
            <w:tcW w:w="629" w:type="pct"/>
          </w:tcPr>
          <w:p w14:paraId="37ECA0A0" w14:textId="6ACBBC7A" w:rsidR="008E496A" w:rsidRDefault="008E496A" w:rsidP="008B6DEB">
            <w:pPr>
              <w:jc w:val="center"/>
            </w:pPr>
            <w:r>
              <w:t>242</w:t>
            </w:r>
          </w:p>
        </w:tc>
        <w:tc>
          <w:tcPr>
            <w:tcW w:w="943" w:type="pct"/>
          </w:tcPr>
          <w:p w14:paraId="7B9E895E" w14:textId="03620E53" w:rsidR="008E496A" w:rsidRDefault="008E496A" w:rsidP="008B6DEB">
            <w:pPr>
              <w:jc w:val="center"/>
            </w:pPr>
            <w:r>
              <w:t>NA</w:t>
            </w:r>
          </w:p>
        </w:tc>
        <w:tc>
          <w:tcPr>
            <w:tcW w:w="1229" w:type="pct"/>
          </w:tcPr>
          <w:p w14:paraId="67DEB6EF" w14:textId="7359D119" w:rsidR="008E496A" w:rsidRDefault="008E496A" w:rsidP="008B6DEB">
            <w:pPr>
              <w:jc w:val="center"/>
            </w:pPr>
            <w:r>
              <w:t>World Bank Group’s Gender Data Portal</w:t>
            </w:r>
            <w:r w:rsidR="00590B87">
              <w:t xml:space="preserve"> [3</w:t>
            </w:r>
            <w:r w:rsidR="00203B5A">
              <w:t>0</w:t>
            </w:r>
            <w:r w:rsidR="00590B87">
              <w:t>]</w:t>
            </w:r>
          </w:p>
        </w:tc>
      </w:tr>
      <w:tr w:rsidR="000243DD" w14:paraId="7A549D9A" w14:textId="60748629" w:rsidTr="00053B21">
        <w:tc>
          <w:tcPr>
            <w:tcW w:w="1019" w:type="pct"/>
          </w:tcPr>
          <w:p w14:paraId="79CEC204" w14:textId="6931C746" w:rsidR="008E496A" w:rsidRDefault="001F58C7" w:rsidP="008B6DEB">
            <w:pPr>
              <w:jc w:val="center"/>
            </w:pPr>
            <w:r>
              <w:t>H</w:t>
            </w:r>
            <w:r w:rsidR="008E496A">
              <w:t>ealth</w:t>
            </w:r>
            <w:r w:rsidR="008F4BE7">
              <w:t xml:space="preserve"> outcomes</w:t>
            </w:r>
            <w:r>
              <w:t xml:space="preserve"> &amp;</w:t>
            </w:r>
            <w:r w:rsidR="008F4BE7">
              <w:t xml:space="preserve"> </w:t>
            </w:r>
            <w:r w:rsidR="008E496A">
              <w:t xml:space="preserve">literacy, </w:t>
            </w:r>
            <w:r w:rsidR="00FB6A97">
              <w:t>agency</w:t>
            </w:r>
          </w:p>
        </w:tc>
        <w:tc>
          <w:tcPr>
            <w:tcW w:w="629" w:type="pct"/>
          </w:tcPr>
          <w:p w14:paraId="7A9942FC" w14:textId="51C5557D" w:rsidR="008E496A" w:rsidRDefault="008E496A" w:rsidP="008B6DEB">
            <w:pPr>
              <w:jc w:val="center"/>
            </w:pPr>
            <w:r>
              <w:t>198</w:t>
            </w:r>
          </w:p>
        </w:tc>
        <w:tc>
          <w:tcPr>
            <w:tcW w:w="551" w:type="pct"/>
          </w:tcPr>
          <w:p w14:paraId="64ABB37B" w14:textId="38DDE3CA" w:rsidR="008E496A" w:rsidRDefault="008E496A" w:rsidP="008B6DEB">
            <w:pPr>
              <w:jc w:val="center"/>
            </w:pPr>
            <w:r>
              <w:t>1960-2023</w:t>
            </w:r>
          </w:p>
        </w:tc>
        <w:tc>
          <w:tcPr>
            <w:tcW w:w="629" w:type="pct"/>
          </w:tcPr>
          <w:p w14:paraId="2A117224" w14:textId="768724FD" w:rsidR="008E496A" w:rsidRDefault="008E496A" w:rsidP="008B6DEB">
            <w:pPr>
              <w:jc w:val="center"/>
            </w:pPr>
            <w:r>
              <w:t>265</w:t>
            </w:r>
          </w:p>
        </w:tc>
        <w:tc>
          <w:tcPr>
            <w:tcW w:w="943" w:type="pct"/>
          </w:tcPr>
          <w:p w14:paraId="7870F6F2" w14:textId="5446D617" w:rsidR="008E496A" w:rsidRDefault="008E496A" w:rsidP="008B6DEB">
            <w:pPr>
              <w:jc w:val="center"/>
            </w:pPr>
            <w:r>
              <w:t>NA</w:t>
            </w:r>
          </w:p>
        </w:tc>
        <w:tc>
          <w:tcPr>
            <w:tcW w:w="1229" w:type="pct"/>
          </w:tcPr>
          <w:p w14:paraId="714BAA09" w14:textId="1AF1BF9B" w:rsidR="001E2530" w:rsidRDefault="008E496A" w:rsidP="005B1B6E">
            <w:pPr>
              <w:jc w:val="center"/>
            </w:pPr>
            <w:r>
              <w:t>World Bank</w:t>
            </w:r>
            <w:r w:rsidR="005B1B6E">
              <w:t xml:space="preserve"> </w:t>
            </w:r>
            <w:r>
              <w:t>Group’s Gender Data Portal</w:t>
            </w:r>
            <w:r w:rsidR="005B1B6E">
              <w:t xml:space="preserve"> </w:t>
            </w:r>
            <w:r w:rsidR="001E2530">
              <w:t>[3</w:t>
            </w:r>
            <w:r w:rsidR="00203B5A">
              <w:t>1</w:t>
            </w:r>
            <w:r w:rsidR="001E2530">
              <w:t>]</w:t>
            </w:r>
          </w:p>
        </w:tc>
      </w:tr>
      <w:tr w:rsidR="000243DD" w14:paraId="1E4313E3" w14:textId="63D3340C" w:rsidTr="00053B21">
        <w:tc>
          <w:tcPr>
            <w:tcW w:w="1019" w:type="pct"/>
          </w:tcPr>
          <w:p w14:paraId="5AD0F73D" w14:textId="5C8CD199" w:rsidR="008E496A" w:rsidRDefault="008E496A" w:rsidP="008B6DEB">
            <w:pPr>
              <w:jc w:val="center"/>
            </w:pPr>
            <w:r>
              <w:lastRenderedPageBreak/>
              <w:t>Illness incidence and prevalence</w:t>
            </w:r>
          </w:p>
        </w:tc>
        <w:tc>
          <w:tcPr>
            <w:tcW w:w="629" w:type="pct"/>
          </w:tcPr>
          <w:p w14:paraId="16CB7CE7" w14:textId="7BB40CD2" w:rsidR="008E496A" w:rsidRDefault="008E496A" w:rsidP="008B6DEB">
            <w:pPr>
              <w:jc w:val="center"/>
            </w:pPr>
            <w:r>
              <w:t>193</w:t>
            </w:r>
          </w:p>
        </w:tc>
        <w:tc>
          <w:tcPr>
            <w:tcW w:w="551" w:type="pct"/>
          </w:tcPr>
          <w:p w14:paraId="17836890" w14:textId="4445AAC5" w:rsidR="008E496A" w:rsidRDefault="008E496A" w:rsidP="008B6DEB">
            <w:pPr>
              <w:jc w:val="center"/>
            </w:pPr>
            <w:r>
              <w:t xml:space="preserve">2000-2019 </w:t>
            </w:r>
          </w:p>
        </w:tc>
        <w:tc>
          <w:tcPr>
            <w:tcW w:w="629" w:type="pct"/>
          </w:tcPr>
          <w:p w14:paraId="274F0A18" w14:textId="5033E7F7" w:rsidR="008E496A" w:rsidRDefault="008E496A" w:rsidP="008B6DEB">
            <w:pPr>
              <w:jc w:val="center"/>
            </w:pPr>
            <w:r>
              <w:t>194</w:t>
            </w:r>
          </w:p>
        </w:tc>
        <w:tc>
          <w:tcPr>
            <w:tcW w:w="943" w:type="pct"/>
          </w:tcPr>
          <w:p w14:paraId="163B60B7" w14:textId="56513245" w:rsidR="008E496A" w:rsidRDefault="008E496A" w:rsidP="008B6DEB">
            <w:pPr>
              <w:jc w:val="center"/>
            </w:pPr>
            <w:r>
              <w:t>Sex</w:t>
            </w:r>
          </w:p>
        </w:tc>
        <w:tc>
          <w:tcPr>
            <w:tcW w:w="1229" w:type="pct"/>
          </w:tcPr>
          <w:p w14:paraId="38808EC5" w14:textId="25D67278" w:rsidR="008E496A" w:rsidRDefault="008E496A" w:rsidP="008B6DEB">
            <w:pPr>
              <w:jc w:val="center"/>
            </w:pPr>
            <w:r>
              <w:t xml:space="preserve">WHO Health Inequality Data Repository </w:t>
            </w:r>
            <w:r w:rsidR="00112C46">
              <w:t>&amp;</w:t>
            </w:r>
            <w:r>
              <w:t xml:space="preserve"> IHME</w:t>
            </w:r>
            <w:r w:rsidR="00D47373">
              <w:t xml:space="preserve"> [3</w:t>
            </w:r>
            <w:r w:rsidR="00203B5A">
              <w:t>4</w:t>
            </w:r>
            <w:r w:rsidR="00D47373">
              <w:t>]</w:t>
            </w:r>
          </w:p>
        </w:tc>
      </w:tr>
      <w:tr w:rsidR="000243DD" w14:paraId="2D5AAD5E" w14:textId="71DFE2F6" w:rsidTr="00053B21">
        <w:tc>
          <w:tcPr>
            <w:tcW w:w="1019" w:type="pct"/>
          </w:tcPr>
          <w:p w14:paraId="6FA478D1" w14:textId="5AC79BD7" w:rsidR="008E496A" w:rsidRDefault="008E496A" w:rsidP="008B6DEB">
            <w:pPr>
              <w:jc w:val="center"/>
            </w:pPr>
            <w:r>
              <w:t>Empowerment</w:t>
            </w:r>
          </w:p>
        </w:tc>
        <w:tc>
          <w:tcPr>
            <w:tcW w:w="629" w:type="pct"/>
          </w:tcPr>
          <w:p w14:paraId="2B064641" w14:textId="38312A43" w:rsidR="008E496A" w:rsidRDefault="00B4449C" w:rsidP="008B6DEB">
            <w:pPr>
              <w:jc w:val="center"/>
            </w:pPr>
            <w:r>
              <w:t>9</w:t>
            </w:r>
          </w:p>
        </w:tc>
        <w:tc>
          <w:tcPr>
            <w:tcW w:w="551" w:type="pct"/>
          </w:tcPr>
          <w:p w14:paraId="2AC1F618" w14:textId="1D58B91B" w:rsidR="008E496A" w:rsidRDefault="008E496A" w:rsidP="008B6DEB">
            <w:pPr>
              <w:jc w:val="center"/>
            </w:pPr>
            <w:r>
              <w:t>1991-2023</w:t>
            </w:r>
          </w:p>
        </w:tc>
        <w:tc>
          <w:tcPr>
            <w:tcW w:w="629" w:type="pct"/>
          </w:tcPr>
          <w:p w14:paraId="6E0ABF52" w14:textId="3656BA2D" w:rsidR="008E496A" w:rsidRDefault="00B4449C" w:rsidP="008B6DEB">
            <w:pPr>
              <w:jc w:val="center"/>
            </w:pPr>
            <w:r>
              <w:t>120</w:t>
            </w:r>
          </w:p>
        </w:tc>
        <w:tc>
          <w:tcPr>
            <w:tcW w:w="943" w:type="pct"/>
          </w:tcPr>
          <w:p w14:paraId="4FF65ED0" w14:textId="23DF08CA" w:rsidR="008E496A" w:rsidRDefault="00B4449C" w:rsidP="008B6DEB">
            <w:pPr>
              <w:jc w:val="center"/>
            </w:pPr>
            <w:r>
              <w:t>Economic status (quintiles 1</w:t>
            </w:r>
            <w:r w:rsidR="00947010">
              <w:t xml:space="preserve">, </w:t>
            </w:r>
            <w:r>
              <w:t>5)</w:t>
            </w:r>
          </w:p>
        </w:tc>
        <w:tc>
          <w:tcPr>
            <w:tcW w:w="1229" w:type="pct"/>
          </w:tcPr>
          <w:p w14:paraId="3512F8EB" w14:textId="6428C868" w:rsidR="008E496A" w:rsidRDefault="008E496A" w:rsidP="008B6DEB">
            <w:pPr>
              <w:jc w:val="center"/>
            </w:pPr>
            <w:r>
              <w:t xml:space="preserve">WHO Health </w:t>
            </w:r>
            <w:r w:rsidR="00C856D4">
              <w:t>I</w:t>
            </w:r>
            <w:r>
              <w:t xml:space="preserve">nequality Data Repository after re-analysis by the WHO </w:t>
            </w:r>
            <w:proofErr w:type="spellStart"/>
            <w:r>
              <w:t>Center</w:t>
            </w:r>
            <w:proofErr w:type="spellEnd"/>
            <w:r>
              <w:t xml:space="preserve"> for Health Equity Monitoring</w:t>
            </w:r>
            <w:r w:rsidR="005D4E54">
              <w:t xml:space="preserve"> [3</w:t>
            </w:r>
            <w:r w:rsidR="00203B5A">
              <w:t>2</w:t>
            </w:r>
            <w:r w:rsidR="005D4E54">
              <w:t>]</w:t>
            </w:r>
          </w:p>
        </w:tc>
      </w:tr>
      <w:tr w:rsidR="000243DD" w14:paraId="6DD8F4D9" w14:textId="3FF02EFE" w:rsidTr="00053B21">
        <w:tc>
          <w:tcPr>
            <w:tcW w:w="1019" w:type="pct"/>
          </w:tcPr>
          <w:p w14:paraId="759A0DD2" w14:textId="584CEFCA" w:rsidR="008E496A" w:rsidRDefault="008E496A" w:rsidP="008B6DEB">
            <w:pPr>
              <w:jc w:val="center"/>
            </w:pPr>
            <w:r>
              <w:t>Socioeconomi</w:t>
            </w:r>
            <w:r w:rsidR="00323629">
              <w:t>c</w:t>
            </w:r>
            <w:r w:rsidR="00B4449C">
              <w:t>, education, environmental</w:t>
            </w:r>
            <w:r w:rsidR="0020044F">
              <w:t xml:space="preserve"> variables</w:t>
            </w:r>
          </w:p>
        </w:tc>
        <w:tc>
          <w:tcPr>
            <w:tcW w:w="629" w:type="pct"/>
          </w:tcPr>
          <w:p w14:paraId="56265D3B" w14:textId="66D11B7C" w:rsidR="008E496A" w:rsidRDefault="00947010" w:rsidP="008B6DEB">
            <w:pPr>
              <w:jc w:val="center"/>
            </w:pPr>
            <w:r>
              <w:t>64</w:t>
            </w:r>
          </w:p>
        </w:tc>
        <w:tc>
          <w:tcPr>
            <w:tcW w:w="551" w:type="pct"/>
          </w:tcPr>
          <w:p w14:paraId="18D37AF3" w14:textId="30493564" w:rsidR="008E496A" w:rsidRDefault="00B4449C" w:rsidP="008B6DEB">
            <w:pPr>
              <w:jc w:val="center"/>
            </w:pPr>
            <w:r>
              <w:t>1970-2023</w:t>
            </w:r>
          </w:p>
        </w:tc>
        <w:tc>
          <w:tcPr>
            <w:tcW w:w="629" w:type="pct"/>
          </w:tcPr>
          <w:p w14:paraId="04207FF1" w14:textId="18DAB1DC" w:rsidR="008E496A" w:rsidRDefault="00947010" w:rsidP="008B6DEB">
            <w:pPr>
              <w:jc w:val="center"/>
            </w:pPr>
            <w:r>
              <w:t>195</w:t>
            </w:r>
          </w:p>
        </w:tc>
        <w:tc>
          <w:tcPr>
            <w:tcW w:w="943" w:type="pct"/>
          </w:tcPr>
          <w:p w14:paraId="20D28B07" w14:textId="0104C153" w:rsidR="008E496A" w:rsidRDefault="00947010" w:rsidP="008B6DEB">
            <w:pPr>
              <w:jc w:val="center"/>
            </w:pPr>
            <w:r>
              <w:t>Sex, economic status (quintiles 1</w:t>
            </w:r>
            <w:r w:rsidR="002F3B75">
              <w:t xml:space="preserve"> and</w:t>
            </w:r>
            <w:r>
              <w:t xml:space="preserve"> 5), residence (urban, rural)</w:t>
            </w:r>
          </w:p>
        </w:tc>
        <w:tc>
          <w:tcPr>
            <w:tcW w:w="1229" w:type="pct"/>
          </w:tcPr>
          <w:p w14:paraId="7C479FBC" w14:textId="26644A4A" w:rsidR="00DA7D8D" w:rsidRDefault="00B4449C" w:rsidP="00323629">
            <w:pPr>
              <w:jc w:val="center"/>
            </w:pPr>
            <w:r>
              <w:t xml:space="preserve">WHO Health Inequality Data Repository, sourced from </w:t>
            </w:r>
            <w:r w:rsidR="00323629">
              <w:t>the</w:t>
            </w:r>
            <w:r>
              <w:t xml:space="preserve"> World Bank Data Catalogue</w:t>
            </w:r>
            <w:r w:rsidR="00323629">
              <w:t xml:space="preserve"> </w:t>
            </w:r>
            <w:r w:rsidR="00DA7D8D">
              <w:t>[3</w:t>
            </w:r>
            <w:r w:rsidR="00203B5A">
              <w:t>3</w:t>
            </w:r>
            <w:r w:rsidR="00DA7D8D">
              <w:t>]</w:t>
            </w:r>
          </w:p>
        </w:tc>
      </w:tr>
      <w:tr w:rsidR="000243DD" w14:paraId="7137A237" w14:textId="7C165305" w:rsidTr="00053B21">
        <w:tc>
          <w:tcPr>
            <w:tcW w:w="1019" w:type="pct"/>
          </w:tcPr>
          <w:p w14:paraId="5870A5FF" w14:textId="1C36D2F6" w:rsidR="008E496A" w:rsidRDefault="00D764BF" w:rsidP="008B6DEB">
            <w:pPr>
              <w:jc w:val="center"/>
            </w:pPr>
            <w:r>
              <w:t xml:space="preserve">World Bank’s Categorisation of a Country’s </w:t>
            </w:r>
            <w:r w:rsidR="008E496A">
              <w:t>Income level</w:t>
            </w:r>
          </w:p>
        </w:tc>
        <w:tc>
          <w:tcPr>
            <w:tcW w:w="629" w:type="pct"/>
          </w:tcPr>
          <w:p w14:paraId="47E3C4C2" w14:textId="1A4469AE" w:rsidR="008E496A" w:rsidRDefault="00B4449C" w:rsidP="008B6DEB">
            <w:pPr>
              <w:jc w:val="center"/>
            </w:pPr>
            <w:r>
              <w:t>1</w:t>
            </w:r>
          </w:p>
        </w:tc>
        <w:tc>
          <w:tcPr>
            <w:tcW w:w="551" w:type="pct"/>
          </w:tcPr>
          <w:p w14:paraId="08001A53" w14:textId="7BA8EACB" w:rsidR="008E496A" w:rsidRDefault="00B4449C" w:rsidP="008B6DEB">
            <w:pPr>
              <w:jc w:val="center"/>
            </w:pPr>
            <w:r>
              <w:t>2024</w:t>
            </w:r>
          </w:p>
        </w:tc>
        <w:tc>
          <w:tcPr>
            <w:tcW w:w="629" w:type="pct"/>
          </w:tcPr>
          <w:p w14:paraId="06FE9F73" w14:textId="77777777" w:rsidR="008E496A" w:rsidRDefault="008E496A" w:rsidP="008B6DEB">
            <w:pPr>
              <w:jc w:val="center"/>
            </w:pPr>
          </w:p>
        </w:tc>
        <w:tc>
          <w:tcPr>
            <w:tcW w:w="943" w:type="pct"/>
          </w:tcPr>
          <w:p w14:paraId="2F27D852" w14:textId="785D9E50" w:rsidR="008E496A" w:rsidRDefault="00947010" w:rsidP="008B6DEB">
            <w:pPr>
              <w:jc w:val="center"/>
            </w:pPr>
            <w:r>
              <w:t>NA</w:t>
            </w:r>
          </w:p>
        </w:tc>
        <w:tc>
          <w:tcPr>
            <w:tcW w:w="1229" w:type="pct"/>
          </w:tcPr>
          <w:p w14:paraId="7F7BE66A" w14:textId="77B68403" w:rsidR="008E496A" w:rsidRDefault="00947010" w:rsidP="008B6DEB">
            <w:pPr>
              <w:jc w:val="center"/>
            </w:pPr>
            <w:r>
              <w:t>WHO Health Inequality Data Repository</w:t>
            </w:r>
            <w:r w:rsidR="00420569">
              <w:t xml:space="preserve"> </w:t>
            </w:r>
            <w:r w:rsidR="000243DD">
              <w:t>[</w:t>
            </w:r>
            <w:r w:rsidR="00203B5A">
              <w:t>35</w:t>
            </w:r>
            <w:r w:rsidR="000243DD">
              <w:t>]</w:t>
            </w:r>
          </w:p>
        </w:tc>
      </w:tr>
    </w:tbl>
    <w:p w14:paraId="2206EA50" w14:textId="57B79774" w:rsidR="00D47373" w:rsidRDefault="00D47373" w:rsidP="003856F4">
      <w:pPr>
        <w:pStyle w:val="Heading3"/>
      </w:pPr>
    </w:p>
    <w:p w14:paraId="61E5792D" w14:textId="1B7992F1" w:rsidR="00D233C3" w:rsidRDefault="002211ED" w:rsidP="003856F4">
      <w:pPr>
        <w:pStyle w:val="Heading3"/>
      </w:pPr>
      <w:r>
        <w:t xml:space="preserve">4.12 Merging Data </w:t>
      </w:r>
    </w:p>
    <w:p w14:paraId="20AE7EE7" w14:textId="5B655EDC" w:rsidR="00E2316A" w:rsidRDefault="00C70348" w:rsidP="00096E11">
      <w:pPr>
        <w:jc w:val="both"/>
      </w:pPr>
      <w:r>
        <w:t xml:space="preserve">All datasets </w:t>
      </w:r>
      <w:r w:rsidR="002917A5">
        <w:t>used</w:t>
      </w:r>
      <w:r>
        <w:t xml:space="preserve"> in this report </w:t>
      </w:r>
      <w:r w:rsidR="007F6901">
        <w:t>contained column</w:t>
      </w:r>
      <w:r w:rsidR="00F206FA">
        <w:t>s</w:t>
      </w:r>
      <w:r w:rsidR="007F6901">
        <w:t xml:space="preserve"> specifying the country and its</w:t>
      </w:r>
      <w:r>
        <w:t xml:space="preserve"> associated </w:t>
      </w:r>
      <w:r w:rsidR="001819C2">
        <w:t>ISO3 country code</w:t>
      </w:r>
      <w:r w:rsidR="0094005E">
        <w:t xml:space="preserve">, as described in the </w:t>
      </w:r>
      <w:r w:rsidR="00096E11">
        <w:t>ISO 3166 international standard</w:t>
      </w:r>
      <w:r w:rsidR="00C82E42">
        <w:t xml:space="preserve"> [</w:t>
      </w:r>
      <w:hyperlink r:id="rId12" w:history="1">
        <w:r w:rsidR="00EA2511" w:rsidRPr="00610F4A">
          <w:rPr>
            <w:rStyle w:val="Hyperlink"/>
          </w:rPr>
          <w:t>https://www.iban.com/country-codes</w:t>
        </w:r>
      </w:hyperlink>
      <w:r w:rsidR="00C82E42">
        <w:t>]</w:t>
      </w:r>
      <w:r w:rsidR="00096E11">
        <w:t xml:space="preserve">. </w:t>
      </w:r>
      <w:r w:rsidR="00163808">
        <w:t xml:space="preserve">However, different datasets sometimes used a </w:t>
      </w:r>
      <w:r w:rsidR="00096E11">
        <w:t xml:space="preserve">different version of the same country’s name </w:t>
      </w:r>
      <w:r w:rsidR="008E744D">
        <w:t>(e.g. United States versus United States of America)</w:t>
      </w:r>
      <w:r w:rsidR="007976A5">
        <w:t>. Therefore, the</w:t>
      </w:r>
      <w:r w:rsidR="008E744D">
        <w:t xml:space="preserve"> datasets </w:t>
      </w:r>
      <w:r w:rsidR="007976A5">
        <w:t xml:space="preserve">were merged </w:t>
      </w:r>
      <w:r w:rsidR="00705F51">
        <w:t>using</w:t>
      </w:r>
      <w:r w:rsidR="008E744D">
        <w:t xml:space="preserve"> </w:t>
      </w:r>
      <w:r w:rsidR="007976A5">
        <w:t xml:space="preserve">the unique </w:t>
      </w:r>
      <w:r w:rsidR="008E744D">
        <w:t>ISO3 code and year</w:t>
      </w:r>
      <w:r w:rsidR="00E2316A">
        <w:t>.</w:t>
      </w:r>
    </w:p>
    <w:p w14:paraId="0410990D" w14:textId="77777777" w:rsidR="00E2316A" w:rsidRDefault="00E2316A" w:rsidP="00096E11">
      <w:pPr>
        <w:jc w:val="both"/>
      </w:pPr>
    </w:p>
    <w:p w14:paraId="7294E392" w14:textId="4224D609" w:rsidR="00FF0367" w:rsidRDefault="00E2316A" w:rsidP="00096E11">
      <w:pPr>
        <w:jc w:val="both"/>
      </w:pPr>
      <w:r>
        <w:t>The final merged data set</w:t>
      </w:r>
      <w:r w:rsidR="008560CE">
        <w:t xml:space="preserve"> </w:t>
      </w:r>
      <w:r>
        <w:t>had</w:t>
      </w:r>
      <w:r w:rsidR="008E744D">
        <w:t xml:space="preserve"> row</w:t>
      </w:r>
      <w:r w:rsidR="008560CE">
        <w:t>s uniquely identified by their country</w:t>
      </w:r>
      <w:r>
        <w:t xml:space="preserve"> and</w:t>
      </w:r>
      <w:r w:rsidR="008E744D">
        <w:t xml:space="preserve"> year</w:t>
      </w:r>
      <w:r>
        <w:t>, with feature columns</w:t>
      </w:r>
      <w:r w:rsidR="008E744D">
        <w:t xml:space="preserve"> </w:t>
      </w:r>
      <w:r>
        <w:t xml:space="preserve">extracted </w:t>
      </w:r>
      <w:r w:rsidR="002971A2">
        <w:t>from the original dataset.</w:t>
      </w:r>
      <w:r w:rsidR="0005003B">
        <w:t xml:space="preserve"> </w:t>
      </w:r>
      <w:r w:rsidR="00CC7E52">
        <w:t>This</w:t>
      </w:r>
      <w:r w:rsidR="00FF0367">
        <w:t xml:space="preserve"> merged dataset </w:t>
      </w:r>
      <w:r w:rsidR="001B756E">
        <w:t>contained</w:t>
      </w:r>
      <w:r w:rsidR="00C2722B">
        <w:t xml:space="preserve"> 16</w:t>
      </w:r>
      <w:r w:rsidR="001B756E">
        <w:t>,</w:t>
      </w:r>
      <w:r w:rsidR="00C2722B">
        <w:t>94</w:t>
      </w:r>
      <w:r w:rsidR="001B756E">
        <w:t>8 samples and 73</w:t>
      </w:r>
      <w:r w:rsidR="005D698E">
        <w:t>2</w:t>
      </w:r>
      <w:r w:rsidR="001B756E">
        <w:t xml:space="preserve"> features</w:t>
      </w:r>
      <w:r w:rsidR="00C2722B">
        <w:t>.</w:t>
      </w:r>
    </w:p>
    <w:p w14:paraId="25C98AC1" w14:textId="77777777" w:rsidR="0005003B" w:rsidRDefault="0005003B" w:rsidP="00096E11">
      <w:pPr>
        <w:jc w:val="both"/>
      </w:pPr>
    </w:p>
    <w:p w14:paraId="1F286E92" w14:textId="22393F7A" w:rsidR="001B1366" w:rsidRDefault="0005003B" w:rsidP="00096E11">
      <w:pPr>
        <w:jc w:val="both"/>
        <w:rPr>
          <w:lang w:eastAsia="en-US"/>
        </w:rPr>
      </w:pPr>
      <w:r>
        <w:rPr>
          <w:lang w:eastAsia="en-US"/>
        </w:rPr>
        <w:t xml:space="preserve">As described </w:t>
      </w:r>
      <w:r w:rsidR="00D51483">
        <w:rPr>
          <w:lang w:eastAsia="en-US"/>
        </w:rPr>
        <w:t>in</w:t>
      </w:r>
      <w:r>
        <w:rPr>
          <w:lang w:eastAsia="en-US"/>
        </w:rPr>
        <w:t xml:space="preserve"> Table </w:t>
      </w:r>
      <w:r w:rsidR="00C2722B">
        <w:rPr>
          <w:lang w:eastAsia="en-US"/>
        </w:rPr>
        <w:t>2</w:t>
      </w:r>
      <w:r>
        <w:rPr>
          <w:lang w:eastAsia="en-US"/>
        </w:rPr>
        <w:t xml:space="preserve">, the national MMR estimates </w:t>
      </w:r>
      <w:r w:rsidR="00D51483">
        <w:rPr>
          <w:lang w:eastAsia="en-US"/>
        </w:rPr>
        <w:t>were</w:t>
      </w:r>
      <w:r>
        <w:rPr>
          <w:lang w:eastAsia="en-US"/>
        </w:rPr>
        <w:t xml:space="preserve"> </w:t>
      </w:r>
      <w:r w:rsidR="00D51483">
        <w:rPr>
          <w:lang w:eastAsia="en-US"/>
        </w:rPr>
        <w:t>collected</w:t>
      </w:r>
      <w:r>
        <w:rPr>
          <w:lang w:eastAsia="en-US"/>
        </w:rPr>
        <w:t xml:space="preserve"> </w:t>
      </w:r>
      <w:r w:rsidR="00D51483">
        <w:rPr>
          <w:lang w:eastAsia="en-US"/>
        </w:rPr>
        <w:t>between</w:t>
      </w:r>
      <w:r>
        <w:rPr>
          <w:lang w:eastAsia="en-US"/>
        </w:rPr>
        <w:t xml:space="preserve"> 1985</w:t>
      </w:r>
      <w:r w:rsidR="00D51483">
        <w:rPr>
          <w:lang w:eastAsia="en-US"/>
        </w:rPr>
        <w:t xml:space="preserve"> and 2018</w:t>
      </w:r>
      <w:r>
        <w:rPr>
          <w:lang w:eastAsia="en-US"/>
        </w:rPr>
        <w:t>.</w:t>
      </w:r>
      <w:r w:rsidR="00D51483">
        <w:rPr>
          <w:lang w:eastAsia="en-US"/>
        </w:rPr>
        <w:t xml:space="preserve"> Therefore, </w:t>
      </w:r>
      <w:r>
        <w:rPr>
          <w:lang w:eastAsia="en-US"/>
        </w:rPr>
        <w:t xml:space="preserve">all data collected before 1985 and after 2018 </w:t>
      </w:r>
      <w:r w:rsidR="00D51483">
        <w:rPr>
          <w:lang w:eastAsia="en-US"/>
        </w:rPr>
        <w:t xml:space="preserve">was excluded. </w:t>
      </w:r>
      <w:r w:rsidR="006B749A">
        <w:rPr>
          <w:lang w:eastAsia="en-US"/>
        </w:rPr>
        <w:t>Feature</w:t>
      </w:r>
      <w:r w:rsidR="00461F94">
        <w:rPr>
          <w:lang w:eastAsia="en-US"/>
        </w:rPr>
        <w:t>s</w:t>
      </w:r>
      <w:r w:rsidR="006B749A">
        <w:rPr>
          <w:lang w:eastAsia="en-US"/>
        </w:rPr>
        <w:t xml:space="preserve"> with no data between 1985 and 2018 years were also excluded. This restricted the dataset to 9,018 rows and 726 columns.</w:t>
      </w:r>
    </w:p>
    <w:p w14:paraId="5E7ABC0B" w14:textId="77777777" w:rsidR="00D977FD" w:rsidRDefault="00D977FD" w:rsidP="00096E11">
      <w:pPr>
        <w:jc w:val="both"/>
        <w:rPr>
          <w:lang w:eastAsia="en-US"/>
        </w:rPr>
      </w:pPr>
    </w:p>
    <w:p w14:paraId="1B2E9EB1" w14:textId="2028F749" w:rsidR="00D977FD" w:rsidRDefault="00825FD6" w:rsidP="009708A5">
      <w:pPr>
        <w:pStyle w:val="Heading3"/>
      </w:pPr>
      <w:r>
        <w:t xml:space="preserve">4.13 Data Cleaning </w:t>
      </w:r>
    </w:p>
    <w:p w14:paraId="1D58DF7F" w14:textId="350EA9C6" w:rsidR="009703D5" w:rsidRDefault="00D977FD" w:rsidP="009703D5">
      <w:pPr>
        <w:jc w:val="both"/>
        <w:rPr>
          <w:lang w:eastAsia="en-US"/>
        </w:rPr>
      </w:pPr>
      <w:r>
        <w:rPr>
          <w:lang w:eastAsia="en-US"/>
        </w:rPr>
        <w:t xml:space="preserve">All year/country combinations that were missing national MMR estimate values were removed to avoid imputing the estimate. This imputation may have caused the machine learning models to be trained on incorrect feature/MMR estimate pairings, introducing inaccuracy. As a result, the number of rows in the dataset decreased from 9,018 to 2,789. </w:t>
      </w:r>
    </w:p>
    <w:p w14:paraId="75278DFD" w14:textId="77777777" w:rsidR="00D977FD" w:rsidRDefault="00D977FD" w:rsidP="009703D5">
      <w:pPr>
        <w:jc w:val="both"/>
        <w:rPr>
          <w:lang w:eastAsia="en-US"/>
        </w:rPr>
      </w:pPr>
    </w:p>
    <w:p w14:paraId="22035574" w14:textId="29A83791" w:rsidR="00825FD6" w:rsidRDefault="00825FD6" w:rsidP="00825FD6">
      <w:pPr>
        <w:rPr>
          <w:lang w:eastAsia="en-US"/>
        </w:rPr>
      </w:pPr>
      <w:r>
        <w:rPr>
          <w:lang w:eastAsia="en-US"/>
        </w:rPr>
        <w:t>I removed the following feature</w:t>
      </w:r>
      <w:r w:rsidR="00A956E2">
        <w:rPr>
          <w:lang w:eastAsia="en-US"/>
        </w:rPr>
        <w:t xml:space="preserve"> variables</w:t>
      </w:r>
      <w:r>
        <w:rPr>
          <w:lang w:eastAsia="en-US"/>
        </w:rPr>
        <w:t>:</w:t>
      </w:r>
    </w:p>
    <w:p w14:paraId="74F200F4" w14:textId="77777777" w:rsidR="00825FD6" w:rsidRDefault="00825FD6" w:rsidP="0068246C">
      <w:pPr>
        <w:pStyle w:val="ListParagraph"/>
        <w:numPr>
          <w:ilvl w:val="0"/>
          <w:numId w:val="2"/>
        </w:numPr>
        <w:rPr>
          <w:lang w:eastAsia="en-US"/>
        </w:rPr>
      </w:pPr>
      <w:r>
        <w:rPr>
          <w:lang w:eastAsia="en-US"/>
        </w:rPr>
        <w:t>'Number of maternal deaths’</w:t>
      </w:r>
    </w:p>
    <w:p w14:paraId="031B8B3A" w14:textId="77777777" w:rsidR="00825FD6" w:rsidRDefault="00825FD6" w:rsidP="0068246C">
      <w:pPr>
        <w:pStyle w:val="ListParagraph"/>
        <w:numPr>
          <w:ilvl w:val="0"/>
          <w:numId w:val="2"/>
        </w:numPr>
        <w:rPr>
          <w:lang w:eastAsia="en-US"/>
        </w:rPr>
      </w:pPr>
      <w:r>
        <w:rPr>
          <w:lang w:eastAsia="en-US"/>
        </w:rPr>
        <w:t>‘Lifetime risk of maternal death (1 in: rate varies by country)’</w:t>
      </w:r>
    </w:p>
    <w:p w14:paraId="52B8E9D7" w14:textId="77777777" w:rsidR="00825FD6" w:rsidRDefault="00825FD6" w:rsidP="0068246C">
      <w:pPr>
        <w:pStyle w:val="ListParagraph"/>
        <w:numPr>
          <w:ilvl w:val="0"/>
          <w:numId w:val="2"/>
        </w:numPr>
        <w:rPr>
          <w:lang w:eastAsia="en-US"/>
        </w:rPr>
      </w:pPr>
      <w:r>
        <w:rPr>
          <w:lang w:eastAsia="en-US"/>
        </w:rPr>
        <w:lastRenderedPageBreak/>
        <w:t>‘Lifetime risk of maternal death (%)’</w:t>
      </w:r>
    </w:p>
    <w:p w14:paraId="1AEFB8AC" w14:textId="77777777" w:rsidR="00825FD6" w:rsidRDefault="00825FD6" w:rsidP="00825FD6">
      <w:pPr>
        <w:rPr>
          <w:lang w:eastAsia="en-US"/>
        </w:rPr>
      </w:pPr>
    </w:p>
    <w:p w14:paraId="5705D9C6" w14:textId="305D2229" w:rsidR="00A31808" w:rsidRDefault="00605281" w:rsidP="009703D5">
      <w:pPr>
        <w:jc w:val="both"/>
      </w:pPr>
      <w:r>
        <w:rPr>
          <w:lang w:eastAsia="en-US"/>
        </w:rPr>
        <w:t>The ‘number of maternal deaths’ is the numerator of the MMR</w:t>
      </w:r>
      <w:r w:rsidR="00A53240">
        <w:rPr>
          <w:lang w:eastAsia="en-US"/>
        </w:rPr>
        <w:t xml:space="preserve">. </w:t>
      </w:r>
      <w:r w:rsidR="00825FD6">
        <w:t xml:space="preserve">Similarly, the two features measuring the ‘lifetime risk of maternal death’, as a rate or percentage, </w:t>
      </w:r>
      <w:r w:rsidR="007D55AD">
        <w:t>are calculated using the MMR [</w:t>
      </w:r>
      <w:r w:rsidR="007D55AD" w:rsidRPr="007D55AD">
        <w:rPr>
          <w:color w:val="EE0000"/>
        </w:rPr>
        <w:t>UN MMEIG report</w:t>
      </w:r>
      <w:r w:rsidR="007D55AD">
        <w:t>]</w:t>
      </w:r>
      <w:r w:rsidR="00825FD6">
        <w:t xml:space="preserve">. </w:t>
      </w:r>
      <w:r w:rsidR="0053572E">
        <w:t>Th</w:t>
      </w:r>
      <w:r w:rsidR="00AA17AB">
        <w:t>e</w:t>
      </w:r>
      <w:r w:rsidR="00825FD6">
        <w:t xml:space="preserve"> Pearson’s correlation coefficient between the MMR estimate and the ‘lifetime risk of maternal death (%) was 0.93, </w:t>
      </w:r>
      <w:r w:rsidR="00AD5ED0">
        <w:t xml:space="preserve">showing </w:t>
      </w:r>
      <w:r w:rsidR="00825FD6">
        <w:t xml:space="preserve">their strong positive correlation. </w:t>
      </w:r>
      <w:r w:rsidR="00AD5ED0">
        <w:rPr>
          <w:lang w:eastAsia="en-US"/>
        </w:rPr>
        <w:t xml:space="preserve">Therefore, these three variables were excluded from the feature dataset to prevent the </w:t>
      </w:r>
      <w:r w:rsidR="00AD5ED0">
        <w:t xml:space="preserve">model from using </w:t>
      </w:r>
      <w:r w:rsidR="00B05F3B">
        <w:t>them</w:t>
      </w:r>
      <w:r w:rsidR="00AD5ED0">
        <w:t xml:space="preserve"> to predict the MMR instead of learning the relationship between the MMR and socioeconomic and health-related data. </w:t>
      </w:r>
    </w:p>
    <w:p w14:paraId="64D40AF7" w14:textId="77777777" w:rsidR="001208A9" w:rsidRDefault="001208A9" w:rsidP="009703D5">
      <w:pPr>
        <w:jc w:val="both"/>
      </w:pPr>
    </w:p>
    <w:p w14:paraId="121C30FC" w14:textId="187FFC20" w:rsidR="001208A9" w:rsidRDefault="001208A9" w:rsidP="009703D5">
      <w:pPr>
        <w:jc w:val="both"/>
      </w:pPr>
      <w:r>
        <w:t xml:space="preserve">The final data cleaning step involved removing the ‘country’ and ‘year’ as feature variables, instead using them as unique sample </w:t>
      </w:r>
      <w:r w:rsidRPr="0042125A">
        <w:rPr>
          <w:color w:val="000000" w:themeColor="text1"/>
        </w:rPr>
        <w:t xml:space="preserve">identifiers. </w:t>
      </w:r>
      <w:r w:rsidR="006906A5" w:rsidRPr="0042125A">
        <w:rPr>
          <w:color w:val="000000" w:themeColor="text1"/>
        </w:rPr>
        <w:t xml:space="preserve">This step was </w:t>
      </w:r>
      <w:r w:rsidR="006906A5">
        <w:t xml:space="preserve">performed because ‘country’ and ‘year’ </w:t>
      </w:r>
      <w:r w:rsidR="0042125A">
        <w:t>could introduce bias in the data, where the model learns the typically MMR for a country or year instead of learning to use the relationships between the MMR and the socio-economic and health-related variables.</w:t>
      </w:r>
    </w:p>
    <w:p w14:paraId="57B00780" w14:textId="77777777" w:rsidR="009703D5" w:rsidRDefault="009703D5" w:rsidP="009703D5">
      <w:pPr>
        <w:jc w:val="both"/>
        <w:rPr>
          <w:lang w:eastAsia="en-US"/>
        </w:rPr>
      </w:pPr>
    </w:p>
    <w:p w14:paraId="5AD1B0C5" w14:textId="7F5D14A7" w:rsidR="00825FD6" w:rsidRDefault="00825FD6" w:rsidP="00AF6396">
      <w:pPr>
        <w:jc w:val="both"/>
        <w:rPr>
          <w:lang w:eastAsia="en-US"/>
        </w:rPr>
      </w:pPr>
      <w:r>
        <w:rPr>
          <w:lang w:eastAsia="en-US"/>
        </w:rPr>
        <w:t xml:space="preserve">As a result </w:t>
      </w:r>
      <w:r w:rsidR="00A31808">
        <w:rPr>
          <w:lang w:eastAsia="en-US"/>
        </w:rPr>
        <w:t>of this pre-processing,</w:t>
      </w:r>
      <w:r>
        <w:rPr>
          <w:lang w:eastAsia="en-US"/>
        </w:rPr>
        <w:t xml:space="preserve"> </w:t>
      </w:r>
      <w:r w:rsidRPr="00B05F3B">
        <w:rPr>
          <w:b/>
          <w:bCs/>
          <w:lang w:eastAsia="en-US"/>
        </w:rPr>
        <w:t>the final, merged dataset consisted of</w:t>
      </w:r>
      <w:r w:rsidR="00A31808" w:rsidRPr="00B05F3B">
        <w:rPr>
          <w:b/>
          <w:bCs/>
          <w:lang w:eastAsia="en-US"/>
        </w:rPr>
        <w:t xml:space="preserve"> 2,789 samples and 721 columns</w:t>
      </w:r>
      <w:r w:rsidR="007E7676">
        <w:rPr>
          <w:b/>
          <w:bCs/>
          <w:lang w:eastAsia="en-US"/>
        </w:rPr>
        <w:t xml:space="preserve"> (one output variable and 720 features)</w:t>
      </w:r>
      <w:r w:rsidR="00A31808" w:rsidRPr="00B05F3B">
        <w:rPr>
          <w:b/>
          <w:bCs/>
          <w:lang w:eastAsia="en-US"/>
        </w:rPr>
        <w:t>.</w:t>
      </w:r>
      <w:r>
        <w:rPr>
          <w:lang w:eastAsia="en-US"/>
        </w:rPr>
        <w:t xml:space="preserve"> </w:t>
      </w:r>
    </w:p>
    <w:p w14:paraId="4A9902FB" w14:textId="77646F50" w:rsidR="00CF48E5" w:rsidRDefault="00CF48E5" w:rsidP="00F73A22">
      <w:pPr>
        <w:pStyle w:val="Heading2"/>
      </w:pPr>
      <w:r>
        <w:t>4.</w:t>
      </w:r>
      <w:r w:rsidR="00825FD6">
        <w:t>2</w:t>
      </w:r>
      <w:r>
        <w:t xml:space="preserve"> </w:t>
      </w:r>
      <w:r w:rsidR="00D82F06">
        <w:t>Exploratory Data Analysis</w:t>
      </w:r>
    </w:p>
    <w:p w14:paraId="155CD712" w14:textId="6BDAB5F8" w:rsidR="006C08C8" w:rsidRDefault="00443C7F" w:rsidP="009708A5">
      <w:pPr>
        <w:jc w:val="both"/>
      </w:pPr>
      <w:r>
        <w:t>An initial exploratory data analysis was conducted to</w:t>
      </w:r>
      <w:r w:rsidR="00FE0822">
        <w:t xml:space="preserve"> gain a better understanding of the dataset and</w:t>
      </w:r>
      <w:r>
        <w:t xml:space="preserve"> motivate the </w:t>
      </w:r>
      <w:r w:rsidR="00FE0822">
        <w:t>choice of</w:t>
      </w:r>
      <w:r>
        <w:t xml:space="preserve"> pre-processing </w:t>
      </w:r>
      <w:r w:rsidR="00FE0822">
        <w:t>techniques.</w:t>
      </w:r>
    </w:p>
    <w:p w14:paraId="1C0F8097" w14:textId="77777777" w:rsidR="00FE0822" w:rsidRPr="006C08C8" w:rsidRDefault="00FE0822" w:rsidP="006C08C8"/>
    <w:p w14:paraId="42023991" w14:textId="65BF3E9B" w:rsidR="006C08C8" w:rsidRPr="006C08C8" w:rsidRDefault="006346C4" w:rsidP="00F73A22">
      <w:pPr>
        <w:pStyle w:val="Heading3"/>
      </w:pPr>
      <w:r>
        <w:t>4.21 Missing Data</w:t>
      </w:r>
      <w:r w:rsidR="00FE0822">
        <w:t xml:space="preserve"> Analysis</w:t>
      </w:r>
    </w:p>
    <w:p w14:paraId="3FD37CC9" w14:textId="121B0052" w:rsidR="00C329AF" w:rsidRPr="009765FF" w:rsidRDefault="009708A5" w:rsidP="009765FF">
      <w:pPr>
        <w:jc w:val="both"/>
      </w:pPr>
      <w:r>
        <w:t xml:space="preserve">While all samples with missing MMR data were excluded from analysis (as described in section 4.13), </w:t>
      </w:r>
      <w:r w:rsidR="006C34C7">
        <w:t xml:space="preserve">it </w:t>
      </w:r>
      <w:r w:rsidR="00F726A8">
        <w:t>was</w:t>
      </w:r>
      <w:r w:rsidR="006C34C7">
        <w:t xml:space="preserve"> instructive to </w:t>
      </w:r>
      <w:r w:rsidR="00BF13B3">
        <w:t xml:space="preserve">explore and </w:t>
      </w:r>
      <w:r w:rsidR="00E37204">
        <w:t>discuss</w:t>
      </w:r>
      <w:r w:rsidR="006C34C7">
        <w:t xml:space="preserve"> th</w:t>
      </w:r>
      <w:r w:rsidR="00CE6E00">
        <w:t xml:space="preserve">e missing data occurrence in the MMR estimates. Thus, the proportion of missing MMR data per year was </w:t>
      </w:r>
      <w:r w:rsidR="00013E57">
        <w:t>calculated for each income level</w:t>
      </w:r>
      <w:r w:rsidR="006011F3">
        <w:t xml:space="preserve"> between 1985 and 2018</w:t>
      </w:r>
      <w:r w:rsidR="004801E2">
        <w:t xml:space="preserve"> (see Section 5.</w:t>
      </w:r>
      <w:r w:rsidR="00A336BD">
        <w:t>11)</w:t>
      </w:r>
      <w:r w:rsidR="006011F3">
        <w:t xml:space="preserve">. </w:t>
      </w:r>
      <w:r w:rsidR="00ED371B">
        <w:t xml:space="preserve">The proportion of missing data per year in the input features was also calculated </w:t>
      </w:r>
      <w:r w:rsidR="00093869">
        <w:t>with the goal of better understanding the input data distribution</w:t>
      </w:r>
      <w:r w:rsidR="00005649">
        <w:t xml:space="preserve">. </w:t>
      </w:r>
      <w:r w:rsidR="00F726A8">
        <w:t xml:space="preserve">The results of this analysis were shown </w:t>
      </w:r>
      <w:r w:rsidR="00923473">
        <w:t xml:space="preserve">in Figure 3 </w:t>
      </w:r>
      <w:r w:rsidR="00F726A8">
        <w:t xml:space="preserve">below, as they </w:t>
      </w:r>
      <w:r w:rsidR="00F726A8">
        <w:t>motivate</w:t>
      </w:r>
      <w:r w:rsidR="00923473">
        <w:t>d</w:t>
      </w:r>
      <w:r w:rsidR="00F726A8">
        <w:t xml:space="preserve"> </w:t>
      </w:r>
      <w:r w:rsidR="00923473">
        <w:t>how</w:t>
      </w:r>
      <w:r w:rsidR="00F726A8">
        <w:t xml:space="preserve"> train/test subsetting</w:t>
      </w:r>
      <w:r w:rsidR="00923473">
        <w:t xml:space="preserve"> was conducted.</w:t>
      </w:r>
    </w:p>
    <w:p w14:paraId="75D3DDD0" w14:textId="77777777" w:rsidR="00005649" w:rsidRDefault="00005649" w:rsidP="00005649"/>
    <w:p w14:paraId="2F67090E" w14:textId="58E27846" w:rsidR="00C329AF" w:rsidRDefault="00946CA0" w:rsidP="009765FF">
      <w:pPr>
        <w:jc w:val="center"/>
      </w:pPr>
      <w:r w:rsidRPr="00946CA0">
        <w:rPr>
          <w:noProof/>
        </w:rPr>
        <w:drawing>
          <wp:inline distT="0" distB="0" distL="0" distR="0" wp14:anchorId="032CF591" wp14:editId="160137E9">
            <wp:extent cx="4726983" cy="2580830"/>
            <wp:effectExtent l="0" t="0" r="0" b="0"/>
            <wp:docPr id="1510946846" name="Picture 1" descr="A graph of a number of missing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46846" name="Picture 1" descr="A graph of a number of missing data&#10;&#10;AI-generated content may be incorrect."/>
                    <pic:cNvPicPr/>
                  </pic:nvPicPr>
                  <pic:blipFill>
                    <a:blip r:embed="rId13"/>
                    <a:stretch>
                      <a:fillRect/>
                    </a:stretch>
                  </pic:blipFill>
                  <pic:spPr>
                    <a:xfrm>
                      <a:off x="0" y="0"/>
                      <a:ext cx="4793357" cy="2617069"/>
                    </a:xfrm>
                    <a:prstGeom prst="rect">
                      <a:avLst/>
                    </a:prstGeom>
                  </pic:spPr>
                </pic:pic>
              </a:graphicData>
            </a:graphic>
          </wp:inline>
        </w:drawing>
      </w:r>
    </w:p>
    <w:p w14:paraId="1ED3365B" w14:textId="501C9DAA" w:rsidR="00C329AF" w:rsidRDefault="00C329AF" w:rsidP="00C329AF">
      <w:pPr>
        <w:jc w:val="both"/>
      </w:pPr>
      <w:r w:rsidRPr="000A00A1">
        <w:rPr>
          <w:b/>
          <w:bCs/>
        </w:rPr>
        <w:t xml:space="preserve">Figure </w:t>
      </w:r>
      <w:r w:rsidR="00923473">
        <w:rPr>
          <w:b/>
          <w:bCs/>
        </w:rPr>
        <w:t>3</w:t>
      </w:r>
      <w:r w:rsidRPr="000A00A1">
        <w:rPr>
          <w:b/>
          <w:bCs/>
        </w:rPr>
        <w:t>:</w:t>
      </w:r>
      <w:r>
        <w:t xml:space="preserve"> Proportion of missing data across all countries and features per year between 1985 and 2018.</w:t>
      </w:r>
    </w:p>
    <w:p w14:paraId="27D8F37D" w14:textId="77777777" w:rsidR="00C329AF" w:rsidRDefault="00C329AF" w:rsidP="00C329AF">
      <w:pPr>
        <w:jc w:val="both"/>
      </w:pPr>
    </w:p>
    <w:p w14:paraId="4901BF40" w14:textId="7AE8A8D8" w:rsidR="00C329AF" w:rsidRDefault="00C329AF" w:rsidP="0021349C">
      <w:pPr>
        <w:jc w:val="both"/>
      </w:pPr>
      <w:r>
        <w:t xml:space="preserve">Before 2000, the dataset had close to or greater than 90% missing data. In contrast, between 2000 and 2018, the dataset had been 40 and 80% missing data. For 4 years, the proportion of missing data was less than 50%. The specific figures </w:t>
      </w:r>
      <w:r w:rsidR="00346A4E">
        <w:t>were</w:t>
      </w:r>
      <w:r>
        <w:t xml:space="preserve"> shown below in Table 3. </w:t>
      </w:r>
      <w:r w:rsidR="00652A36">
        <w:t xml:space="preserve">Generally, there was little difference between the proportion of missing feature data across the different income levels. </w:t>
      </w:r>
    </w:p>
    <w:p w14:paraId="6312E6F8" w14:textId="77777777" w:rsidR="00C329AF" w:rsidRDefault="00C329AF" w:rsidP="00C329AF">
      <w:pPr>
        <w:jc w:val="both"/>
      </w:pPr>
    </w:p>
    <w:p w14:paraId="6733A76F" w14:textId="77777777" w:rsidR="00C329AF" w:rsidRDefault="00C329AF" w:rsidP="00C329AF">
      <w:pPr>
        <w:jc w:val="both"/>
      </w:pPr>
      <w:r w:rsidRPr="00DC6F29">
        <w:rPr>
          <w:b/>
          <w:bCs/>
        </w:rPr>
        <w:t>Table 3:</w:t>
      </w:r>
      <w:r>
        <w:t xml:space="preserve"> Years with the lowest proportion of missing data across all countries and features, rounded to two decimal places. </w:t>
      </w:r>
    </w:p>
    <w:p w14:paraId="43AB4A61" w14:textId="77777777" w:rsidR="00C329AF" w:rsidRDefault="00C329AF" w:rsidP="00C329AF">
      <w:pPr>
        <w:jc w:val="both"/>
      </w:pPr>
    </w:p>
    <w:tbl>
      <w:tblPr>
        <w:tblStyle w:val="TableGrid"/>
        <w:tblW w:w="0" w:type="auto"/>
        <w:tblLook w:val="04A0" w:firstRow="1" w:lastRow="0" w:firstColumn="1" w:lastColumn="0" w:noHBand="0" w:noVBand="1"/>
      </w:tblPr>
      <w:tblGrid>
        <w:gridCol w:w="1910"/>
        <w:gridCol w:w="1771"/>
        <w:gridCol w:w="1843"/>
        <w:gridCol w:w="1908"/>
        <w:gridCol w:w="1584"/>
      </w:tblGrid>
      <w:tr w:rsidR="00F65ACE" w14:paraId="2CD70EB9" w14:textId="798D0E6F" w:rsidTr="00B26245">
        <w:tc>
          <w:tcPr>
            <w:tcW w:w="1910" w:type="dxa"/>
            <w:vMerge w:val="restart"/>
          </w:tcPr>
          <w:p w14:paraId="1D514B26" w14:textId="77777777" w:rsidR="00F65ACE" w:rsidRPr="006D24DA" w:rsidRDefault="00F65ACE" w:rsidP="00A303B4">
            <w:pPr>
              <w:jc w:val="center"/>
              <w:rPr>
                <w:b/>
                <w:bCs/>
              </w:rPr>
            </w:pPr>
            <w:r w:rsidRPr="006D24DA">
              <w:rPr>
                <w:b/>
                <w:bCs/>
              </w:rPr>
              <w:t>Date</w:t>
            </w:r>
          </w:p>
        </w:tc>
        <w:tc>
          <w:tcPr>
            <w:tcW w:w="7106" w:type="dxa"/>
            <w:gridSpan w:val="4"/>
          </w:tcPr>
          <w:p w14:paraId="336FA14D" w14:textId="39609ABD" w:rsidR="00F65ACE" w:rsidRPr="006D24DA" w:rsidRDefault="00F65ACE" w:rsidP="00A303B4">
            <w:pPr>
              <w:jc w:val="center"/>
              <w:rPr>
                <w:b/>
                <w:bCs/>
              </w:rPr>
            </w:pPr>
            <w:r w:rsidRPr="006D24DA">
              <w:rPr>
                <w:b/>
                <w:bCs/>
              </w:rPr>
              <w:t>Proportion of Non-Missing Data</w:t>
            </w:r>
          </w:p>
        </w:tc>
      </w:tr>
      <w:tr w:rsidR="00F65ACE" w14:paraId="5D2157A3" w14:textId="77777777" w:rsidTr="00F65ACE">
        <w:tc>
          <w:tcPr>
            <w:tcW w:w="1910" w:type="dxa"/>
            <w:vMerge/>
          </w:tcPr>
          <w:p w14:paraId="44CA95CE" w14:textId="77777777" w:rsidR="00F65ACE" w:rsidRPr="006D24DA" w:rsidRDefault="00F65ACE" w:rsidP="00A303B4">
            <w:pPr>
              <w:jc w:val="center"/>
              <w:rPr>
                <w:b/>
                <w:bCs/>
              </w:rPr>
            </w:pPr>
          </w:p>
        </w:tc>
        <w:tc>
          <w:tcPr>
            <w:tcW w:w="1771" w:type="dxa"/>
          </w:tcPr>
          <w:p w14:paraId="2AE1E9DC" w14:textId="550EC05F" w:rsidR="00F65ACE" w:rsidRPr="006D24DA" w:rsidRDefault="00F65ACE" w:rsidP="00A303B4">
            <w:pPr>
              <w:jc w:val="center"/>
              <w:rPr>
                <w:b/>
                <w:bCs/>
              </w:rPr>
            </w:pPr>
            <w:r>
              <w:rPr>
                <w:b/>
                <w:bCs/>
              </w:rPr>
              <w:t>Low Income</w:t>
            </w:r>
            <w:r w:rsidR="00B92260">
              <w:rPr>
                <w:b/>
                <w:bCs/>
              </w:rPr>
              <w:t xml:space="preserve"> (%)</w:t>
            </w:r>
          </w:p>
        </w:tc>
        <w:tc>
          <w:tcPr>
            <w:tcW w:w="1843" w:type="dxa"/>
          </w:tcPr>
          <w:p w14:paraId="37D57796" w14:textId="7AFAF1AD" w:rsidR="00F65ACE" w:rsidRPr="006D24DA" w:rsidRDefault="00F65ACE" w:rsidP="00A303B4">
            <w:pPr>
              <w:jc w:val="center"/>
              <w:rPr>
                <w:b/>
                <w:bCs/>
              </w:rPr>
            </w:pPr>
            <w:r>
              <w:rPr>
                <w:b/>
                <w:bCs/>
              </w:rPr>
              <w:t>Lower-Middle Income</w:t>
            </w:r>
            <w:r w:rsidR="00B92260">
              <w:rPr>
                <w:b/>
                <w:bCs/>
              </w:rPr>
              <w:t xml:space="preserve"> (%)</w:t>
            </w:r>
          </w:p>
        </w:tc>
        <w:tc>
          <w:tcPr>
            <w:tcW w:w="1908" w:type="dxa"/>
          </w:tcPr>
          <w:p w14:paraId="13598718" w14:textId="62F5E3A4" w:rsidR="00F65ACE" w:rsidRPr="006D24DA" w:rsidRDefault="00F65ACE" w:rsidP="00A303B4">
            <w:pPr>
              <w:jc w:val="center"/>
              <w:rPr>
                <w:b/>
                <w:bCs/>
              </w:rPr>
            </w:pPr>
            <w:r>
              <w:rPr>
                <w:b/>
                <w:bCs/>
              </w:rPr>
              <w:t>Upper-Middle Income</w:t>
            </w:r>
            <w:r w:rsidR="00B92260">
              <w:rPr>
                <w:b/>
                <w:bCs/>
              </w:rPr>
              <w:t xml:space="preserve"> (%)</w:t>
            </w:r>
          </w:p>
        </w:tc>
        <w:tc>
          <w:tcPr>
            <w:tcW w:w="1584" w:type="dxa"/>
          </w:tcPr>
          <w:p w14:paraId="6CA04FC6" w14:textId="20E83342" w:rsidR="00F65ACE" w:rsidRPr="006D24DA" w:rsidRDefault="00F65ACE" w:rsidP="00A303B4">
            <w:pPr>
              <w:jc w:val="center"/>
              <w:rPr>
                <w:b/>
                <w:bCs/>
              </w:rPr>
            </w:pPr>
            <w:r>
              <w:rPr>
                <w:b/>
                <w:bCs/>
              </w:rPr>
              <w:t>High Income</w:t>
            </w:r>
            <w:r w:rsidR="00B92260">
              <w:rPr>
                <w:b/>
                <w:bCs/>
              </w:rPr>
              <w:t xml:space="preserve"> (%)</w:t>
            </w:r>
          </w:p>
        </w:tc>
      </w:tr>
      <w:tr w:rsidR="00F65ACE" w14:paraId="2046C3F2" w14:textId="7AA79944" w:rsidTr="00F65ACE">
        <w:tc>
          <w:tcPr>
            <w:tcW w:w="1910" w:type="dxa"/>
          </w:tcPr>
          <w:p w14:paraId="515C956A" w14:textId="77777777" w:rsidR="00F65ACE" w:rsidRDefault="00F65ACE" w:rsidP="00A303B4">
            <w:pPr>
              <w:jc w:val="center"/>
            </w:pPr>
            <w:r>
              <w:t>2000</w:t>
            </w:r>
          </w:p>
        </w:tc>
        <w:tc>
          <w:tcPr>
            <w:tcW w:w="1771" w:type="dxa"/>
          </w:tcPr>
          <w:p w14:paraId="67DCE4EA" w14:textId="12D32553" w:rsidR="00F65ACE" w:rsidRDefault="00B92260" w:rsidP="00A303B4">
            <w:pPr>
              <w:jc w:val="center"/>
            </w:pPr>
            <w:r>
              <w:t>2</w:t>
            </w:r>
            <w:r w:rsidR="00F65ACE">
              <w:t>5</w:t>
            </w:r>
          </w:p>
        </w:tc>
        <w:tc>
          <w:tcPr>
            <w:tcW w:w="1843" w:type="dxa"/>
          </w:tcPr>
          <w:p w14:paraId="67C51D9A" w14:textId="60B113FD" w:rsidR="00F65ACE" w:rsidRDefault="00B92260" w:rsidP="00A303B4">
            <w:pPr>
              <w:jc w:val="center"/>
            </w:pPr>
            <w:r>
              <w:t>27</w:t>
            </w:r>
          </w:p>
        </w:tc>
        <w:tc>
          <w:tcPr>
            <w:tcW w:w="1908" w:type="dxa"/>
          </w:tcPr>
          <w:p w14:paraId="6426BEE0" w14:textId="2FB8CD0A" w:rsidR="00F65ACE" w:rsidRDefault="00AC1776" w:rsidP="00A303B4">
            <w:pPr>
              <w:jc w:val="center"/>
            </w:pPr>
            <w:r>
              <w:t>26</w:t>
            </w:r>
          </w:p>
        </w:tc>
        <w:tc>
          <w:tcPr>
            <w:tcW w:w="1584" w:type="dxa"/>
          </w:tcPr>
          <w:p w14:paraId="0AAFC9CE" w14:textId="7F052F77" w:rsidR="00F65ACE" w:rsidRDefault="00924887" w:rsidP="00A303B4">
            <w:pPr>
              <w:jc w:val="center"/>
            </w:pPr>
            <w:r>
              <w:t>30</w:t>
            </w:r>
          </w:p>
        </w:tc>
      </w:tr>
      <w:tr w:rsidR="00F65ACE" w14:paraId="15C8CBA1" w14:textId="76380D90" w:rsidTr="00F65ACE">
        <w:tc>
          <w:tcPr>
            <w:tcW w:w="1910" w:type="dxa"/>
          </w:tcPr>
          <w:p w14:paraId="55D7D3B5" w14:textId="77777777" w:rsidR="00F65ACE" w:rsidRDefault="00F65ACE" w:rsidP="00A303B4">
            <w:pPr>
              <w:jc w:val="center"/>
            </w:pPr>
            <w:r>
              <w:t>2005</w:t>
            </w:r>
          </w:p>
        </w:tc>
        <w:tc>
          <w:tcPr>
            <w:tcW w:w="1771" w:type="dxa"/>
          </w:tcPr>
          <w:p w14:paraId="53E1BAD1" w14:textId="765D75F4" w:rsidR="00F65ACE" w:rsidRDefault="00F65ACE" w:rsidP="00A303B4">
            <w:pPr>
              <w:jc w:val="center"/>
            </w:pPr>
            <w:r>
              <w:t>32</w:t>
            </w:r>
          </w:p>
        </w:tc>
        <w:tc>
          <w:tcPr>
            <w:tcW w:w="1843" w:type="dxa"/>
          </w:tcPr>
          <w:p w14:paraId="5ED77210" w14:textId="23EE29BD" w:rsidR="00F65ACE" w:rsidRDefault="00B92260" w:rsidP="00A303B4">
            <w:pPr>
              <w:jc w:val="center"/>
            </w:pPr>
            <w:r>
              <w:t>33</w:t>
            </w:r>
          </w:p>
        </w:tc>
        <w:tc>
          <w:tcPr>
            <w:tcW w:w="1908" w:type="dxa"/>
          </w:tcPr>
          <w:p w14:paraId="6766F446" w14:textId="6B19FC55" w:rsidR="00F65ACE" w:rsidRDefault="00AC1776" w:rsidP="00A303B4">
            <w:pPr>
              <w:jc w:val="center"/>
            </w:pPr>
            <w:r>
              <w:t>32</w:t>
            </w:r>
          </w:p>
        </w:tc>
        <w:tc>
          <w:tcPr>
            <w:tcW w:w="1584" w:type="dxa"/>
          </w:tcPr>
          <w:p w14:paraId="5F6D487E" w14:textId="29DBCEAD" w:rsidR="00F65ACE" w:rsidRDefault="00924887" w:rsidP="00A303B4">
            <w:pPr>
              <w:jc w:val="center"/>
            </w:pPr>
            <w:r>
              <w:t>35</w:t>
            </w:r>
          </w:p>
        </w:tc>
      </w:tr>
      <w:tr w:rsidR="00F65ACE" w14:paraId="120C05F1" w14:textId="4EB1E198" w:rsidTr="00F65ACE">
        <w:tc>
          <w:tcPr>
            <w:tcW w:w="1910" w:type="dxa"/>
          </w:tcPr>
          <w:p w14:paraId="5338A1F3" w14:textId="77777777" w:rsidR="00F65ACE" w:rsidRDefault="00F65ACE" w:rsidP="00A303B4">
            <w:pPr>
              <w:jc w:val="center"/>
            </w:pPr>
            <w:r>
              <w:t>2010</w:t>
            </w:r>
          </w:p>
        </w:tc>
        <w:tc>
          <w:tcPr>
            <w:tcW w:w="1771" w:type="dxa"/>
          </w:tcPr>
          <w:p w14:paraId="3EA9C58A" w14:textId="12B1ED3D" w:rsidR="00F65ACE" w:rsidRDefault="00F65ACE" w:rsidP="00A303B4">
            <w:pPr>
              <w:jc w:val="center"/>
            </w:pPr>
            <w:r>
              <w:t>22</w:t>
            </w:r>
          </w:p>
        </w:tc>
        <w:tc>
          <w:tcPr>
            <w:tcW w:w="1843" w:type="dxa"/>
          </w:tcPr>
          <w:p w14:paraId="22BFCF33" w14:textId="3498A76D" w:rsidR="00F65ACE" w:rsidRDefault="00B92260" w:rsidP="00A303B4">
            <w:pPr>
              <w:jc w:val="center"/>
            </w:pPr>
            <w:r>
              <w:t>25</w:t>
            </w:r>
          </w:p>
        </w:tc>
        <w:tc>
          <w:tcPr>
            <w:tcW w:w="1908" w:type="dxa"/>
          </w:tcPr>
          <w:p w14:paraId="49B78691" w14:textId="0F6C0212" w:rsidR="00F65ACE" w:rsidRDefault="00AC1776" w:rsidP="00A303B4">
            <w:pPr>
              <w:jc w:val="center"/>
            </w:pPr>
            <w:r>
              <w:t>24</w:t>
            </w:r>
          </w:p>
        </w:tc>
        <w:tc>
          <w:tcPr>
            <w:tcW w:w="1584" w:type="dxa"/>
          </w:tcPr>
          <w:p w14:paraId="192855BF" w14:textId="0FDBC2A8" w:rsidR="00F65ACE" w:rsidRDefault="00924887" w:rsidP="00A303B4">
            <w:pPr>
              <w:jc w:val="center"/>
            </w:pPr>
            <w:r>
              <w:t>28</w:t>
            </w:r>
          </w:p>
        </w:tc>
      </w:tr>
      <w:tr w:rsidR="00F65ACE" w14:paraId="1F6FAD0A" w14:textId="6829FFD1" w:rsidTr="00F65ACE">
        <w:tc>
          <w:tcPr>
            <w:tcW w:w="1910" w:type="dxa"/>
          </w:tcPr>
          <w:p w14:paraId="724CBAFA" w14:textId="77777777" w:rsidR="00F65ACE" w:rsidRDefault="00F65ACE" w:rsidP="00A303B4">
            <w:pPr>
              <w:jc w:val="center"/>
            </w:pPr>
            <w:r>
              <w:t>2015</w:t>
            </w:r>
          </w:p>
        </w:tc>
        <w:tc>
          <w:tcPr>
            <w:tcW w:w="1771" w:type="dxa"/>
          </w:tcPr>
          <w:p w14:paraId="04ADED27" w14:textId="749E4DFB" w:rsidR="00F65ACE" w:rsidRDefault="00F65ACE" w:rsidP="00A303B4">
            <w:pPr>
              <w:jc w:val="center"/>
            </w:pPr>
            <w:r>
              <w:t>24</w:t>
            </w:r>
          </w:p>
        </w:tc>
        <w:tc>
          <w:tcPr>
            <w:tcW w:w="1843" w:type="dxa"/>
          </w:tcPr>
          <w:p w14:paraId="2A9B17E0" w14:textId="60AA10F1" w:rsidR="00F65ACE" w:rsidRDefault="00B92260" w:rsidP="00A303B4">
            <w:pPr>
              <w:jc w:val="center"/>
            </w:pPr>
            <w:r>
              <w:t>25</w:t>
            </w:r>
          </w:p>
        </w:tc>
        <w:tc>
          <w:tcPr>
            <w:tcW w:w="1908" w:type="dxa"/>
          </w:tcPr>
          <w:p w14:paraId="028D24FA" w14:textId="0EAEFD17" w:rsidR="00F65ACE" w:rsidRDefault="00AC1776" w:rsidP="00A303B4">
            <w:pPr>
              <w:jc w:val="center"/>
            </w:pPr>
            <w:r>
              <w:t>24</w:t>
            </w:r>
          </w:p>
        </w:tc>
        <w:tc>
          <w:tcPr>
            <w:tcW w:w="1584" w:type="dxa"/>
          </w:tcPr>
          <w:p w14:paraId="2E47EE3C" w14:textId="07F07301" w:rsidR="00F65ACE" w:rsidRDefault="00924887" w:rsidP="00A303B4">
            <w:pPr>
              <w:jc w:val="center"/>
            </w:pPr>
            <w:r>
              <w:t>27</w:t>
            </w:r>
          </w:p>
        </w:tc>
      </w:tr>
    </w:tbl>
    <w:p w14:paraId="2FABEA7E" w14:textId="77777777" w:rsidR="00B92260" w:rsidRDefault="00B92260" w:rsidP="00B92260">
      <w:pPr>
        <w:rPr>
          <w:rFonts w:ascii="Menlo" w:hAnsi="Menlo" w:cs="Menlo"/>
          <w:color w:val="000000"/>
          <w:sz w:val="18"/>
          <w:szCs w:val="18"/>
        </w:rPr>
      </w:pPr>
    </w:p>
    <w:p w14:paraId="3FF3F72E" w14:textId="2E18EFD4" w:rsidR="00C329AF" w:rsidRDefault="00C329AF" w:rsidP="00C329AF">
      <w:pPr>
        <w:jc w:val="both"/>
      </w:pPr>
      <w:r>
        <w:t xml:space="preserve">This pattern was likely due to a group of indicators being reported with a periodicity of 5 years. It was </w:t>
      </w:r>
      <w:proofErr w:type="gramStart"/>
      <w:r>
        <w:t>taken into account</w:t>
      </w:r>
      <w:proofErr w:type="gramEnd"/>
      <w:r>
        <w:t xml:space="preserve"> when splitting the data into train/test subsets</w:t>
      </w:r>
      <w:r w:rsidR="00C03564">
        <w:t xml:space="preserve">, </w:t>
      </w:r>
      <w:r w:rsidR="0046638D">
        <w:t>where</w:t>
      </w:r>
      <w:r w:rsidR="00C03564">
        <w:t xml:space="preserve"> at least one year of low missing data </w:t>
      </w:r>
      <w:r w:rsidR="0046638D">
        <w:t>was</w:t>
      </w:r>
      <w:r w:rsidR="00C03564">
        <w:t xml:space="preserve"> used in the test set</w:t>
      </w:r>
      <w:r>
        <w:t xml:space="preserve"> (see Section 4.241).</w:t>
      </w:r>
    </w:p>
    <w:p w14:paraId="0D5E7189" w14:textId="77777777" w:rsidR="00C329AF" w:rsidRDefault="00C329AF" w:rsidP="00C329AF">
      <w:pPr>
        <w:jc w:val="both"/>
      </w:pPr>
    </w:p>
    <w:p w14:paraId="3BAA9061" w14:textId="6EB6E636" w:rsidR="00C329AF" w:rsidRDefault="006E1F7F" w:rsidP="00C329AF">
      <w:pPr>
        <w:jc w:val="both"/>
      </w:pPr>
      <w:r>
        <w:t>No data imputation was used despite the high level of missing data.</w:t>
      </w:r>
      <w:r w:rsidR="00E72176">
        <w:t xml:space="preserve"> This was done to prevent imputation methods from introducing bias into the dataset, especially given the high level of missing data. </w:t>
      </w:r>
      <w:r w:rsidR="0070089F">
        <w:t xml:space="preserve">More specifically, </w:t>
      </w:r>
      <w:r w:rsidR="003B33EB">
        <w:t>the pattern of</w:t>
      </w:r>
      <w:r w:rsidR="0070089F">
        <w:t xml:space="preserve"> missing data </w:t>
      </w:r>
      <w:r w:rsidR="003B33EB">
        <w:t>in this dataset would typically be categorised as ‘missing not at random’</w:t>
      </w:r>
      <w:r w:rsidR="009C21AD">
        <w:t xml:space="preserve"> (MNAR)</w:t>
      </w:r>
      <w:r w:rsidR="00903882">
        <w:t>. In other words,</w:t>
      </w:r>
      <w:r w:rsidR="00A202D7">
        <w:t xml:space="preserve"> </w:t>
      </w:r>
      <w:r w:rsidR="00C3232D">
        <w:t>the probability of the data being</w:t>
      </w:r>
      <w:r w:rsidR="00A202D7">
        <w:t xml:space="preserve"> </w:t>
      </w:r>
      <w:r w:rsidR="00355737">
        <w:t>missing relies on both the observed and missing data</w:t>
      </w:r>
      <w:r w:rsidR="00FD1EAE">
        <w:t xml:space="preserve">, or on other, unobserved variables </w:t>
      </w:r>
      <w:r w:rsidR="00355737">
        <w:t>[2</w:t>
      </w:r>
      <w:r w:rsidR="00FD1EAE">
        <w:t>, 3</w:t>
      </w:r>
      <w:r w:rsidR="00355737">
        <w:t>].</w:t>
      </w:r>
      <w:r w:rsidR="00FD1EAE">
        <w:t xml:space="preserve"> </w:t>
      </w:r>
      <w:r w:rsidR="009C21AD">
        <w:t xml:space="preserve">This dataset would be considered MNAR because the probability of missing data is heavily related to the robustness of the country’s </w:t>
      </w:r>
      <w:r w:rsidR="00A616E8">
        <w:t>data collection systems</w:t>
      </w:r>
      <w:r w:rsidR="00FF2EB8">
        <w:t xml:space="preserve">, which is an unseen variable. </w:t>
      </w:r>
      <w:r w:rsidR="00FD1EAE">
        <w:t xml:space="preserve">In this case, </w:t>
      </w:r>
      <w:r w:rsidR="00A11D29">
        <w:t xml:space="preserve">it is usually not possible to handle the missing </w:t>
      </w:r>
      <w:r w:rsidR="005A30A4">
        <w:t>data, as such handling would require observation of the unseen data [2].</w:t>
      </w:r>
      <w:r w:rsidR="002C7DD4">
        <w:t xml:space="preserve"> For example, removing all rows and columns with missing data</w:t>
      </w:r>
      <w:r w:rsidR="000839CC">
        <w:t xml:space="preserve"> or imputing the missing values based on the observed datapoints</w:t>
      </w:r>
      <w:r w:rsidR="002C7DD4">
        <w:t xml:space="preserve"> could bias the data towards those countries reporting greater amounts of data</w:t>
      </w:r>
      <w:r w:rsidR="000839CC">
        <w:t xml:space="preserve">. </w:t>
      </w:r>
      <w:r w:rsidR="00C329AF">
        <w:t xml:space="preserve">As a result, I </w:t>
      </w:r>
      <w:r w:rsidR="006F6E1B">
        <w:t>only</w:t>
      </w:r>
      <w:r w:rsidR="00C329AF">
        <w:t xml:space="preserve"> use</w:t>
      </w:r>
      <w:r w:rsidR="006F6E1B">
        <w:t>d</w:t>
      </w:r>
      <w:r w:rsidR="00C329AF">
        <w:t xml:space="preserve"> machine learning models that could work missing data. </w:t>
      </w:r>
    </w:p>
    <w:p w14:paraId="514D3594" w14:textId="77777777" w:rsidR="00C329AF" w:rsidRPr="00C329AF" w:rsidRDefault="00C329AF" w:rsidP="00C329AF"/>
    <w:p w14:paraId="07F002DF" w14:textId="61C0D9FA" w:rsidR="006346C4" w:rsidRDefault="00C329AF" w:rsidP="00F73A22">
      <w:pPr>
        <w:pStyle w:val="Heading3"/>
      </w:pPr>
      <w:r>
        <w:t xml:space="preserve">4.22 Key Statistics </w:t>
      </w:r>
    </w:p>
    <w:p w14:paraId="1DC5A162" w14:textId="0C8FD69B" w:rsidR="004C090A" w:rsidRDefault="001F5DDB" w:rsidP="004C090A">
      <w:pPr>
        <w:jc w:val="both"/>
      </w:pPr>
      <w:r>
        <w:t xml:space="preserve">To give a deeper insight into the feature dataset, I present key summary statistics about some of </w:t>
      </w:r>
      <w:r w:rsidR="004C090A">
        <w:t>the</w:t>
      </w:r>
      <w:r w:rsidR="00BA7D70">
        <w:t xml:space="preserve"> features</w:t>
      </w:r>
      <w:r w:rsidR="004C090A">
        <w:t xml:space="preserve"> that the literature describes as having a meaningful relationship with MMR. </w:t>
      </w:r>
      <w:r w:rsidR="008A2152">
        <w:t>The proportion of missing data was calculated after data cleaning, explaining why the MMR estimates have a proportion of missing data of 0%.</w:t>
      </w:r>
      <w:r w:rsidR="00354400">
        <w:t xml:space="preserve"> Both mean and median were included to give an indication of outlier occurrence in the feature data.</w:t>
      </w:r>
      <w:r w:rsidR="00C47779">
        <w:t xml:space="preserve"> The following discussed was motivated by the results presented in Table 4. </w:t>
      </w:r>
    </w:p>
    <w:p w14:paraId="2B94DB32" w14:textId="77777777" w:rsidR="00BE57F5" w:rsidRDefault="00BE57F5" w:rsidP="004C090A">
      <w:pPr>
        <w:jc w:val="both"/>
      </w:pPr>
    </w:p>
    <w:p w14:paraId="78802980" w14:textId="321EBE61" w:rsidR="00BE57F5" w:rsidRDefault="00BE57F5" w:rsidP="004C090A">
      <w:pPr>
        <w:jc w:val="both"/>
      </w:pPr>
      <w:r>
        <w:t xml:space="preserve">Generally, </w:t>
      </w:r>
      <w:r w:rsidR="0000250B">
        <w:t>health outcomes improved as income level increased, as expected.</w:t>
      </w:r>
      <w:r w:rsidR="00921AB9">
        <w:t xml:space="preserve"> Standard deviation in the outcome</w:t>
      </w:r>
      <w:r w:rsidR="0000250B">
        <w:t xml:space="preserve"> </w:t>
      </w:r>
      <w:r w:rsidR="00921AB9">
        <w:t xml:space="preserve">decreased as income level decreased, indicating a more uniform quality of care. </w:t>
      </w:r>
      <w:r w:rsidR="00C47779">
        <w:t>While many of the important variables have low rates of missing data</w:t>
      </w:r>
      <w:r w:rsidR="00921AB9">
        <w:t xml:space="preserve">, some of the important socio-economic and quality of care </w:t>
      </w:r>
      <w:r w:rsidR="00C47779">
        <w:t xml:space="preserve">features had increasing proportions of missing data as income level increased. </w:t>
      </w:r>
      <w:r w:rsidR="00932410">
        <w:t xml:space="preserve">For example, </w:t>
      </w:r>
      <w:r w:rsidR="0023072B">
        <w:t xml:space="preserve">the </w:t>
      </w:r>
      <w:r w:rsidR="00DF46DC">
        <w:t xml:space="preserve">dataset for the </w:t>
      </w:r>
      <w:r w:rsidR="0023072B">
        <w:t xml:space="preserve">lowest income level countries </w:t>
      </w:r>
      <w:r w:rsidR="00DF46DC">
        <w:t>was</w:t>
      </w:r>
      <w:r w:rsidR="0023072B">
        <w:t xml:space="preserve"> missing 58% of data </w:t>
      </w:r>
      <w:r w:rsidR="00932410">
        <w:t xml:space="preserve">regarding ‘women participating in own health care decisions </w:t>
      </w:r>
      <w:r w:rsidR="00932410">
        <w:lastRenderedPageBreak/>
        <w:t xml:space="preserve">(% of women age 15-49)’ </w:t>
      </w:r>
      <w:r w:rsidR="00DF46DC">
        <w:t xml:space="preserve">while the dataset for the highest income countries was missing 99.9% (see Table 4). This feature was </w:t>
      </w:r>
      <w:r w:rsidR="00845346">
        <w:t>sourced from a Demographic Health Survey</w:t>
      </w:r>
      <w:r w:rsidR="00924149">
        <w:t xml:space="preserve"> (DHS)</w:t>
      </w:r>
      <w:r w:rsidR="00845346">
        <w:t xml:space="preserve">, which is normally collected in lower income countries, explaining the data disparity. This is a good </w:t>
      </w:r>
      <w:r w:rsidR="00924149">
        <w:t>trend to be aware of when analysing feature importance for features measured more frequently using DHS data.</w:t>
      </w:r>
    </w:p>
    <w:p w14:paraId="52C4FF75" w14:textId="77777777" w:rsidR="00D9465C" w:rsidRDefault="00D9465C" w:rsidP="004C090A">
      <w:pPr>
        <w:jc w:val="both"/>
      </w:pPr>
    </w:p>
    <w:p w14:paraId="09111CBD" w14:textId="07853D6E" w:rsidR="009A0297" w:rsidRDefault="00383419" w:rsidP="004C090A">
      <w:pPr>
        <w:jc w:val="both"/>
      </w:pPr>
      <w:r>
        <w:t xml:space="preserve">According to Table 4, the national MMR estimates were </w:t>
      </w:r>
      <w:r w:rsidR="00D01C94">
        <w:t xml:space="preserve">subject to large outliers, as </w:t>
      </w:r>
      <w:r w:rsidR="00E40B97">
        <w:t>the mean values were larger than the median values for all income levels. Additionally, the standard</w:t>
      </w:r>
      <w:r>
        <w:t xml:space="preserve"> </w:t>
      </w:r>
      <w:r w:rsidR="00E40B97">
        <w:t>deviation for the MMR estimates was large. The difference between mean and median, as well as the magnitude of the standard deviation, decreased as income level increased</w:t>
      </w:r>
      <w:r w:rsidR="006A416D">
        <w:t xml:space="preserve">. This indicates that outliers will be more common for lower income countries, as they have a wider variety of possible MMR values than higher income countries.  </w:t>
      </w:r>
    </w:p>
    <w:p w14:paraId="1492DD27" w14:textId="77777777" w:rsidR="00383419" w:rsidRDefault="00383419" w:rsidP="004C090A">
      <w:pPr>
        <w:jc w:val="both"/>
      </w:pPr>
    </w:p>
    <w:p w14:paraId="57308601" w14:textId="352FEA37" w:rsidR="002455CD" w:rsidRDefault="009A0297" w:rsidP="004C090A">
      <w:pPr>
        <w:jc w:val="both"/>
      </w:pPr>
      <w:r w:rsidRPr="009A0297">
        <w:rPr>
          <w:b/>
          <w:bCs/>
        </w:rPr>
        <w:t>Table 4:</w:t>
      </w:r>
      <w:r>
        <w:t xml:space="preserve"> </w:t>
      </w:r>
      <w:r w:rsidR="005A22E0">
        <w:t xml:space="preserve">Mean, median, standard deviation and proportion of missing data </w:t>
      </w:r>
      <w:r w:rsidR="00707184">
        <w:t>of</w:t>
      </w:r>
      <w:r>
        <w:t xml:space="preserve"> </w:t>
      </w:r>
      <w:r w:rsidR="002455CD">
        <w:t xml:space="preserve">features </w:t>
      </w:r>
      <w:r w:rsidR="00944117">
        <w:t>with</w:t>
      </w:r>
      <w:r w:rsidR="002455CD">
        <w:t xml:space="preserve"> a meaningful relationship to MMR.</w:t>
      </w:r>
      <w:r w:rsidR="00707184">
        <w:t xml:space="preserve"> The key summary statistics </w:t>
      </w:r>
      <w:r w:rsidR="00892780">
        <w:t>we</w:t>
      </w:r>
      <w:r w:rsidR="00707184">
        <w:t>re presented per income level.</w:t>
      </w:r>
    </w:p>
    <w:p w14:paraId="1EE611CA" w14:textId="77777777" w:rsidR="002455CD" w:rsidRDefault="002455CD" w:rsidP="004C090A">
      <w:pPr>
        <w:jc w:val="both"/>
      </w:pPr>
    </w:p>
    <w:tbl>
      <w:tblPr>
        <w:tblStyle w:val="TableGrid"/>
        <w:tblW w:w="0" w:type="auto"/>
        <w:tblLook w:val="04A0" w:firstRow="1" w:lastRow="0" w:firstColumn="1" w:lastColumn="0" w:noHBand="0" w:noVBand="1"/>
      </w:tblPr>
      <w:tblGrid>
        <w:gridCol w:w="1743"/>
        <w:gridCol w:w="1228"/>
        <w:gridCol w:w="1145"/>
        <w:gridCol w:w="1376"/>
        <w:gridCol w:w="1523"/>
        <w:gridCol w:w="2001"/>
      </w:tblGrid>
      <w:tr w:rsidR="005A22E0" w14:paraId="4B99966F" w14:textId="77777777" w:rsidTr="009745D5">
        <w:tc>
          <w:tcPr>
            <w:tcW w:w="1743" w:type="dxa"/>
            <w:shd w:val="clear" w:color="auto" w:fill="ADADAD" w:themeFill="background2" w:themeFillShade="BF"/>
          </w:tcPr>
          <w:p w14:paraId="72D5A0C9" w14:textId="3539B66F" w:rsidR="005A22E0" w:rsidRPr="00836916" w:rsidRDefault="005A22E0" w:rsidP="00836916">
            <w:pPr>
              <w:jc w:val="center"/>
              <w:rPr>
                <w:b/>
                <w:bCs/>
              </w:rPr>
            </w:pPr>
            <w:r w:rsidRPr="00836916">
              <w:rPr>
                <w:b/>
                <w:bCs/>
              </w:rPr>
              <w:t>Feature</w:t>
            </w:r>
          </w:p>
        </w:tc>
        <w:tc>
          <w:tcPr>
            <w:tcW w:w="1228" w:type="dxa"/>
            <w:shd w:val="clear" w:color="auto" w:fill="ADADAD" w:themeFill="background2" w:themeFillShade="BF"/>
          </w:tcPr>
          <w:p w14:paraId="00C01AB1" w14:textId="4399AB15" w:rsidR="005A22E0" w:rsidRPr="00836916" w:rsidRDefault="00707184" w:rsidP="00836916">
            <w:pPr>
              <w:jc w:val="center"/>
              <w:rPr>
                <w:b/>
                <w:bCs/>
              </w:rPr>
            </w:pPr>
            <w:r>
              <w:rPr>
                <w:b/>
                <w:bCs/>
              </w:rPr>
              <w:t>Income Level</w:t>
            </w:r>
          </w:p>
        </w:tc>
        <w:tc>
          <w:tcPr>
            <w:tcW w:w="1145" w:type="dxa"/>
            <w:shd w:val="clear" w:color="auto" w:fill="ADADAD" w:themeFill="background2" w:themeFillShade="BF"/>
          </w:tcPr>
          <w:p w14:paraId="0886448C" w14:textId="30B0913A" w:rsidR="005A22E0" w:rsidRPr="00836916" w:rsidRDefault="005A22E0" w:rsidP="00836916">
            <w:pPr>
              <w:jc w:val="center"/>
              <w:rPr>
                <w:b/>
                <w:bCs/>
              </w:rPr>
            </w:pPr>
            <w:r w:rsidRPr="00836916">
              <w:rPr>
                <w:b/>
                <w:bCs/>
              </w:rPr>
              <w:t>Mean</w:t>
            </w:r>
          </w:p>
        </w:tc>
        <w:tc>
          <w:tcPr>
            <w:tcW w:w="1376" w:type="dxa"/>
            <w:shd w:val="clear" w:color="auto" w:fill="ADADAD" w:themeFill="background2" w:themeFillShade="BF"/>
          </w:tcPr>
          <w:p w14:paraId="22005633" w14:textId="09914054" w:rsidR="005A22E0" w:rsidRPr="00836916" w:rsidRDefault="005A22E0" w:rsidP="00836916">
            <w:pPr>
              <w:jc w:val="center"/>
              <w:rPr>
                <w:b/>
                <w:bCs/>
              </w:rPr>
            </w:pPr>
            <w:r w:rsidRPr="00836916">
              <w:rPr>
                <w:b/>
                <w:bCs/>
              </w:rPr>
              <w:t>Median</w:t>
            </w:r>
          </w:p>
        </w:tc>
        <w:tc>
          <w:tcPr>
            <w:tcW w:w="1523" w:type="dxa"/>
            <w:shd w:val="clear" w:color="auto" w:fill="ADADAD" w:themeFill="background2" w:themeFillShade="BF"/>
          </w:tcPr>
          <w:p w14:paraId="01F7A3DE" w14:textId="0FFA4054" w:rsidR="005A22E0" w:rsidRPr="00836916" w:rsidRDefault="005A22E0" w:rsidP="00836916">
            <w:pPr>
              <w:jc w:val="center"/>
              <w:rPr>
                <w:b/>
                <w:bCs/>
              </w:rPr>
            </w:pPr>
            <w:r w:rsidRPr="00836916">
              <w:rPr>
                <w:b/>
                <w:bCs/>
              </w:rPr>
              <w:t>Standard Deviation</w:t>
            </w:r>
          </w:p>
        </w:tc>
        <w:tc>
          <w:tcPr>
            <w:tcW w:w="2001" w:type="dxa"/>
            <w:shd w:val="clear" w:color="auto" w:fill="ADADAD" w:themeFill="background2" w:themeFillShade="BF"/>
          </w:tcPr>
          <w:p w14:paraId="14563E1D" w14:textId="700EB83C" w:rsidR="005A22E0" w:rsidRPr="00836916" w:rsidRDefault="005A22E0" w:rsidP="00836916">
            <w:pPr>
              <w:jc w:val="center"/>
              <w:rPr>
                <w:b/>
                <w:bCs/>
              </w:rPr>
            </w:pPr>
            <w:r w:rsidRPr="00836916">
              <w:rPr>
                <w:b/>
                <w:bCs/>
              </w:rPr>
              <w:t>Proportion of Missing Data</w:t>
            </w:r>
            <w:r w:rsidR="008A2152">
              <w:rPr>
                <w:b/>
                <w:bCs/>
              </w:rPr>
              <w:t xml:space="preserve"> (%)</w:t>
            </w:r>
          </w:p>
        </w:tc>
      </w:tr>
      <w:tr w:rsidR="00707184" w14:paraId="446E3FEE" w14:textId="77777777" w:rsidTr="009745D5">
        <w:tc>
          <w:tcPr>
            <w:tcW w:w="1743" w:type="dxa"/>
            <w:vMerge w:val="restart"/>
            <w:shd w:val="clear" w:color="auto" w:fill="FFFFFF" w:themeFill="background1"/>
          </w:tcPr>
          <w:p w14:paraId="5E2CFE22" w14:textId="1CB79DED" w:rsidR="00707184" w:rsidRDefault="00707184" w:rsidP="00836916">
            <w:pPr>
              <w:jc w:val="center"/>
            </w:pPr>
            <w:r>
              <w:t xml:space="preserve">WHO national MMR estimate </w:t>
            </w:r>
          </w:p>
        </w:tc>
        <w:tc>
          <w:tcPr>
            <w:tcW w:w="1228" w:type="dxa"/>
            <w:shd w:val="clear" w:color="auto" w:fill="FFFFFF" w:themeFill="background1"/>
          </w:tcPr>
          <w:p w14:paraId="4610653A" w14:textId="6D5CF341" w:rsidR="00707184" w:rsidRDefault="00707184" w:rsidP="00836916">
            <w:pPr>
              <w:jc w:val="center"/>
            </w:pPr>
            <w:r>
              <w:t>Low</w:t>
            </w:r>
          </w:p>
        </w:tc>
        <w:tc>
          <w:tcPr>
            <w:tcW w:w="1145" w:type="dxa"/>
            <w:shd w:val="clear" w:color="auto" w:fill="FFFFFF" w:themeFill="background1"/>
          </w:tcPr>
          <w:p w14:paraId="7F1E4812" w14:textId="0065378A" w:rsidR="00707184" w:rsidRDefault="00707184" w:rsidP="00836916">
            <w:pPr>
              <w:jc w:val="center"/>
            </w:pPr>
            <w:r>
              <w:t>657</w:t>
            </w:r>
          </w:p>
        </w:tc>
        <w:tc>
          <w:tcPr>
            <w:tcW w:w="1376" w:type="dxa"/>
            <w:shd w:val="clear" w:color="auto" w:fill="FFFFFF" w:themeFill="background1"/>
          </w:tcPr>
          <w:p w14:paraId="47BFE60E" w14:textId="6FDE162D" w:rsidR="00707184" w:rsidRDefault="00707184" w:rsidP="00836916">
            <w:pPr>
              <w:jc w:val="center"/>
            </w:pPr>
            <w:r>
              <w:t>617</w:t>
            </w:r>
          </w:p>
        </w:tc>
        <w:tc>
          <w:tcPr>
            <w:tcW w:w="1523" w:type="dxa"/>
            <w:shd w:val="clear" w:color="auto" w:fill="FFFFFF" w:themeFill="background1"/>
          </w:tcPr>
          <w:p w14:paraId="27E9892B" w14:textId="00BA8FB2" w:rsidR="00707184" w:rsidRDefault="00621E7A" w:rsidP="00836916">
            <w:pPr>
              <w:jc w:val="center"/>
            </w:pPr>
            <w:r>
              <w:t>453</w:t>
            </w:r>
          </w:p>
        </w:tc>
        <w:tc>
          <w:tcPr>
            <w:tcW w:w="2001" w:type="dxa"/>
            <w:shd w:val="clear" w:color="auto" w:fill="FFFFFF" w:themeFill="background1"/>
          </w:tcPr>
          <w:p w14:paraId="4540078B" w14:textId="7FBED552" w:rsidR="00707184" w:rsidRDefault="008A2152" w:rsidP="00836916">
            <w:pPr>
              <w:jc w:val="center"/>
            </w:pPr>
            <w:r>
              <w:t>0</w:t>
            </w:r>
          </w:p>
        </w:tc>
      </w:tr>
      <w:tr w:rsidR="00707184" w14:paraId="09FC8F3D" w14:textId="77777777" w:rsidTr="009745D5">
        <w:tc>
          <w:tcPr>
            <w:tcW w:w="1743" w:type="dxa"/>
            <w:vMerge/>
            <w:shd w:val="clear" w:color="auto" w:fill="FFFFFF" w:themeFill="background1"/>
          </w:tcPr>
          <w:p w14:paraId="54975E88" w14:textId="77777777" w:rsidR="00707184" w:rsidRDefault="00707184" w:rsidP="00836916">
            <w:pPr>
              <w:jc w:val="center"/>
            </w:pPr>
          </w:p>
        </w:tc>
        <w:tc>
          <w:tcPr>
            <w:tcW w:w="1228" w:type="dxa"/>
            <w:shd w:val="clear" w:color="auto" w:fill="FFFFFF" w:themeFill="background1"/>
          </w:tcPr>
          <w:p w14:paraId="1982D880" w14:textId="06C672F9" w:rsidR="00707184" w:rsidRDefault="00707184" w:rsidP="00836916">
            <w:pPr>
              <w:jc w:val="center"/>
            </w:pPr>
            <w:r>
              <w:t>Upper middle</w:t>
            </w:r>
          </w:p>
        </w:tc>
        <w:tc>
          <w:tcPr>
            <w:tcW w:w="1145" w:type="dxa"/>
            <w:shd w:val="clear" w:color="auto" w:fill="FFFFFF" w:themeFill="background1"/>
          </w:tcPr>
          <w:p w14:paraId="4E1275C6" w14:textId="301A56EC" w:rsidR="00707184" w:rsidRDefault="00354400" w:rsidP="00836916">
            <w:pPr>
              <w:jc w:val="center"/>
            </w:pPr>
            <w:r>
              <w:t>197</w:t>
            </w:r>
          </w:p>
        </w:tc>
        <w:tc>
          <w:tcPr>
            <w:tcW w:w="1376" w:type="dxa"/>
            <w:shd w:val="clear" w:color="auto" w:fill="FFFFFF" w:themeFill="background1"/>
          </w:tcPr>
          <w:p w14:paraId="353D1C20" w14:textId="68CAC916" w:rsidR="00707184" w:rsidRDefault="00621E7A" w:rsidP="00836916">
            <w:pPr>
              <w:jc w:val="center"/>
            </w:pPr>
            <w:r>
              <w:t>55</w:t>
            </w:r>
          </w:p>
        </w:tc>
        <w:tc>
          <w:tcPr>
            <w:tcW w:w="1523" w:type="dxa"/>
            <w:shd w:val="clear" w:color="auto" w:fill="FFFFFF" w:themeFill="background1"/>
          </w:tcPr>
          <w:p w14:paraId="046CC062" w14:textId="298B49C4" w:rsidR="00707184" w:rsidRDefault="00621E7A" w:rsidP="00836916">
            <w:pPr>
              <w:jc w:val="center"/>
            </w:pPr>
            <w:r>
              <w:t>260</w:t>
            </w:r>
          </w:p>
        </w:tc>
        <w:tc>
          <w:tcPr>
            <w:tcW w:w="2001" w:type="dxa"/>
            <w:shd w:val="clear" w:color="auto" w:fill="FFFFFF" w:themeFill="background1"/>
          </w:tcPr>
          <w:p w14:paraId="5B1D3163" w14:textId="570AB0D6" w:rsidR="00707184" w:rsidRDefault="008A2152" w:rsidP="00836916">
            <w:pPr>
              <w:jc w:val="center"/>
            </w:pPr>
            <w:r>
              <w:t>0</w:t>
            </w:r>
          </w:p>
        </w:tc>
      </w:tr>
      <w:tr w:rsidR="00707184" w14:paraId="0FDC1E3C" w14:textId="77777777" w:rsidTr="009745D5">
        <w:tc>
          <w:tcPr>
            <w:tcW w:w="1743" w:type="dxa"/>
            <w:vMerge/>
            <w:shd w:val="clear" w:color="auto" w:fill="FFFFFF" w:themeFill="background1"/>
          </w:tcPr>
          <w:p w14:paraId="390FDCB2" w14:textId="77777777" w:rsidR="00707184" w:rsidRDefault="00707184" w:rsidP="00836916">
            <w:pPr>
              <w:jc w:val="center"/>
            </w:pPr>
          </w:p>
        </w:tc>
        <w:tc>
          <w:tcPr>
            <w:tcW w:w="1228" w:type="dxa"/>
            <w:shd w:val="clear" w:color="auto" w:fill="FFFFFF" w:themeFill="background1"/>
          </w:tcPr>
          <w:p w14:paraId="23FFFB04" w14:textId="399D57A8" w:rsidR="00707184" w:rsidRDefault="00707184" w:rsidP="00836916">
            <w:pPr>
              <w:jc w:val="center"/>
            </w:pPr>
            <w:r>
              <w:t>Lower middle</w:t>
            </w:r>
          </w:p>
        </w:tc>
        <w:tc>
          <w:tcPr>
            <w:tcW w:w="1145" w:type="dxa"/>
            <w:shd w:val="clear" w:color="auto" w:fill="FFFFFF" w:themeFill="background1"/>
          </w:tcPr>
          <w:p w14:paraId="309261B8" w14:textId="02220F6B" w:rsidR="00707184" w:rsidRDefault="00354400" w:rsidP="00836916">
            <w:pPr>
              <w:jc w:val="center"/>
            </w:pPr>
            <w:r>
              <w:t>51</w:t>
            </w:r>
          </w:p>
        </w:tc>
        <w:tc>
          <w:tcPr>
            <w:tcW w:w="1376" w:type="dxa"/>
            <w:shd w:val="clear" w:color="auto" w:fill="FFFFFF" w:themeFill="background1"/>
          </w:tcPr>
          <w:p w14:paraId="7ABBAD80" w14:textId="4F5DA2EA" w:rsidR="00707184" w:rsidRDefault="00621E7A" w:rsidP="00836916">
            <w:pPr>
              <w:jc w:val="center"/>
            </w:pPr>
            <w:r>
              <w:t>38</w:t>
            </w:r>
          </w:p>
        </w:tc>
        <w:tc>
          <w:tcPr>
            <w:tcW w:w="1523" w:type="dxa"/>
            <w:shd w:val="clear" w:color="auto" w:fill="FFFFFF" w:themeFill="background1"/>
          </w:tcPr>
          <w:p w14:paraId="0CFC09A7" w14:textId="256D7C94" w:rsidR="00707184" w:rsidRDefault="00621E7A" w:rsidP="00836916">
            <w:pPr>
              <w:jc w:val="center"/>
            </w:pPr>
            <w:r>
              <w:t>55</w:t>
            </w:r>
          </w:p>
        </w:tc>
        <w:tc>
          <w:tcPr>
            <w:tcW w:w="2001" w:type="dxa"/>
            <w:shd w:val="clear" w:color="auto" w:fill="FFFFFF" w:themeFill="background1"/>
          </w:tcPr>
          <w:p w14:paraId="3C0B12C7" w14:textId="502ED9EF" w:rsidR="00707184" w:rsidRDefault="008A2152" w:rsidP="00836916">
            <w:pPr>
              <w:jc w:val="center"/>
            </w:pPr>
            <w:r>
              <w:t>0</w:t>
            </w:r>
          </w:p>
        </w:tc>
      </w:tr>
      <w:tr w:rsidR="00707184" w14:paraId="7ED64C81" w14:textId="77777777" w:rsidTr="009745D5">
        <w:tc>
          <w:tcPr>
            <w:tcW w:w="1743" w:type="dxa"/>
            <w:vMerge/>
            <w:shd w:val="clear" w:color="auto" w:fill="FFFFFF" w:themeFill="background1"/>
          </w:tcPr>
          <w:p w14:paraId="0A809148" w14:textId="77777777" w:rsidR="00707184" w:rsidRDefault="00707184" w:rsidP="00836916">
            <w:pPr>
              <w:jc w:val="center"/>
            </w:pPr>
          </w:p>
        </w:tc>
        <w:tc>
          <w:tcPr>
            <w:tcW w:w="1228" w:type="dxa"/>
            <w:shd w:val="clear" w:color="auto" w:fill="FFFFFF" w:themeFill="background1"/>
          </w:tcPr>
          <w:p w14:paraId="0624E531" w14:textId="03B98F27" w:rsidR="00707184" w:rsidRDefault="00707184" w:rsidP="00836916">
            <w:pPr>
              <w:jc w:val="center"/>
            </w:pPr>
            <w:r>
              <w:t>High</w:t>
            </w:r>
          </w:p>
        </w:tc>
        <w:tc>
          <w:tcPr>
            <w:tcW w:w="1145" w:type="dxa"/>
            <w:shd w:val="clear" w:color="auto" w:fill="FFFFFF" w:themeFill="background1"/>
          </w:tcPr>
          <w:p w14:paraId="01523474" w14:textId="399F8DE3" w:rsidR="00707184" w:rsidRDefault="00354400" w:rsidP="00836916">
            <w:pPr>
              <w:jc w:val="center"/>
            </w:pPr>
            <w:r>
              <w:t>15</w:t>
            </w:r>
          </w:p>
        </w:tc>
        <w:tc>
          <w:tcPr>
            <w:tcW w:w="1376" w:type="dxa"/>
            <w:shd w:val="clear" w:color="auto" w:fill="FFFFFF" w:themeFill="background1"/>
          </w:tcPr>
          <w:p w14:paraId="49B2E995" w14:textId="563FC645" w:rsidR="00707184" w:rsidRDefault="00621E7A" w:rsidP="00836916">
            <w:pPr>
              <w:jc w:val="center"/>
            </w:pPr>
            <w:r>
              <w:t>8</w:t>
            </w:r>
          </w:p>
        </w:tc>
        <w:tc>
          <w:tcPr>
            <w:tcW w:w="1523" w:type="dxa"/>
            <w:shd w:val="clear" w:color="auto" w:fill="FFFFFF" w:themeFill="background1"/>
          </w:tcPr>
          <w:p w14:paraId="6FB7CFBF" w14:textId="6378A95A" w:rsidR="00707184" w:rsidRDefault="00621E7A" w:rsidP="00836916">
            <w:pPr>
              <w:jc w:val="center"/>
            </w:pPr>
            <w:r>
              <w:t>21</w:t>
            </w:r>
          </w:p>
        </w:tc>
        <w:tc>
          <w:tcPr>
            <w:tcW w:w="2001" w:type="dxa"/>
            <w:shd w:val="clear" w:color="auto" w:fill="FFFFFF" w:themeFill="background1"/>
          </w:tcPr>
          <w:p w14:paraId="79A9B6CA" w14:textId="1C2F0928" w:rsidR="00707184" w:rsidRDefault="008A2152" w:rsidP="00836916">
            <w:pPr>
              <w:jc w:val="center"/>
            </w:pPr>
            <w:r>
              <w:t>0</w:t>
            </w:r>
          </w:p>
        </w:tc>
      </w:tr>
      <w:tr w:rsidR="0034115F" w14:paraId="41F6DCCD" w14:textId="77777777" w:rsidTr="003D77E6">
        <w:tc>
          <w:tcPr>
            <w:tcW w:w="1743" w:type="dxa"/>
            <w:vMerge w:val="restart"/>
            <w:shd w:val="clear" w:color="auto" w:fill="D1D1D1" w:themeFill="background2" w:themeFillShade="E6"/>
          </w:tcPr>
          <w:p w14:paraId="7E41EB11" w14:textId="4D536845" w:rsidR="0034115F" w:rsidRDefault="00A81650" w:rsidP="00707184">
            <w:pPr>
              <w:jc w:val="center"/>
            </w:pPr>
            <w:r>
              <w:t>Infant mortality rate (per 1,000 live births)</w:t>
            </w:r>
          </w:p>
        </w:tc>
        <w:tc>
          <w:tcPr>
            <w:tcW w:w="1228" w:type="dxa"/>
            <w:shd w:val="clear" w:color="auto" w:fill="D1D1D1" w:themeFill="background2" w:themeFillShade="E6"/>
          </w:tcPr>
          <w:p w14:paraId="45FA53F9" w14:textId="27E8842F" w:rsidR="0034115F" w:rsidRDefault="0034115F" w:rsidP="00707184">
            <w:pPr>
              <w:jc w:val="center"/>
            </w:pPr>
            <w:r>
              <w:t>Low</w:t>
            </w:r>
          </w:p>
        </w:tc>
        <w:tc>
          <w:tcPr>
            <w:tcW w:w="1145" w:type="dxa"/>
            <w:shd w:val="clear" w:color="auto" w:fill="D1D1D1" w:themeFill="background2" w:themeFillShade="E6"/>
          </w:tcPr>
          <w:p w14:paraId="41E3F545" w14:textId="1BA1B025" w:rsidR="0034115F" w:rsidRDefault="002F0018" w:rsidP="00707184">
            <w:pPr>
              <w:jc w:val="center"/>
            </w:pPr>
            <w:r>
              <w:t>63</w:t>
            </w:r>
          </w:p>
        </w:tc>
        <w:tc>
          <w:tcPr>
            <w:tcW w:w="1376" w:type="dxa"/>
            <w:shd w:val="clear" w:color="auto" w:fill="D1D1D1" w:themeFill="background2" w:themeFillShade="E6"/>
          </w:tcPr>
          <w:p w14:paraId="614528EA" w14:textId="06EA0301" w:rsidR="0034115F" w:rsidRDefault="002F0018" w:rsidP="00707184">
            <w:pPr>
              <w:jc w:val="center"/>
            </w:pPr>
            <w:r>
              <w:t>65</w:t>
            </w:r>
          </w:p>
        </w:tc>
        <w:tc>
          <w:tcPr>
            <w:tcW w:w="1523" w:type="dxa"/>
            <w:shd w:val="clear" w:color="auto" w:fill="D1D1D1" w:themeFill="background2" w:themeFillShade="E6"/>
          </w:tcPr>
          <w:p w14:paraId="353F7279" w14:textId="3065FBC0" w:rsidR="0034115F" w:rsidRDefault="002F0018" w:rsidP="00707184">
            <w:pPr>
              <w:jc w:val="center"/>
            </w:pPr>
            <w:r>
              <w:t>29</w:t>
            </w:r>
          </w:p>
        </w:tc>
        <w:tc>
          <w:tcPr>
            <w:tcW w:w="2001" w:type="dxa"/>
            <w:shd w:val="clear" w:color="auto" w:fill="D1D1D1" w:themeFill="background2" w:themeFillShade="E6"/>
          </w:tcPr>
          <w:p w14:paraId="5E176126" w14:textId="1FD7046A" w:rsidR="0034115F" w:rsidRDefault="00D905B7" w:rsidP="00707184">
            <w:pPr>
              <w:jc w:val="center"/>
            </w:pPr>
            <w:r>
              <w:t>0</w:t>
            </w:r>
          </w:p>
        </w:tc>
      </w:tr>
      <w:tr w:rsidR="0034115F" w14:paraId="2E7999E9" w14:textId="77777777" w:rsidTr="003D77E6">
        <w:tc>
          <w:tcPr>
            <w:tcW w:w="1743" w:type="dxa"/>
            <w:vMerge/>
            <w:shd w:val="clear" w:color="auto" w:fill="D1D1D1" w:themeFill="background2" w:themeFillShade="E6"/>
          </w:tcPr>
          <w:p w14:paraId="368170D3" w14:textId="77777777" w:rsidR="0034115F" w:rsidRDefault="0034115F" w:rsidP="00707184">
            <w:pPr>
              <w:jc w:val="center"/>
            </w:pPr>
          </w:p>
        </w:tc>
        <w:tc>
          <w:tcPr>
            <w:tcW w:w="1228" w:type="dxa"/>
            <w:shd w:val="clear" w:color="auto" w:fill="D1D1D1" w:themeFill="background2" w:themeFillShade="E6"/>
          </w:tcPr>
          <w:p w14:paraId="4864134D" w14:textId="1E23DA44" w:rsidR="0034115F" w:rsidRDefault="0034115F" w:rsidP="00707184">
            <w:pPr>
              <w:jc w:val="center"/>
            </w:pPr>
            <w:r>
              <w:t>Upper middle</w:t>
            </w:r>
          </w:p>
        </w:tc>
        <w:tc>
          <w:tcPr>
            <w:tcW w:w="1145" w:type="dxa"/>
            <w:shd w:val="clear" w:color="auto" w:fill="D1D1D1" w:themeFill="background2" w:themeFillShade="E6"/>
          </w:tcPr>
          <w:p w14:paraId="1ED22C04" w14:textId="087FECAF" w:rsidR="0034115F" w:rsidRDefault="002F0018" w:rsidP="00707184">
            <w:pPr>
              <w:jc w:val="center"/>
            </w:pPr>
            <w:r>
              <w:t>43</w:t>
            </w:r>
          </w:p>
        </w:tc>
        <w:tc>
          <w:tcPr>
            <w:tcW w:w="1376" w:type="dxa"/>
            <w:shd w:val="clear" w:color="auto" w:fill="D1D1D1" w:themeFill="background2" w:themeFillShade="E6"/>
          </w:tcPr>
          <w:p w14:paraId="7FEF555D" w14:textId="439455B6" w:rsidR="0034115F" w:rsidRDefault="002F0018" w:rsidP="00707184">
            <w:pPr>
              <w:jc w:val="center"/>
            </w:pPr>
            <w:r>
              <w:t>39</w:t>
            </w:r>
          </w:p>
        </w:tc>
        <w:tc>
          <w:tcPr>
            <w:tcW w:w="1523" w:type="dxa"/>
            <w:shd w:val="clear" w:color="auto" w:fill="D1D1D1" w:themeFill="background2" w:themeFillShade="E6"/>
          </w:tcPr>
          <w:p w14:paraId="1BAACEAB" w14:textId="35A20F83" w:rsidR="0034115F" w:rsidRDefault="002F0018" w:rsidP="00707184">
            <w:pPr>
              <w:jc w:val="center"/>
            </w:pPr>
            <w:r>
              <w:t>23</w:t>
            </w:r>
          </w:p>
        </w:tc>
        <w:tc>
          <w:tcPr>
            <w:tcW w:w="2001" w:type="dxa"/>
            <w:shd w:val="clear" w:color="auto" w:fill="D1D1D1" w:themeFill="background2" w:themeFillShade="E6"/>
          </w:tcPr>
          <w:p w14:paraId="02C72F98" w14:textId="16D11A65" w:rsidR="0034115F" w:rsidRDefault="00D905B7" w:rsidP="00707184">
            <w:pPr>
              <w:jc w:val="center"/>
            </w:pPr>
            <w:r>
              <w:t>0</w:t>
            </w:r>
          </w:p>
        </w:tc>
      </w:tr>
      <w:tr w:rsidR="0034115F" w14:paraId="3F67FDF5" w14:textId="77777777" w:rsidTr="003D77E6">
        <w:tc>
          <w:tcPr>
            <w:tcW w:w="1743" w:type="dxa"/>
            <w:vMerge/>
            <w:shd w:val="clear" w:color="auto" w:fill="D1D1D1" w:themeFill="background2" w:themeFillShade="E6"/>
          </w:tcPr>
          <w:p w14:paraId="0A124243" w14:textId="77777777" w:rsidR="0034115F" w:rsidRDefault="0034115F" w:rsidP="00707184">
            <w:pPr>
              <w:jc w:val="center"/>
            </w:pPr>
          </w:p>
        </w:tc>
        <w:tc>
          <w:tcPr>
            <w:tcW w:w="1228" w:type="dxa"/>
            <w:shd w:val="clear" w:color="auto" w:fill="D1D1D1" w:themeFill="background2" w:themeFillShade="E6"/>
          </w:tcPr>
          <w:p w14:paraId="37EF5A41" w14:textId="6079185A" w:rsidR="0034115F" w:rsidRDefault="0034115F" w:rsidP="00707184">
            <w:pPr>
              <w:jc w:val="center"/>
            </w:pPr>
            <w:r>
              <w:t>Lower middle</w:t>
            </w:r>
          </w:p>
        </w:tc>
        <w:tc>
          <w:tcPr>
            <w:tcW w:w="1145" w:type="dxa"/>
            <w:shd w:val="clear" w:color="auto" w:fill="D1D1D1" w:themeFill="background2" w:themeFillShade="E6"/>
          </w:tcPr>
          <w:p w14:paraId="7984BACF" w14:textId="6F863AFB" w:rsidR="0034115F" w:rsidRDefault="002F0018" w:rsidP="00707184">
            <w:pPr>
              <w:jc w:val="center"/>
            </w:pPr>
            <w:r>
              <w:t>24</w:t>
            </w:r>
          </w:p>
        </w:tc>
        <w:tc>
          <w:tcPr>
            <w:tcW w:w="1376" w:type="dxa"/>
            <w:shd w:val="clear" w:color="auto" w:fill="D1D1D1" w:themeFill="background2" w:themeFillShade="E6"/>
          </w:tcPr>
          <w:p w14:paraId="73FF996C" w14:textId="6BB03C00" w:rsidR="0034115F" w:rsidRDefault="002F0018" w:rsidP="00707184">
            <w:pPr>
              <w:jc w:val="center"/>
            </w:pPr>
            <w:r>
              <w:t>19</w:t>
            </w:r>
          </w:p>
        </w:tc>
        <w:tc>
          <w:tcPr>
            <w:tcW w:w="1523" w:type="dxa"/>
            <w:shd w:val="clear" w:color="auto" w:fill="D1D1D1" w:themeFill="background2" w:themeFillShade="E6"/>
          </w:tcPr>
          <w:p w14:paraId="2FADB899" w14:textId="3946519A" w:rsidR="0034115F" w:rsidRDefault="002F0018" w:rsidP="00707184">
            <w:pPr>
              <w:jc w:val="center"/>
            </w:pPr>
            <w:r>
              <w:t>15</w:t>
            </w:r>
          </w:p>
        </w:tc>
        <w:tc>
          <w:tcPr>
            <w:tcW w:w="2001" w:type="dxa"/>
            <w:shd w:val="clear" w:color="auto" w:fill="D1D1D1" w:themeFill="background2" w:themeFillShade="E6"/>
          </w:tcPr>
          <w:p w14:paraId="368FA2DE" w14:textId="6EEE5DE5" w:rsidR="0034115F" w:rsidRDefault="00D905B7" w:rsidP="00707184">
            <w:pPr>
              <w:jc w:val="center"/>
            </w:pPr>
            <w:r>
              <w:t>0</w:t>
            </w:r>
          </w:p>
        </w:tc>
      </w:tr>
      <w:tr w:rsidR="0034115F" w14:paraId="0844C3AE" w14:textId="77777777" w:rsidTr="003D77E6">
        <w:tc>
          <w:tcPr>
            <w:tcW w:w="1743" w:type="dxa"/>
            <w:vMerge/>
            <w:shd w:val="clear" w:color="auto" w:fill="D1D1D1" w:themeFill="background2" w:themeFillShade="E6"/>
          </w:tcPr>
          <w:p w14:paraId="76D39F8F" w14:textId="77777777" w:rsidR="0034115F" w:rsidRDefault="0034115F" w:rsidP="00707184">
            <w:pPr>
              <w:jc w:val="center"/>
            </w:pPr>
          </w:p>
        </w:tc>
        <w:tc>
          <w:tcPr>
            <w:tcW w:w="1228" w:type="dxa"/>
            <w:shd w:val="clear" w:color="auto" w:fill="D1D1D1" w:themeFill="background2" w:themeFillShade="E6"/>
          </w:tcPr>
          <w:p w14:paraId="2F9D1C2C" w14:textId="20A810A2" w:rsidR="0034115F" w:rsidRDefault="0034115F" w:rsidP="00707184">
            <w:pPr>
              <w:jc w:val="center"/>
            </w:pPr>
            <w:r>
              <w:t>High</w:t>
            </w:r>
          </w:p>
        </w:tc>
        <w:tc>
          <w:tcPr>
            <w:tcW w:w="1145" w:type="dxa"/>
            <w:shd w:val="clear" w:color="auto" w:fill="D1D1D1" w:themeFill="background2" w:themeFillShade="E6"/>
          </w:tcPr>
          <w:p w14:paraId="394E9B20" w14:textId="0B919FF4" w:rsidR="0034115F" w:rsidRDefault="002F0018" w:rsidP="00707184">
            <w:pPr>
              <w:jc w:val="center"/>
            </w:pPr>
            <w:r>
              <w:t>9</w:t>
            </w:r>
          </w:p>
        </w:tc>
        <w:tc>
          <w:tcPr>
            <w:tcW w:w="1376" w:type="dxa"/>
            <w:shd w:val="clear" w:color="auto" w:fill="D1D1D1" w:themeFill="background2" w:themeFillShade="E6"/>
          </w:tcPr>
          <w:p w14:paraId="17A1FDFC" w14:textId="62FAB785" w:rsidR="0034115F" w:rsidRDefault="002F0018" w:rsidP="00707184">
            <w:pPr>
              <w:jc w:val="center"/>
            </w:pPr>
            <w:r>
              <w:t>7</w:t>
            </w:r>
          </w:p>
        </w:tc>
        <w:tc>
          <w:tcPr>
            <w:tcW w:w="1523" w:type="dxa"/>
            <w:shd w:val="clear" w:color="auto" w:fill="D1D1D1" w:themeFill="background2" w:themeFillShade="E6"/>
          </w:tcPr>
          <w:p w14:paraId="3C995A7A" w14:textId="6A4979EA" w:rsidR="0034115F" w:rsidRDefault="00D905B7" w:rsidP="00707184">
            <w:pPr>
              <w:jc w:val="center"/>
            </w:pPr>
            <w:r>
              <w:t>7</w:t>
            </w:r>
          </w:p>
        </w:tc>
        <w:tc>
          <w:tcPr>
            <w:tcW w:w="2001" w:type="dxa"/>
            <w:shd w:val="clear" w:color="auto" w:fill="D1D1D1" w:themeFill="background2" w:themeFillShade="E6"/>
          </w:tcPr>
          <w:p w14:paraId="6230E16B" w14:textId="651A173E" w:rsidR="0034115F" w:rsidRDefault="00D905B7" w:rsidP="00707184">
            <w:pPr>
              <w:jc w:val="center"/>
            </w:pPr>
            <w:r>
              <w:t>2</w:t>
            </w:r>
          </w:p>
        </w:tc>
      </w:tr>
      <w:tr w:rsidR="00EB00E6" w14:paraId="2BA4A656" w14:textId="77777777" w:rsidTr="009745D5">
        <w:tc>
          <w:tcPr>
            <w:tcW w:w="1743" w:type="dxa"/>
            <w:vMerge w:val="restart"/>
          </w:tcPr>
          <w:p w14:paraId="3EB0B718" w14:textId="0FA97FC6" w:rsidR="00EB00E6" w:rsidRDefault="00EB00E6" w:rsidP="00707184">
            <w:pPr>
              <w:jc w:val="center"/>
            </w:pPr>
            <w:r>
              <w:t>Pregnant women receiving prenatal care (%)</w:t>
            </w:r>
          </w:p>
        </w:tc>
        <w:tc>
          <w:tcPr>
            <w:tcW w:w="1228" w:type="dxa"/>
          </w:tcPr>
          <w:p w14:paraId="1C6CEF35" w14:textId="4A879C5D" w:rsidR="00EB00E6" w:rsidRDefault="00EB00E6" w:rsidP="00707184">
            <w:pPr>
              <w:jc w:val="center"/>
            </w:pPr>
            <w:r>
              <w:t>Low</w:t>
            </w:r>
          </w:p>
        </w:tc>
        <w:tc>
          <w:tcPr>
            <w:tcW w:w="1145" w:type="dxa"/>
          </w:tcPr>
          <w:p w14:paraId="1A2195C7" w14:textId="6F4BFA7B" w:rsidR="00EB00E6" w:rsidRDefault="00E33339" w:rsidP="00707184">
            <w:pPr>
              <w:jc w:val="center"/>
            </w:pPr>
            <w:r>
              <w:t>74</w:t>
            </w:r>
          </w:p>
        </w:tc>
        <w:tc>
          <w:tcPr>
            <w:tcW w:w="1376" w:type="dxa"/>
          </w:tcPr>
          <w:p w14:paraId="157BBEC0" w14:textId="5BE59001" w:rsidR="00EB00E6" w:rsidRDefault="00E33339" w:rsidP="00707184">
            <w:pPr>
              <w:jc w:val="center"/>
            </w:pPr>
            <w:r>
              <w:t>85</w:t>
            </w:r>
          </w:p>
        </w:tc>
        <w:tc>
          <w:tcPr>
            <w:tcW w:w="1523" w:type="dxa"/>
          </w:tcPr>
          <w:p w14:paraId="47517BDB" w14:textId="14DB5297" w:rsidR="00EB00E6" w:rsidRDefault="00E33339" w:rsidP="00707184">
            <w:pPr>
              <w:jc w:val="center"/>
            </w:pPr>
            <w:r>
              <w:t>23</w:t>
            </w:r>
          </w:p>
        </w:tc>
        <w:tc>
          <w:tcPr>
            <w:tcW w:w="2001" w:type="dxa"/>
          </w:tcPr>
          <w:p w14:paraId="1C094B90" w14:textId="7C2B4E63" w:rsidR="00EB00E6" w:rsidRDefault="00E33339" w:rsidP="00707184">
            <w:pPr>
              <w:jc w:val="center"/>
            </w:pPr>
            <w:r>
              <w:t>28</w:t>
            </w:r>
          </w:p>
        </w:tc>
      </w:tr>
      <w:tr w:rsidR="00EB00E6" w14:paraId="76787AF3" w14:textId="77777777" w:rsidTr="009745D5">
        <w:tc>
          <w:tcPr>
            <w:tcW w:w="1743" w:type="dxa"/>
            <w:vMerge/>
          </w:tcPr>
          <w:p w14:paraId="6268CC6C" w14:textId="77777777" w:rsidR="00EB00E6" w:rsidRDefault="00EB00E6" w:rsidP="00707184">
            <w:pPr>
              <w:jc w:val="center"/>
            </w:pPr>
          </w:p>
        </w:tc>
        <w:tc>
          <w:tcPr>
            <w:tcW w:w="1228" w:type="dxa"/>
          </w:tcPr>
          <w:p w14:paraId="69773734" w14:textId="0711BC7C" w:rsidR="00EB00E6" w:rsidRDefault="00EB00E6" w:rsidP="00707184">
            <w:pPr>
              <w:jc w:val="center"/>
            </w:pPr>
            <w:r>
              <w:t>Upper middle</w:t>
            </w:r>
          </w:p>
        </w:tc>
        <w:tc>
          <w:tcPr>
            <w:tcW w:w="1145" w:type="dxa"/>
          </w:tcPr>
          <w:p w14:paraId="1D8DBC48" w14:textId="1EBA0690" w:rsidR="00EB00E6" w:rsidRDefault="00E33339" w:rsidP="00707184">
            <w:pPr>
              <w:jc w:val="center"/>
            </w:pPr>
            <w:r>
              <w:t>81</w:t>
            </w:r>
          </w:p>
        </w:tc>
        <w:tc>
          <w:tcPr>
            <w:tcW w:w="1376" w:type="dxa"/>
          </w:tcPr>
          <w:p w14:paraId="617CC955" w14:textId="72584A29" w:rsidR="00EB00E6" w:rsidRDefault="00E33339" w:rsidP="00707184">
            <w:pPr>
              <w:jc w:val="center"/>
            </w:pPr>
            <w:r>
              <w:t>86</w:t>
            </w:r>
          </w:p>
        </w:tc>
        <w:tc>
          <w:tcPr>
            <w:tcW w:w="1523" w:type="dxa"/>
          </w:tcPr>
          <w:p w14:paraId="0B449E0B" w14:textId="2F2194AE" w:rsidR="00EB00E6" w:rsidRDefault="00E33339" w:rsidP="00707184">
            <w:pPr>
              <w:jc w:val="center"/>
            </w:pPr>
            <w:r>
              <w:t>18</w:t>
            </w:r>
          </w:p>
        </w:tc>
        <w:tc>
          <w:tcPr>
            <w:tcW w:w="2001" w:type="dxa"/>
          </w:tcPr>
          <w:p w14:paraId="626FCF81" w14:textId="2AC1290F" w:rsidR="00EB00E6" w:rsidRDefault="005C0442" w:rsidP="00707184">
            <w:pPr>
              <w:jc w:val="center"/>
            </w:pPr>
            <w:r>
              <w:t>65</w:t>
            </w:r>
          </w:p>
        </w:tc>
      </w:tr>
      <w:tr w:rsidR="00EB00E6" w14:paraId="1BA8F307" w14:textId="77777777" w:rsidTr="009745D5">
        <w:tc>
          <w:tcPr>
            <w:tcW w:w="1743" w:type="dxa"/>
            <w:vMerge/>
          </w:tcPr>
          <w:p w14:paraId="11945516" w14:textId="77777777" w:rsidR="00EB00E6" w:rsidRDefault="00EB00E6" w:rsidP="00707184">
            <w:pPr>
              <w:jc w:val="center"/>
            </w:pPr>
          </w:p>
        </w:tc>
        <w:tc>
          <w:tcPr>
            <w:tcW w:w="1228" w:type="dxa"/>
          </w:tcPr>
          <w:p w14:paraId="0290F0F5" w14:textId="3B80175B" w:rsidR="00EB00E6" w:rsidRDefault="00EB00E6" w:rsidP="00707184">
            <w:pPr>
              <w:jc w:val="center"/>
            </w:pPr>
            <w:r>
              <w:t>Lower middle</w:t>
            </w:r>
          </w:p>
        </w:tc>
        <w:tc>
          <w:tcPr>
            <w:tcW w:w="1145" w:type="dxa"/>
          </w:tcPr>
          <w:p w14:paraId="0D789C52" w14:textId="01460E49" w:rsidR="00EB00E6" w:rsidRDefault="00E33339" w:rsidP="00707184">
            <w:pPr>
              <w:jc w:val="center"/>
            </w:pPr>
            <w:r>
              <w:t>92</w:t>
            </w:r>
          </w:p>
        </w:tc>
        <w:tc>
          <w:tcPr>
            <w:tcW w:w="1376" w:type="dxa"/>
          </w:tcPr>
          <w:p w14:paraId="67119F30" w14:textId="7118C2A0" w:rsidR="00EB00E6" w:rsidRDefault="00E33339" w:rsidP="00707184">
            <w:pPr>
              <w:jc w:val="center"/>
            </w:pPr>
            <w:r>
              <w:t>96</w:t>
            </w:r>
          </w:p>
        </w:tc>
        <w:tc>
          <w:tcPr>
            <w:tcW w:w="1523" w:type="dxa"/>
          </w:tcPr>
          <w:p w14:paraId="2A14DFC6" w14:textId="778EEB0E" w:rsidR="00EB00E6" w:rsidRDefault="00E33339" w:rsidP="00707184">
            <w:pPr>
              <w:jc w:val="center"/>
            </w:pPr>
            <w:r>
              <w:t>10</w:t>
            </w:r>
          </w:p>
        </w:tc>
        <w:tc>
          <w:tcPr>
            <w:tcW w:w="2001" w:type="dxa"/>
          </w:tcPr>
          <w:p w14:paraId="7DD97D4D" w14:textId="6E698EE2" w:rsidR="00EB00E6" w:rsidRDefault="005C0442" w:rsidP="00707184">
            <w:pPr>
              <w:jc w:val="center"/>
            </w:pPr>
            <w:r>
              <w:t>78</w:t>
            </w:r>
          </w:p>
        </w:tc>
      </w:tr>
      <w:tr w:rsidR="00EB00E6" w14:paraId="0A02C38C" w14:textId="77777777" w:rsidTr="009745D5">
        <w:tc>
          <w:tcPr>
            <w:tcW w:w="1743" w:type="dxa"/>
            <w:vMerge/>
          </w:tcPr>
          <w:p w14:paraId="78748D0D" w14:textId="77777777" w:rsidR="00EB00E6" w:rsidRDefault="00EB00E6" w:rsidP="00707184">
            <w:pPr>
              <w:jc w:val="center"/>
            </w:pPr>
          </w:p>
        </w:tc>
        <w:tc>
          <w:tcPr>
            <w:tcW w:w="1228" w:type="dxa"/>
          </w:tcPr>
          <w:p w14:paraId="2A54167F" w14:textId="27147920" w:rsidR="00EB00E6" w:rsidRDefault="00EB00E6" w:rsidP="00707184">
            <w:pPr>
              <w:jc w:val="center"/>
            </w:pPr>
            <w:r>
              <w:t>High</w:t>
            </w:r>
          </w:p>
        </w:tc>
        <w:tc>
          <w:tcPr>
            <w:tcW w:w="1145" w:type="dxa"/>
          </w:tcPr>
          <w:p w14:paraId="76EFD9D4" w14:textId="20FE8A0B" w:rsidR="00EB00E6" w:rsidRDefault="00E33339" w:rsidP="00707184">
            <w:pPr>
              <w:jc w:val="center"/>
            </w:pPr>
            <w:r>
              <w:t>93</w:t>
            </w:r>
          </w:p>
        </w:tc>
        <w:tc>
          <w:tcPr>
            <w:tcW w:w="1376" w:type="dxa"/>
          </w:tcPr>
          <w:p w14:paraId="6A849618" w14:textId="42D65426" w:rsidR="00EB00E6" w:rsidRDefault="00E33339" w:rsidP="00707184">
            <w:pPr>
              <w:jc w:val="center"/>
            </w:pPr>
            <w:r>
              <w:t>97</w:t>
            </w:r>
          </w:p>
        </w:tc>
        <w:tc>
          <w:tcPr>
            <w:tcW w:w="1523" w:type="dxa"/>
          </w:tcPr>
          <w:p w14:paraId="7B7F0F20" w14:textId="40DC6DB9" w:rsidR="00EB00E6" w:rsidRDefault="00E33339" w:rsidP="00707184">
            <w:pPr>
              <w:jc w:val="center"/>
            </w:pPr>
            <w:r>
              <w:t>8</w:t>
            </w:r>
          </w:p>
        </w:tc>
        <w:tc>
          <w:tcPr>
            <w:tcW w:w="2001" w:type="dxa"/>
          </w:tcPr>
          <w:p w14:paraId="54743ADB" w14:textId="7FE3B06D" w:rsidR="00EB00E6" w:rsidRDefault="005C0442" w:rsidP="00707184">
            <w:pPr>
              <w:jc w:val="center"/>
            </w:pPr>
            <w:r>
              <w:t>95</w:t>
            </w:r>
          </w:p>
        </w:tc>
      </w:tr>
      <w:tr w:rsidR="0034115F" w14:paraId="5F378B80" w14:textId="77777777" w:rsidTr="003D77E6">
        <w:tc>
          <w:tcPr>
            <w:tcW w:w="1743" w:type="dxa"/>
            <w:vMerge w:val="restart"/>
            <w:shd w:val="clear" w:color="auto" w:fill="D1D1D1" w:themeFill="background2" w:themeFillShade="E6"/>
          </w:tcPr>
          <w:p w14:paraId="38B2D4CF" w14:textId="26C44584" w:rsidR="0034115F" w:rsidRDefault="0034115F" w:rsidP="00707184">
            <w:pPr>
              <w:jc w:val="center"/>
            </w:pPr>
            <w:r>
              <w:t>Women participating in own health care decisions (% of women age 15-49)</w:t>
            </w:r>
          </w:p>
        </w:tc>
        <w:tc>
          <w:tcPr>
            <w:tcW w:w="1228" w:type="dxa"/>
            <w:shd w:val="clear" w:color="auto" w:fill="D1D1D1" w:themeFill="background2" w:themeFillShade="E6"/>
          </w:tcPr>
          <w:p w14:paraId="3F9AEBA8" w14:textId="4BCDBB5D" w:rsidR="0034115F" w:rsidRDefault="0034115F" w:rsidP="00707184">
            <w:pPr>
              <w:jc w:val="center"/>
            </w:pPr>
            <w:r>
              <w:t>Low</w:t>
            </w:r>
          </w:p>
        </w:tc>
        <w:tc>
          <w:tcPr>
            <w:tcW w:w="1145" w:type="dxa"/>
            <w:shd w:val="clear" w:color="auto" w:fill="D1D1D1" w:themeFill="background2" w:themeFillShade="E6"/>
          </w:tcPr>
          <w:p w14:paraId="354F596F" w14:textId="12A16E01" w:rsidR="0034115F" w:rsidRDefault="006D447F" w:rsidP="00707184">
            <w:pPr>
              <w:jc w:val="center"/>
            </w:pPr>
            <w:r>
              <w:t>55</w:t>
            </w:r>
          </w:p>
        </w:tc>
        <w:tc>
          <w:tcPr>
            <w:tcW w:w="1376" w:type="dxa"/>
            <w:shd w:val="clear" w:color="auto" w:fill="D1D1D1" w:themeFill="background2" w:themeFillShade="E6"/>
          </w:tcPr>
          <w:p w14:paraId="4026C327" w14:textId="06228A6F" w:rsidR="0034115F" w:rsidRDefault="006D447F" w:rsidP="00707184">
            <w:pPr>
              <w:jc w:val="center"/>
            </w:pPr>
            <w:r>
              <w:t>60</w:t>
            </w:r>
          </w:p>
        </w:tc>
        <w:tc>
          <w:tcPr>
            <w:tcW w:w="1523" w:type="dxa"/>
            <w:shd w:val="clear" w:color="auto" w:fill="D1D1D1" w:themeFill="background2" w:themeFillShade="E6"/>
          </w:tcPr>
          <w:p w14:paraId="2A19821E" w14:textId="17C86354" w:rsidR="0034115F" w:rsidRDefault="00647AE6" w:rsidP="00707184">
            <w:pPr>
              <w:jc w:val="center"/>
            </w:pPr>
            <w:r>
              <w:t>22</w:t>
            </w:r>
          </w:p>
        </w:tc>
        <w:tc>
          <w:tcPr>
            <w:tcW w:w="2001" w:type="dxa"/>
            <w:shd w:val="clear" w:color="auto" w:fill="D1D1D1" w:themeFill="background2" w:themeFillShade="E6"/>
          </w:tcPr>
          <w:p w14:paraId="2FA16F4C" w14:textId="2F268B89" w:rsidR="0034115F" w:rsidRDefault="00647AE6" w:rsidP="00707184">
            <w:pPr>
              <w:jc w:val="center"/>
            </w:pPr>
            <w:r>
              <w:t>58</w:t>
            </w:r>
          </w:p>
        </w:tc>
      </w:tr>
      <w:tr w:rsidR="0034115F" w14:paraId="5FC516C4" w14:textId="77777777" w:rsidTr="003D77E6">
        <w:tc>
          <w:tcPr>
            <w:tcW w:w="1743" w:type="dxa"/>
            <w:vMerge/>
            <w:shd w:val="clear" w:color="auto" w:fill="D1D1D1" w:themeFill="background2" w:themeFillShade="E6"/>
          </w:tcPr>
          <w:p w14:paraId="5875055E" w14:textId="77777777" w:rsidR="0034115F" w:rsidRDefault="0034115F" w:rsidP="00707184">
            <w:pPr>
              <w:jc w:val="center"/>
            </w:pPr>
          </w:p>
        </w:tc>
        <w:tc>
          <w:tcPr>
            <w:tcW w:w="1228" w:type="dxa"/>
            <w:shd w:val="clear" w:color="auto" w:fill="D1D1D1" w:themeFill="background2" w:themeFillShade="E6"/>
          </w:tcPr>
          <w:p w14:paraId="1C5BC3C3" w14:textId="270736BF" w:rsidR="0034115F" w:rsidRDefault="0034115F" w:rsidP="00707184">
            <w:pPr>
              <w:jc w:val="center"/>
            </w:pPr>
            <w:r>
              <w:t>Upper middle</w:t>
            </w:r>
          </w:p>
        </w:tc>
        <w:tc>
          <w:tcPr>
            <w:tcW w:w="1145" w:type="dxa"/>
            <w:shd w:val="clear" w:color="auto" w:fill="D1D1D1" w:themeFill="background2" w:themeFillShade="E6"/>
          </w:tcPr>
          <w:p w14:paraId="0771D6CD" w14:textId="3864F862" w:rsidR="0034115F" w:rsidRDefault="006D447F" w:rsidP="00707184">
            <w:pPr>
              <w:jc w:val="center"/>
            </w:pPr>
            <w:r>
              <w:t>65</w:t>
            </w:r>
          </w:p>
        </w:tc>
        <w:tc>
          <w:tcPr>
            <w:tcW w:w="1376" w:type="dxa"/>
            <w:shd w:val="clear" w:color="auto" w:fill="D1D1D1" w:themeFill="background2" w:themeFillShade="E6"/>
          </w:tcPr>
          <w:p w14:paraId="354A2A79" w14:textId="140AA0D3" w:rsidR="0034115F" w:rsidRDefault="006D447F" w:rsidP="00707184">
            <w:pPr>
              <w:jc w:val="center"/>
            </w:pPr>
            <w:r>
              <w:t>67</w:t>
            </w:r>
          </w:p>
        </w:tc>
        <w:tc>
          <w:tcPr>
            <w:tcW w:w="1523" w:type="dxa"/>
            <w:shd w:val="clear" w:color="auto" w:fill="D1D1D1" w:themeFill="background2" w:themeFillShade="E6"/>
          </w:tcPr>
          <w:p w14:paraId="794C400A" w14:textId="2F153CE7" w:rsidR="0034115F" w:rsidRDefault="00647AE6" w:rsidP="00707184">
            <w:pPr>
              <w:jc w:val="center"/>
            </w:pPr>
            <w:r>
              <w:t>22</w:t>
            </w:r>
          </w:p>
        </w:tc>
        <w:tc>
          <w:tcPr>
            <w:tcW w:w="2001" w:type="dxa"/>
            <w:shd w:val="clear" w:color="auto" w:fill="D1D1D1" w:themeFill="background2" w:themeFillShade="E6"/>
          </w:tcPr>
          <w:p w14:paraId="7D41C8E6" w14:textId="3D935527" w:rsidR="0034115F" w:rsidRDefault="00647AE6" w:rsidP="00707184">
            <w:pPr>
              <w:jc w:val="center"/>
            </w:pPr>
            <w:r>
              <w:t>86</w:t>
            </w:r>
          </w:p>
        </w:tc>
      </w:tr>
      <w:tr w:rsidR="0034115F" w14:paraId="16C16425" w14:textId="77777777" w:rsidTr="003D77E6">
        <w:tc>
          <w:tcPr>
            <w:tcW w:w="1743" w:type="dxa"/>
            <w:vMerge/>
            <w:shd w:val="clear" w:color="auto" w:fill="D1D1D1" w:themeFill="background2" w:themeFillShade="E6"/>
          </w:tcPr>
          <w:p w14:paraId="63C5629D" w14:textId="77777777" w:rsidR="0034115F" w:rsidRDefault="0034115F" w:rsidP="00707184">
            <w:pPr>
              <w:jc w:val="center"/>
            </w:pPr>
          </w:p>
        </w:tc>
        <w:tc>
          <w:tcPr>
            <w:tcW w:w="1228" w:type="dxa"/>
            <w:shd w:val="clear" w:color="auto" w:fill="D1D1D1" w:themeFill="background2" w:themeFillShade="E6"/>
          </w:tcPr>
          <w:p w14:paraId="26651327" w14:textId="142B9A0A" w:rsidR="0034115F" w:rsidRDefault="0034115F" w:rsidP="00707184">
            <w:pPr>
              <w:jc w:val="center"/>
            </w:pPr>
            <w:r>
              <w:t>Lower middle</w:t>
            </w:r>
          </w:p>
        </w:tc>
        <w:tc>
          <w:tcPr>
            <w:tcW w:w="1145" w:type="dxa"/>
            <w:shd w:val="clear" w:color="auto" w:fill="D1D1D1" w:themeFill="background2" w:themeFillShade="E6"/>
          </w:tcPr>
          <w:p w14:paraId="0E9C8B26" w14:textId="6101E9B1" w:rsidR="0034115F" w:rsidRDefault="006D447F" w:rsidP="00707184">
            <w:pPr>
              <w:jc w:val="center"/>
            </w:pPr>
            <w:r>
              <w:t>84</w:t>
            </w:r>
          </w:p>
        </w:tc>
        <w:tc>
          <w:tcPr>
            <w:tcW w:w="1376" w:type="dxa"/>
            <w:shd w:val="clear" w:color="auto" w:fill="D1D1D1" w:themeFill="background2" w:themeFillShade="E6"/>
          </w:tcPr>
          <w:p w14:paraId="2692EB53" w14:textId="02ACAF37" w:rsidR="0034115F" w:rsidRDefault="006D447F" w:rsidP="00707184">
            <w:pPr>
              <w:jc w:val="center"/>
            </w:pPr>
            <w:r>
              <w:t>84</w:t>
            </w:r>
          </w:p>
        </w:tc>
        <w:tc>
          <w:tcPr>
            <w:tcW w:w="1523" w:type="dxa"/>
            <w:shd w:val="clear" w:color="auto" w:fill="D1D1D1" w:themeFill="background2" w:themeFillShade="E6"/>
          </w:tcPr>
          <w:p w14:paraId="6D5AA3AB" w14:textId="637DC958" w:rsidR="0034115F" w:rsidRDefault="00647AE6" w:rsidP="00707184">
            <w:pPr>
              <w:jc w:val="center"/>
            </w:pPr>
            <w:r>
              <w:t>8.7</w:t>
            </w:r>
          </w:p>
        </w:tc>
        <w:tc>
          <w:tcPr>
            <w:tcW w:w="2001" w:type="dxa"/>
            <w:shd w:val="clear" w:color="auto" w:fill="D1D1D1" w:themeFill="background2" w:themeFillShade="E6"/>
          </w:tcPr>
          <w:p w14:paraId="4945D321" w14:textId="48AEE5E4" w:rsidR="0034115F" w:rsidRDefault="004F59C6" w:rsidP="00707184">
            <w:pPr>
              <w:jc w:val="center"/>
            </w:pPr>
            <w:r>
              <w:t>97</w:t>
            </w:r>
          </w:p>
        </w:tc>
      </w:tr>
      <w:tr w:rsidR="0034115F" w14:paraId="71198EBF" w14:textId="77777777" w:rsidTr="003D77E6">
        <w:tc>
          <w:tcPr>
            <w:tcW w:w="1743" w:type="dxa"/>
            <w:vMerge/>
            <w:shd w:val="clear" w:color="auto" w:fill="D1D1D1" w:themeFill="background2" w:themeFillShade="E6"/>
          </w:tcPr>
          <w:p w14:paraId="6A773BA7" w14:textId="77777777" w:rsidR="0034115F" w:rsidRDefault="0034115F" w:rsidP="00707184">
            <w:pPr>
              <w:jc w:val="center"/>
            </w:pPr>
          </w:p>
        </w:tc>
        <w:tc>
          <w:tcPr>
            <w:tcW w:w="1228" w:type="dxa"/>
            <w:shd w:val="clear" w:color="auto" w:fill="D1D1D1" w:themeFill="background2" w:themeFillShade="E6"/>
          </w:tcPr>
          <w:p w14:paraId="7B38703F" w14:textId="7C8626AD" w:rsidR="0034115F" w:rsidRDefault="0034115F" w:rsidP="00707184">
            <w:pPr>
              <w:jc w:val="center"/>
            </w:pPr>
            <w:r>
              <w:t>High</w:t>
            </w:r>
          </w:p>
        </w:tc>
        <w:tc>
          <w:tcPr>
            <w:tcW w:w="1145" w:type="dxa"/>
            <w:shd w:val="clear" w:color="auto" w:fill="D1D1D1" w:themeFill="background2" w:themeFillShade="E6"/>
          </w:tcPr>
          <w:p w14:paraId="3F372762" w14:textId="3E1625DE" w:rsidR="0034115F" w:rsidRDefault="006D447F" w:rsidP="00707184">
            <w:pPr>
              <w:jc w:val="center"/>
            </w:pPr>
            <w:r>
              <w:t>91</w:t>
            </w:r>
          </w:p>
        </w:tc>
        <w:tc>
          <w:tcPr>
            <w:tcW w:w="1376" w:type="dxa"/>
            <w:shd w:val="clear" w:color="auto" w:fill="D1D1D1" w:themeFill="background2" w:themeFillShade="E6"/>
          </w:tcPr>
          <w:p w14:paraId="41EEB63D" w14:textId="36E07BD1" w:rsidR="0034115F" w:rsidRDefault="006D447F" w:rsidP="00707184">
            <w:pPr>
              <w:jc w:val="center"/>
            </w:pPr>
            <w:r>
              <w:t>91</w:t>
            </w:r>
          </w:p>
        </w:tc>
        <w:tc>
          <w:tcPr>
            <w:tcW w:w="1523" w:type="dxa"/>
            <w:shd w:val="clear" w:color="auto" w:fill="D1D1D1" w:themeFill="background2" w:themeFillShade="E6"/>
          </w:tcPr>
          <w:p w14:paraId="7DD2219E" w14:textId="2776E90B" w:rsidR="0034115F" w:rsidRDefault="00647AE6" w:rsidP="00707184">
            <w:pPr>
              <w:jc w:val="center"/>
            </w:pPr>
            <w:proofErr w:type="spellStart"/>
            <w:r>
              <w:t>NaN</w:t>
            </w:r>
            <w:proofErr w:type="spellEnd"/>
          </w:p>
        </w:tc>
        <w:tc>
          <w:tcPr>
            <w:tcW w:w="2001" w:type="dxa"/>
            <w:shd w:val="clear" w:color="auto" w:fill="D1D1D1" w:themeFill="background2" w:themeFillShade="E6"/>
          </w:tcPr>
          <w:p w14:paraId="016093FA" w14:textId="45CA753F" w:rsidR="0034115F" w:rsidRDefault="004F59C6" w:rsidP="00707184">
            <w:pPr>
              <w:jc w:val="center"/>
            </w:pPr>
            <w:r>
              <w:t>99.9</w:t>
            </w:r>
          </w:p>
        </w:tc>
      </w:tr>
      <w:tr w:rsidR="00A167A4" w14:paraId="6EC6B7A5" w14:textId="77777777" w:rsidTr="009745D5">
        <w:trPr>
          <w:trHeight w:val="562"/>
        </w:trPr>
        <w:tc>
          <w:tcPr>
            <w:tcW w:w="1743" w:type="dxa"/>
            <w:vMerge w:val="restart"/>
          </w:tcPr>
          <w:p w14:paraId="759554C9" w14:textId="2567E16D" w:rsidR="00A167A4" w:rsidRDefault="00A167A4" w:rsidP="00707184">
            <w:pPr>
              <w:jc w:val="center"/>
            </w:pPr>
            <w:r>
              <w:t xml:space="preserve">Communicable, maternal, neonatal, and nutritional diseases </w:t>
            </w:r>
            <w:r>
              <w:lastRenderedPageBreak/>
              <w:t>prevalence in females (age standardized) (per 100,000 population)</w:t>
            </w:r>
          </w:p>
        </w:tc>
        <w:tc>
          <w:tcPr>
            <w:tcW w:w="1228" w:type="dxa"/>
          </w:tcPr>
          <w:p w14:paraId="7CE29A3A" w14:textId="1CF06E27" w:rsidR="00A167A4" w:rsidRDefault="00A167A4" w:rsidP="00707184">
            <w:pPr>
              <w:jc w:val="center"/>
            </w:pPr>
            <w:r>
              <w:lastRenderedPageBreak/>
              <w:t>Low</w:t>
            </w:r>
          </w:p>
        </w:tc>
        <w:tc>
          <w:tcPr>
            <w:tcW w:w="1145" w:type="dxa"/>
          </w:tcPr>
          <w:p w14:paraId="1C43A2FA" w14:textId="767EE2C1" w:rsidR="00A167A4" w:rsidRDefault="008212C5" w:rsidP="00707184">
            <w:pPr>
              <w:jc w:val="center"/>
            </w:pPr>
            <w:r>
              <w:t>79,399</w:t>
            </w:r>
          </w:p>
        </w:tc>
        <w:tc>
          <w:tcPr>
            <w:tcW w:w="1376" w:type="dxa"/>
          </w:tcPr>
          <w:p w14:paraId="69D006B1" w14:textId="0E7B0C99" w:rsidR="00A167A4" w:rsidRDefault="006A4E2B" w:rsidP="00707184">
            <w:pPr>
              <w:jc w:val="center"/>
            </w:pPr>
            <w:r>
              <w:t>84,661</w:t>
            </w:r>
          </w:p>
        </w:tc>
        <w:tc>
          <w:tcPr>
            <w:tcW w:w="1523" w:type="dxa"/>
          </w:tcPr>
          <w:p w14:paraId="6C9DA524" w14:textId="409A7322" w:rsidR="00A167A4" w:rsidRDefault="009041EB" w:rsidP="00707184">
            <w:pPr>
              <w:jc w:val="center"/>
            </w:pPr>
            <w:r>
              <w:t>14,140</w:t>
            </w:r>
          </w:p>
        </w:tc>
        <w:tc>
          <w:tcPr>
            <w:tcW w:w="2001" w:type="dxa"/>
          </w:tcPr>
          <w:p w14:paraId="76D5450B" w14:textId="2EFAB62D" w:rsidR="00A167A4" w:rsidRDefault="009041EB" w:rsidP="00707184">
            <w:pPr>
              <w:jc w:val="center"/>
            </w:pPr>
            <w:r>
              <w:t>77</w:t>
            </w:r>
          </w:p>
        </w:tc>
      </w:tr>
      <w:tr w:rsidR="00A167A4" w14:paraId="4C43DE46" w14:textId="77777777" w:rsidTr="009745D5">
        <w:trPr>
          <w:trHeight w:val="854"/>
        </w:trPr>
        <w:tc>
          <w:tcPr>
            <w:tcW w:w="1743" w:type="dxa"/>
            <w:vMerge/>
          </w:tcPr>
          <w:p w14:paraId="6DD67C80" w14:textId="77777777" w:rsidR="00A167A4" w:rsidRDefault="00A167A4" w:rsidP="00707184">
            <w:pPr>
              <w:jc w:val="center"/>
            </w:pPr>
          </w:p>
        </w:tc>
        <w:tc>
          <w:tcPr>
            <w:tcW w:w="1228" w:type="dxa"/>
          </w:tcPr>
          <w:p w14:paraId="587327F8" w14:textId="62B30A01" w:rsidR="00A167A4" w:rsidRDefault="00A167A4" w:rsidP="00707184">
            <w:pPr>
              <w:jc w:val="center"/>
            </w:pPr>
            <w:r>
              <w:t>Upper middle</w:t>
            </w:r>
          </w:p>
        </w:tc>
        <w:tc>
          <w:tcPr>
            <w:tcW w:w="1145" w:type="dxa"/>
          </w:tcPr>
          <w:p w14:paraId="54D13D78" w14:textId="5ED0C957" w:rsidR="00A167A4" w:rsidRDefault="008212C5" w:rsidP="00707184">
            <w:pPr>
              <w:jc w:val="center"/>
            </w:pPr>
            <w:r>
              <w:t>73,030</w:t>
            </w:r>
          </w:p>
        </w:tc>
        <w:tc>
          <w:tcPr>
            <w:tcW w:w="1376" w:type="dxa"/>
          </w:tcPr>
          <w:p w14:paraId="7A2FFF67" w14:textId="15E1AEEC" w:rsidR="00A167A4" w:rsidRDefault="006A4E2B" w:rsidP="00707184">
            <w:pPr>
              <w:jc w:val="center"/>
            </w:pPr>
            <w:r>
              <w:t>73,279</w:t>
            </w:r>
          </w:p>
        </w:tc>
        <w:tc>
          <w:tcPr>
            <w:tcW w:w="1523" w:type="dxa"/>
          </w:tcPr>
          <w:p w14:paraId="1E661851" w14:textId="39603192" w:rsidR="00A167A4" w:rsidRDefault="009041EB" w:rsidP="00707184">
            <w:pPr>
              <w:jc w:val="center"/>
            </w:pPr>
            <w:r>
              <w:t>9,389</w:t>
            </w:r>
          </w:p>
        </w:tc>
        <w:tc>
          <w:tcPr>
            <w:tcW w:w="2001" w:type="dxa"/>
          </w:tcPr>
          <w:p w14:paraId="4DBFA5AE" w14:textId="1C42F058" w:rsidR="00A167A4" w:rsidRDefault="009041EB" w:rsidP="00707184">
            <w:pPr>
              <w:jc w:val="center"/>
            </w:pPr>
            <w:r>
              <w:t>84</w:t>
            </w:r>
          </w:p>
        </w:tc>
      </w:tr>
      <w:tr w:rsidR="00A167A4" w14:paraId="03F5FE3A" w14:textId="77777777" w:rsidTr="009745D5">
        <w:trPr>
          <w:trHeight w:val="838"/>
        </w:trPr>
        <w:tc>
          <w:tcPr>
            <w:tcW w:w="1743" w:type="dxa"/>
            <w:vMerge/>
          </w:tcPr>
          <w:p w14:paraId="36B01412" w14:textId="77777777" w:rsidR="00A167A4" w:rsidRDefault="00A167A4" w:rsidP="00707184">
            <w:pPr>
              <w:jc w:val="center"/>
            </w:pPr>
          </w:p>
        </w:tc>
        <w:tc>
          <w:tcPr>
            <w:tcW w:w="1228" w:type="dxa"/>
          </w:tcPr>
          <w:p w14:paraId="1BFEBE53" w14:textId="0F26B663" w:rsidR="00A167A4" w:rsidRDefault="00A167A4" w:rsidP="00707184">
            <w:pPr>
              <w:jc w:val="center"/>
            </w:pPr>
            <w:r>
              <w:t>Lower middle</w:t>
            </w:r>
          </w:p>
        </w:tc>
        <w:tc>
          <w:tcPr>
            <w:tcW w:w="1145" w:type="dxa"/>
          </w:tcPr>
          <w:p w14:paraId="16D82A15" w14:textId="271B1C25" w:rsidR="00A167A4" w:rsidRDefault="008212C5" w:rsidP="00707184">
            <w:pPr>
              <w:jc w:val="center"/>
            </w:pPr>
            <w:r>
              <w:t>62,</w:t>
            </w:r>
            <w:r w:rsidR="006A4E2B">
              <w:t>248</w:t>
            </w:r>
          </w:p>
        </w:tc>
        <w:tc>
          <w:tcPr>
            <w:tcW w:w="1376" w:type="dxa"/>
          </w:tcPr>
          <w:p w14:paraId="7DD31661" w14:textId="215543C8" w:rsidR="00A167A4" w:rsidRDefault="006A4E2B" w:rsidP="00707184">
            <w:pPr>
              <w:jc w:val="center"/>
            </w:pPr>
            <w:r>
              <w:t>63,092</w:t>
            </w:r>
          </w:p>
        </w:tc>
        <w:tc>
          <w:tcPr>
            <w:tcW w:w="1523" w:type="dxa"/>
          </w:tcPr>
          <w:p w14:paraId="260E94A1" w14:textId="09B88534" w:rsidR="00A167A4" w:rsidRDefault="009041EB" w:rsidP="00707184">
            <w:pPr>
              <w:jc w:val="center"/>
            </w:pPr>
            <w:r>
              <w:t>10,658</w:t>
            </w:r>
          </w:p>
        </w:tc>
        <w:tc>
          <w:tcPr>
            <w:tcW w:w="2001" w:type="dxa"/>
          </w:tcPr>
          <w:p w14:paraId="1868B50A" w14:textId="484408A6" w:rsidR="00A167A4" w:rsidRDefault="009745D5" w:rsidP="00707184">
            <w:pPr>
              <w:jc w:val="center"/>
            </w:pPr>
            <w:r>
              <w:t>86</w:t>
            </w:r>
          </w:p>
        </w:tc>
      </w:tr>
      <w:tr w:rsidR="00A167A4" w14:paraId="61D3AF3B" w14:textId="77777777" w:rsidTr="009745D5">
        <w:trPr>
          <w:trHeight w:val="543"/>
        </w:trPr>
        <w:tc>
          <w:tcPr>
            <w:tcW w:w="1743" w:type="dxa"/>
            <w:vMerge/>
          </w:tcPr>
          <w:p w14:paraId="0E21E4F5" w14:textId="77777777" w:rsidR="00A167A4" w:rsidRDefault="00A167A4" w:rsidP="00707184">
            <w:pPr>
              <w:jc w:val="center"/>
            </w:pPr>
          </w:p>
        </w:tc>
        <w:tc>
          <w:tcPr>
            <w:tcW w:w="1228" w:type="dxa"/>
          </w:tcPr>
          <w:p w14:paraId="455943CD" w14:textId="10F65D3A" w:rsidR="00A167A4" w:rsidRDefault="00A167A4" w:rsidP="00707184">
            <w:pPr>
              <w:jc w:val="center"/>
            </w:pPr>
            <w:r>
              <w:t>High</w:t>
            </w:r>
          </w:p>
        </w:tc>
        <w:tc>
          <w:tcPr>
            <w:tcW w:w="1145" w:type="dxa"/>
          </w:tcPr>
          <w:p w14:paraId="0C8ADD2D" w14:textId="09BB8469" w:rsidR="00A167A4" w:rsidRDefault="006A4E2B" w:rsidP="00707184">
            <w:pPr>
              <w:jc w:val="center"/>
            </w:pPr>
            <w:r>
              <w:t>38,835</w:t>
            </w:r>
          </w:p>
        </w:tc>
        <w:tc>
          <w:tcPr>
            <w:tcW w:w="1376" w:type="dxa"/>
          </w:tcPr>
          <w:p w14:paraId="4653C8AF" w14:textId="5D2C09FE" w:rsidR="00A167A4" w:rsidRDefault="009041EB" w:rsidP="00707184">
            <w:pPr>
              <w:jc w:val="center"/>
            </w:pPr>
            <w:r>
              <w:t>36,807</w:t>
            </w:r>
          </w:p>
        </w:tc>
        <w:tc>
          <w:tcPr>
            <w:tcW w:w="1523" w:type="dxa"/>
          </w:tcPr>
          <w:p w14:paraId="1746CA67" w14:textId="0099E28D" w:rsidR="00A167A4" w:rsidRDefault="009041EB" w:rsidP="00707184">
            <w:pPr>
              <w:jc w:val="center"/>
            </w:pPr>
            <w:r>
              <w:t>11,821</w:t>
            </w:r>
          </w:p>
        </w:tc>
        <w:tc>
          <w:tcPr>
            <w:tcW w:w="2001" w:type="dxa"/>
          </w:tcPr>
          <w:p w14:paraId="11CF8951" w14:textId="039DB59F" w:rsidR="00A167A4" w:rsidRDefault="009745D5" w:rsidP="00707184">
            <w:pPr>
              <w:jc w:val="center"/>
            </w:pPr>
            <w:r>
              <w:t>87</w:t>
            </w:r>
          </w:p>
        </w:tc>
      </w:tr>
      <w:tr w:rsidR="00D44B71" w14:paraId="1381CA55" w14:textId="77777777" w:rsidTr="003D77E6">
        <w:tc>
          <w:tcPr>
            <w:tcW w:w="1743" w:type="dxa"/>
            <w:vMerge w:val="restart"/>
            <w:shd w:val="clear" w:color="auto" w:fill="D1D1D1" w:themeFill="background2" w:themeFillShade="E6"/>
          </w:tcPr>
          <w:p w14:paraId="00B9EF97" w14:textId="0F8E9CC0" w:rsidR="00D44B71" w:rsidRDefault="00D44B71" w:rsidP="00707184">
            <w:pPr>
              <w:jc w:val="center"/>
            </w:pPr>
            <w:r>
              <w:t>Survival to age 65, female (% of cohort)</w:t>
            </w:r>
          </w:p>
        </w:tc>
        <w:tc>
          <w:tcPr>
            <w:tcW w:w="1228" w:type="dxa"/>
            <w:shd w:val="clear" w:color="auto" w:fill="D1D1D1" w:themeFill="background2" w:themeFillShade="E6"/>
          </w:tcPr>
          <w:p w14:paraId="78291BCA" w14:textId="0AF7EAD9" w:rsidR="00D44B71" w:rsidRDefault="003D77E6" w:rsidP="00707184">
            <w:pPr>
              <w:jc w:val="center"/>
            </w:pPr>
            <w:r>
              <w:t>Low</w:t>
            </w:r>
          </w:p>
        </w:tc>
        <w:tc>
          <w:tcPr>
            <w:tcW w:w="1145" w:type="dxa"/>
            <w:shd w:val="clear" w:color="auto" w:fill="D1D1D1" w:themeFill="background2" w:themeFillShade="E6"/>
          </w:tcPr>
          <w:p w14:paraId="5C1C0D77" w14:textId="4489FDB3" w:rsidR="00D44B71" w:rsidRDefault="00033050" w:rsidP="00707184">
            <w:pPr>
              <w:jc w:val="center"/>
            </w:pPr>
            <w:r>
              <w:t>5</w:t>
            </w:r>
            <w:r w:rsidR="003D77E6">
              <w:t>9</w:t>
            </w:r>
          </w:p>
        </w:tc>
        <w:tc>
          <w:tcPr>
            <w:tcW w:w="1376" w:type="dxa"/>
            <w:shd w:val="clear" w:color="auto" w:fill="D1D1D1" w:themeFill="background2" w:themeFillShade="E6"/>
          </w:tcPr>
          <w:p w14:paraId="3B3D87FD" w14:textId="3F665E93" w:rsidR="00D44B71" w:rsidRDefault="003D77E6" w:rsidP="00707184">
            <w:pPr>
              <w:jc w:val="center"/>
            </w:pPr>
            <w:r>
              <w:t>58</w:t>
            </w:r>
          </w:p>
        </w:tc>
        <w:tc>
          <w:tcPr>
            <w:tcW w:w="1523" w:type="dxa"/>
            <w:shd w:val="clear" w:color="auto" w:fill="D1D1D1" w:themeFill="background2" w:themeFillShade="E6"/>
          </w:tcPr>
          <w:p w14:paraId="4296D51E" w14:textId="4344E267" w:rsidR="00D44B71" w:rsidRDefault="003D77E6" w:rsidP="00707184">
            <w:pPr>
              <w:jc w:val="center"/>
            </w:pPr>
            <w:r>
              <w:t>13</w:t>
            </w:r>
          </w:p>
        </w:tc>
        <w:tc>
          <w:tcPr>
            <w:tcW w:w="2001" w:type="dxa"/>
            <w:shd w:val="clear" w:color="auto" w:fill="D1D1D1" w:themeFill="background2" w:themeFillShade="E6"/>
          </w:tcPr>
          <w:p w14:paraId="2F7AC26E" w14:textId="5375B740" w:rsidR="00D44B71" w:rsidRDefault="003D77E6" w:rsidP="00707184">
            <w:pPr>
              <w:jc w:val="center"/>
            </w:pPr>
            <w:r>
              <w:t>0</w:t>
            </w:r>
          </w:p>
        </w:tc>
      </w:tr>
      <w:tr w:rsidR="00D44B71" w14:paraId="3E67F8E2" w14:textId="77777777" w:rsidTr="003D77E6">
        <w:tc>
          <w:tcPr>
            <w:tcW w:w="1743" w:type="dxa"/>
            <w:vMerge/>
            <w:shd w:val="clear" w:color="auto" w:fill="D1D1D1" w:themeFill="background2" w:themeFillShade="E6"/>
          </w:tcPr>
          <w:p w14:paraId="61F8D125" w14:textId="77777777" w:rsidR="00D44B71" w:rsidRDefault="00D44B71" w:rsidP="00707184">
            <w:pPr>
              <w:jc w:val="center"/>
            </w:pPr>
          </w:p>
        </w:tc>
        <w:tc>
          <w:tcPr>
            <w:tcW w:w="1228" w:type="dxa"/>
            <w:shd w:val="clear" w:color="auto" w:fill="D1D1D1" w:themeFill="background2" w:themeFillShade="E6"/>
          </w:tcPr>
          <w:p w14:paraId="217C53B5" w14:textId="376E757A" w:rsidR="00D44B71" w:rsidRDefault="003D77E6" w:rsidP="00707184">
            <w:pPr>
              <w:jc w:val="center"/>
            </w:pPr>
            <w:r>
              <w:t>Lower-Middle</w:t>
            </w:r>
          </w:p>
        </w:tc>
        <w:tc>
          <w:tcPr>
            <w:tcW w:w="1145" w:type="dxa"/>
            <w:shd w:val="clear" w:color="auto" w:fill="D1D1D1" w:themeFill="background2" w:themeFillShade="E6"/>
          </w:tcPr>
          <w:p w14:paraId="39A4035F" w14:textId="42F9F2A7" w:rsidR="00D44B71" w:rsidRDefault="00033050" w:rsidP="00707184">
            <w:pPr>
              <w:jc w:val="center"/>
            </w:pPr>
            <w:r>
              <w:t>7</w:t>
            </w:r>
            <w:r w:rsidR="003D77E6">
              <w:t>1</w:t>
            </w:r>
          </w:p>
        </w:tc>
        <w:tc>
          <w:tcPr>
            <w:tcW w:w="1376" w:type="dxa"/>
            <w:shd w:val="clear" w:color="auto" w:fill="D1D1D1" w:themeFill="background2" w:themeFillShade="E6"/>
          </w:tcPr>
          <w:p w14:paraId="64222B53" w14:textId="58859FFA" w:rsidR="00D44B71" w:rsidRDefault="003D77E6" w:rsidP="00707184">
            <w:pPr>
              <w:jc w:val="center"/>
            </w:pPr>
            <w:r>
              <w:t>73</w:t>
            </w:r>
          </w:p>
        </w:tc>
        <w:tc>
          <w:tcPr>
            <w:tcW w:w="1523" w:type="dxa"/>
            <w:shd w:val="clear" w:color="auto" w:fill="D1D1D1" w:themeFill="background2" w:themeFillShade="E6"/>
          </w:tcPr>
          <w:p w14:paraId="0DE50ADD" w14:textId="70EEEEF9" w:rsidR="00D44B71" w:rsidRDefault="003D77E6" w:rsidP="00707184">
            <w:pPr>
              <w:jc w:val="center"/>
            </w:pPr>
            <w:r>
              <w:t>12</w:t>
            </w:r>
          </w:p>
        </w:tc>
        <w:tc>
          <w:tcPr>
            <w:tcW w:w="2001" w:type="dxa"/>
            <w:shd w:val="clear" w:color="auto" w:fill="D1D1D1" w:themeFill="background2" w:themeFillShade="E6"/>
          </w:tcPr>
          <w:p w14:paraId="26DE6F7E" w14:textId="6603E39F" w:rsidR="00D44B71" w:rsidRDefault="003D77E6" w:rsidP="00707184">
            <w:pPr>
              <w:jc w:val="center"/>
            </w:pPr>
            <w:r>
              <w:t>0</w:t>
            </w:r>
          </w:p>
        </w:tc>
      </w:tr>
      <w:tr w:rsidR="00D44B71" w14:paraId="0517AAFF" w14:textId="77777777" w:rsidTr="003D77E6">
        <w:tc>
          <w:tcPr>
            <w:tcW w:w="1743" w:type="dxa"/>
            <w:vMerge/>
            <w:shd w:val="clear" w:color="auto" w:fill="D1D1D1" w:themeFill="background2" w:themeFillShade="E6"/>
          </w:tcPr>
          <w:p w14:paraId="36BC85B1" w14:textId="77777777" w:rsidR="00D44B71" w:rsidRDefault="00D44B71" w:rsidP="00707184">
            <w:pPr>
              <w:jc w:val="center"/>
            </w:pPr>
          </w:p>
        </w:tc>
        <w:tc>
          <w:tcPr>
            <w:tcW w:w="1228" w:type="dxa"/>
            <w:shd w:val="clear" w:color="auto" w:fill="D1D1D1" w:themeFill="background2" w:themeFillShade="E6"/>
          </w:tcPr>
          <w:p w14:paraId="7961ABF7" w14:textId="76B422D6" w:rsidR="00D44B71" w:rsidRDefault="003D77E6" w:rsidP="00707184">
            <w:pPr>
              <w:jc w:val="center"/>
            </w:pPr>
            <w:r>
              <w:t>Upper-Middle</w:t>
            </w:r>
          </w:p>
        </w:tc>
        <w:tc>
          <w:tcPr>
            <w:tcW w:w="1145" w:type="dxa"/>
            <w:shd w:val="clear" w:color="auto" w:fill="D1D1D1" w:themeFill="background2" w:themeFillShade="E6"/>
          </w:tcPr>
          <w:p w14:paraId="330F2CAD" w14:textId="07B5B414" w:rsidR="00D44B71" w:rsidRDefault="003D77E6" w:rsidP="00707184">
            <w:pPr>
              <w:jc w:val="center"/>
            </w:pPr>
            <w:r>
              <w:t>79</w:t>
            </w:r>
          </w:p>
        </w:tc>
        <w:tc>
          <w:tcPr>
            <w:tcW w:w="1376" w:type="dxa"/>
            <w:shd w:val="clear" w:color="auto" w:fill="D1D1D1" w:themeFill="background2" w:themeFillShade="E6"/>
          </w:tcPr>
          <w:p w14:paraId="6831ABC2" w14:textId="6521450C" w:rsidR="00D44B71" w:rsidRDefault="003D77E6" w:rsidP="00707184">
            <w:pPr>
              <w:jc w:val="center"/>
            </w:pPr>
            <w:r>
              <w:t>80</w:t>
            </w:r>
          </w:p>
        </w:tc>
        <w:tc>
          <w:tcPr>
            <w:tcW w:w="1523" w:type="dxa"/>
            <w:shd w:val="clear" w:color="auto" w:fill="D1D1D1" w:themeFill="background2" w:themeFillShade="E6"/>
          </w:tcPr>
          <w:p w14:paraId="5497132F" w14:textId="1952C3AA" w:rsidR="00D44B71" w:rsidRDefault="003D77E6" w:rsidP="00707184">
            <w:pPr>
              <w:jc w:val="center"/>
            </w:pPr>
            <w:r>
              <w:t>8</w:t>
            </w:r>
          </w:p>
        </w:tc>
        <w:tc>
          <w:tcPr>
            <w:tcW w:w="2001" w:type="dxa"/>
            <w:shd w:val="clear" w:color="auto" w:fill="D1D1D1" w:themeFill="background2" w:themeFillShade="E6"/>
          </w:tcPr>
          <w:p w14:paraId="42C7C685" w14:textId="3E402EA4" w:rsidR="00D44B71" w:rsidRDefault="003D77E6" w:rsidP="00707184">
            <w:pPr>
              <w:jc w:val="center"/>
            </w:pPr>
            <w:r>
              <w:t>0</w:t>
            </w:r>
          </w:p>
        </w:tc>
      </w:tr>
      <w:tr w:rsidR="00D44B71" w14:paraId="7A5DFFAB" w14:textId="77777777" w:rsidTr="003D77E6">
        <w:tc>
          <w:tcPr>
            <w:tcW w:w="1743" w:type="dxa"/>
            <w:vMerge/>
            <w:shd w:val="clear" w:color="auto" w:fill="D1D1D1" w:themeFill="background2" w:themeFillShade="E6"/>
          </w:tcPr>
          <w:p w14:paraId="360B13CC" w14:textId="77777777" w:rsidR="00D44B71" w:rsidRDefault="00D44B71" w:rsidP="00707184">
            <w:pPr>
              <w:jc w:val="center"/>
            </w:pPr>
          </w:p>
        </w:tc>
        <w:tc>
          <w:tcPr>
            <w:tcW w:w="1228" w:type="dxa"/>
            <w:shd w:val="clear" w:color="auto" w:fill="D1D1D1" w:themeFill="background2" w:themeFillShade="E6"/>
          </w:tcPr>
          <w:p w14:paraId="62034D7A" w14:textId="1B20C6C2" w:rsidR="00D44B71" w:rsidRDefault="003D77E6" w:rsidP="00707184">
            <w:pPr>
              <w:jc w:val="center"/>
            </w:pPr>
            <w:r>
              <w:t>High</w:t>
            </w:r>
          </w:p>
        </w:tc>
        <w:tc>
          <w:tcPr>
            <w:tcW w:w="1145" w:type="dxa"/>
            <w:shd w:val="clear" w:color="auto" w:fill="D1D1D1" w:themeFill="background2" w:themeFillShade="E6"/>
          </w:tcPr>
          <w:p w14:paraId="33C02F64" w14:textId="710E7A7F" w:rsidR="00D44B71" w:rsidRDefault="00033050" w:rsidP="00707184">
            <w:pPr>
              <w:jc w:val="center"/>
            </w:pPr>
            <w:r>
              <w:t>8</w:t>
            </w:r>
            <w:r w:rsidR="003D77E6">
              <w:t>7</w:t>
            </w:r>
          </w:p>
        </w:tc>
        <w:tc>
          <w:tcPr>
            <w:tcW w:w="1376" w:type="dxa"/>
            <w:shd w:val="clear" w:color="auto" w:fill="D1D1D1" w:themeFill="background2" w:themeFillShade="E6"/>
          </w:tcPr>
          <w:p w14:paraId="6EE6E2A5" w14:textId="0C774750" w:rsidR="00D44B71" w:rsidRDefault="003D77E6" w:rsidP="00707184">
            <w:pPr>
              <w:jc w:val="center"/>
            </w:pPr>
            <w:r>
              <w:t>88</w:t>
            </w:r>
          </w:p>
        </w:tc>
        <w:tc>
          <w:tcPr>
            <w:tcW w:w="1523" w:type="dxa"/>
            <w:shd w:val="clear" w:color="auto" w:fill="D1D1D1" w:themeFill="background2" w:themeFillShade="E6"/>
          </w:tcPr>
          <w:p w14:paraId="2A91D38C" w14:textId="17291851" w:rsidR="00D44B71" w:rsidRDefault="003D77E6" w:rsidP="00707184">
            <w:pPr>
              <w:jc w:val="center"/>
            </w:pPr>
            <w:r>
              <w:t>5</w:t>
            </w:r>
          </w:p>
        </w:tc>
        <w:tc>
          <w:tcPr>
            <w:tcW w:w="2001" w:type="dxa"/>
            <w:shd w:val="clear" w:color="auto" w:fill="D1D1D1" w:themeFill="background2" w:themeFillShade="E6"/>
          </w:tcPr>
          <w:p w14:paraId="376D6239" w14:textId="3F4A284A" w:rsidR="00D44B71" w:rsidRDefault="003D77E6" w:rsidP="00707184">
            <w:pPr>
              <w:jc w:val="center"/>
            </w:pPr>
            <w:r>
              <w:t>0</w:t>
            </w:r>
          </w:p>
        </w:tc>
      </w:tr>
      <w:tr w:rsidR="009745D5" w14:paraId="5B391B92" w14:textId="77777777" w:rsidTr="00D44B71">
        <w:tc>
          <w:tcPr>
            <w:tcW w:w="1743" w:type="dxa"/>
            <w:vMerge w:val="restart"/>
          </w:tcPr>
          <w:p w14:paraId="7925E817" w14:textId="7A33ABAD" w:rsidR="009745D5" w:rsidRDefault="009745D5" w:rsidP="00707184">
            <w:pPr>
              <w:jc w:val="center"/>
            </w:pPr>
            <w:r>
              <w:t>Unmet need for contraception</w:t>
            </w:r>
          </w:p>
        </w:tc>
        <w:tc>
          <w:tcPr>
            <w:tcW w:w="1228" w:type="dxa"/>
          </w:tcPr>
          <w:p w14:paraId="3E45AB33" w14:textId="57FF36EF" w:rsidR="009745D5" w:rsidRDefault="009745D5" w:rsidP="00707184">
            <w:pPr>
              <w:jc w:val="center"/>
            </w:pPr>
            <w:r>
              <w:t>Low</w:t>
            </w:r>
          </w:p>
        </w:tc>
        <w:tc>
          <w:tcPr>
            <w:tcW w:w="1145" w:type="dxa"/>
          </w:tcPr>
          <w:p w14:paraId="11C58C23" w14:textId="0FB008F6" w:rsidR="009745D5" w:rsidRDefault="003B75E3" w:rsidP="00707184">
            <w:pPr>
              <w:jc w:val="center"/>
            </w:pPr>
            <w:r>
              <w:t>27</w:t>
            </w:r>
          </w:p>
        </w:tc>
        <w:tc>
          <w:tcPr>
            <w:tcW w:w="1376" w:type="dxa"/>
          </w:tcPr>
          <w:p w14:paraId="629DCE90" w14:textId="68C9CB0B" w:rsidR="009745D5" w:rsidRDefault="00E85E95" w:rsidP="00707184">
            <w:pPr>
              <w:jc w:val="center"/>
            </w:pPr>
            <w:r>
              <w:t>28</w:t>
            </w:r>
          </w:p>
        </w:tc>
        <w:tc>
          <w:tcPr>
            <w:tcW w:w="1523" w:type="dxa"/>
          </w:tcPr>
          <w:p w14:paraId="5B0A5ED3" w14:textId="64DAFB7D" w:rsidR="009745D5" w:rsidRDefault="00E85E95" w:rsidP="00707184">
            <w:pPr>
              <w:jc w:val="center"/>
            </w:pPr>
            <w:r>
              <w:t>7</w:t>
            </w:r>
          </w:p>
        </w:tc>
        <w:tc>
          <w:tcPr>
            <w:tcW w:w="2001" w:type="dxa"/>
          </w:tcPr>
          <w:p w14:paraId="37E4AFCD" w14:textId="61C54CB6" w:rsidR="009745D5" w:rsidRDefault="00E85E95" w:rsidP="00707184">
            <w:pPr>
              <w:jc w:val="center"/>
            </w:pPr>
            <w:r>
              <w:t>33</w:t>
            </w:r>
          </w:p>
        </w:tc>
      </w:tr>
      <w:tr w:rsidR="009745D5" w14:paraId="3CC24CED" w14:textId="77777777" w:rsidTr="00D44B71">
        <w:tc>
          <w:tcPr>
            <w:tcW w:w="1743" w:type="dxa"/>
            <w:vMerge/>
          </w:tcPr>
          <w:p w14:paraId="56DE5877" w14:textId="77777777" w:rsidR="009745D5" w:rsidRDefault="009745D5" w:rsidP="00707184">
            <w:pPr>
              <w:jc w:val="center"/>
            </w:pPr>
          </w:p>
        </w:tc>
        <w:tc>
          <w:tcPr>
            <w:tcW w:w="1228" w:type="dxa"/>
          </w:tcPr>
          <w:p w14:paraId="2AF4AA11" w14:textId="050DFF30" w:rsidR="009745D5" w:rsidRDefault="009745D5" w:rsidP="00707184">
            <w:pPr>
              <w:jc w:val="center"/>
            </w:pPr>
            <w:r>
              <w:t>Upper middle</w:t>
            </w:r>
          </w:p>
        </w:tc>
        <w:tc>
          <w:tcPr>
            <w:tcW w:w="1145" w:type="dxa"/>
          </w:tcPr>
          <w:p w14:paraId="072D2A0B" w14:textId="15EF10AE" w:rsidR="009745D5" w:rsidRDefault="003B75E3" w:rsidP="00707184">
            <w:pPr>
              <w:jc w:val="center"/>
            </w:pPr>
            <w:r>
              <w:t>22</w:t>
            </w:r>
          </w:p>
        </w:tc>
        <w:tc>
          <w:tcPr>
            <w:tcW w:w="1376" w:type="dxa"/>
          </w:tcPr>
          <w:p w14:paraId="6AB28FA2" w14:textId="501E20EF" w:rsidR="009745D5" w:rsidRDefault="00E85E95" w:rsidP="00707184">
            <w:pPr>
              <w:jc w:val="center"/>
            </w:pPr>
            <w:r>
              <w:t>23</w:t>
            </w:r>
          </w:p>
        </w:tc>
        <w:tc>
          <w:tcPr>
            <w:tcW w:w="1523" w:type="dxa"/>
          </w:tcPr>
          <w:p w14:paraId="5F3D1710" w14:textId="3FEECBE4" w:rsidR="009745D5" w:rsidRDefault="00E85E95" w:rsidP="00707184">
            <w:pPr>
              <w:jc w:val="center"/>
            </w:pPr>
            <w:r>
              <w:t>8</w:t>
            </w:r>
          </w:p>
        </w:tc>
        <w:tc>
          <w:tcPr>
            <w:tcW w:w="2001" w:type="dxa"/>
          </w:tcPr>
          <w:p w14:paraId="45AA9927" w14:textId="0F54ECD1" w:rsidR="009745D5" w:rsidRDefault="00E85E95" w:rsidP="00707184">
            <w:pPr>
              <w:jc w:val="center"/>
            </w:pPr>
            <w:r>
              <w:t>72</w:t>
            </w:r>
          </w:p>
        </w:tc>
      </w:tr>
      <w:tr w:rsidR="009745D5" w14:paraId="27B35AE5" w14:textId="77777777" w:rsidTr="00D44B71">
        <w:tc>
          <w:tcPr>
            <w:tcW w:w="1743" w:type="dxa"/>
            <w:vMerge/>
          </w:tcPr>
          <w:p w14:paraId="05F27F03" w14:textId="77777777" w:rsidR="009745D5" w:rsidRDefault="009745D5" w:rsidP="00707184">
            <w:pPr>
              <w:jc w:val="center"/>
            </w:pPr>
          </w:p>
        </w:tc>
        <w:tc>
          <w:tcPr>
            <w:tcW w:w="1228" w:type="dxa"/>
          </w:tcPr>
          <w:p w14:paraId="42FF46A5" w14:textId="26B2C162" w:rsidR="009745D5" w:rsidRDefault="009745D5" w:rsidP="00707184">
            <w:pPr>
              <w:jc w:val="center"/>
            </w:pPr>
            <w:r>
              <w:t>Lower middle</w:t>
            </w:r>
          </w:p>
        </w:tc>
        <w:tc>
          <w:tcPr>
            <w:tcW w:w="1145" w:type="dxa"/>
          </w:tcPr>
          <w:p w14:paraId="5645F664" w14:textId="6197AA6F" w:rsidR="009745D5" w:rsidRDefault="003B75E3" w:rsidP="00707184">
            <w:pPr>
              <w:jc w:val="center"/>
            </w:pPr>
            <w:r>
              <w:t>13</w:t>
            </w:r>
          </w:p>
        </w:tc>
        <w:tc>
          <w:tcPr>
            <w:tcW w:w="1376" w:type="dxa"/>
          </w:tcPr>
          <w:p w14:paraId="550A3AFC" w14:textId="3C70B53F" w:rsidR="009745D5" w:rsidRDefault="00E85E95" w:rsidP="00707184">
            <w:pPr>
              <w:jc w:val="center"/>
            </w:pPr>
            <w:r>
              <w:t>12</w:t>
            </w:r>
          </w:p>
        </w:tc>
        <w:tc>
          <w:tcPr>
            <w:tcW w:w="1523" w:type="dxa"/>
          </w:tcPr>
          <w:p w14:paraId="0485BB87" w14:textId="4710CFBB" w:rsidR="009745D5" w:rsidRDefault="00E85E95" w:rsidP="00707184">
            <w:pPr>
              <w:jc w:val="center"/>
            </w:pPr>
            <w:r>
              <w:t>6</w:t>
            </w:r>
          </w:p>
        </w:tc>
        <w:tc>
          <w:tcPr>
            <w:tcW w:w="2001" w:type="dxa"/>
          </w:tcPr>
          <w:p w14:paraId="1977E5B0" w14:textId="528DA06B" w:rsidR="009745D5" w:rsidRDefault="00E85E95" w:rsidP="00707184">
            <w:pPr>
              <w:jc w:val="center"/>
            </w:pPr>
            <w:r>
              <w:t>88</w:t>
            </w:r>
          </w:p>
        </w:tc>
      </w:tr>
      <w:tr w:rsidR="009745D5" w14:paraId="504071AF" w14:textId="77777777" w:rsidTr="00D44B71">
        <w:tc>
          <w:tcPr>
            <w:tcW w:w="1743" w:type="dxa"/>
            <w:vMerge/>
          </w:tcPr>
          <w:p w14:paraId="53398670" w14:textId="77777777" w:rsidR="009745D5" w:rsidRDefault="009745D5" w:rsidP="00707184">
            <w:pPr>
              <w:jc w:val="center"/>
            </w:pPr>
          </w:p>
        </w:tc>
        <w:tc>
          <w:tcPr>
            <w:tcW w:w="1228" w:type="dxa"/>
          </w:tcPr>
          <w:p w14:paraId="60E74B0E" w14:textId="5356340B" w:rsidR="009745D5" w:rsidRDefault="009745D5" w:rsidP="00707184">
            <w:pPr>
              <w:jc w:val="center"/>
            </w:pPr>
            <w:r>
              <w:t>High</w:t>
            </w:r>
          </w:p>
        </w:tc>
        <w:tc>
          <w:tcPr>
            <w:tcW w:w="1145" w:type="dxa"/>
          </w:tcPr>
          <w:p w14:paraId="24374628" w14:textId="47C13526" w:rsidR="009745D5" w:rsidRDefault="003B75E3" w:rsidP="00707184">
            <w:pPr>
              <w:jc w:val="center"/>
            </w:pPr>
            <w:r>
              <w:t>13</w:t>
            </w:r>
          </w:p>
        </w:tc>
        <w:tc>
          <w:tcPr>
            <w:tcW w:w="1376" w:type="dxa"/>
          </w:tcPr>
          <w:p w14:paraId="778B3FD9" w14:textId="75CA16D6" w:rsidR="009745D5" w:rsidRDefault="00E85E95" w:rsidP="00707184">
            <w:pPr>
              <w:jc w:val="center"/>
            </w:pPr>
            <w:r>
              <w:t>10</w:t>
            </w:r>
          </w:p>
        </w:tc>
        <w:tc>
          <w:tcPr>
            <w:tcW w:w="1523" w:type="dxa"/>
          </w:tcPr>
          <w:p w14:paraId="341D6770" w14:textId="30510589" w:rsidR="009745D5" w:rsidRDefault="00E85E95" w:rsidP="00707184">
            <w:pPr>
              <w:jc w:val="center"/>
            </w:pPr>
            <w:r>
              <w:t>10</w:t>
            </w:r>
          </w:p>
        </w:tc>
        <w:tc>
          <w:tcPr>
            <w:tcW w:w="2001" w:type="dxa"/>
          </w:tcPr>
          <w:p w14:paraId="6715F40D" w14:textId="7E11D6F5" w:rsidR="009745D5" w:rsidRDefault="00E85E95" w:rsidP="00707184">
            <w:pPr>
              <w:jc w:val="center"/>
            </w:pPr>
            <w:r>
              <w:t>97</w:t>
            </w:r>
          </w:p>
        </w:tc>
      </w:tr>
    </w:tbl>
    <w:p w14:paraId="346E1516" w14:textId="3DAE52DA" w:rsidR="009A0297" w:rsidRDefault="009A0297" w:rsidP="004C090A">
      <w:pPr>
        <w:jc w:val="both"/>
      </w:pPr>
    </w:p>
    <w:p w14:paraId="6BC8B06B" w14:textId="73C5AA66" w:rsidR="004C090A" w:rsidRDefault="000422EB" w:rsidP="004C090A">
      <w:pPr>
        <w:jc w:val="both"/>
      </w:pPr>
      <w:r>
        <w:t>R</w:t>
      </w:r>
      <w:r w:rsidR="000701FB">
        <w:t>emoving samples missing an associated MMR estimate</w:t>
      </w:r>
      <w:r>
        <w:t xml:space="preserve"> caused the number of samples </w:t>
      </w:r>
      <w:r w:rsidR="004829C1">
        <w:t>from each income level to decrease</w:t>
      </w:r>
      <w:r w:rsidR="00BD5D65">
        <w:t xml:space="preserve"> (see Table 5)</w:t>
      </w:r>
      <w:r w:rsidR="004829C1">
        <w:t xml:space="preserve">. The </w:t>
      </w:r>
      <w:r w:rsidR="00BD5D65">
        <w:t xml:space="preserve">proportion of samples remaining after this data cleaning step increased as income level increased, highlighting the lack of routine data collection services in lower income countries. </w:t>
      </w:r>
    </w:p>
    <w:p w14:paraId="584BF26F" w14:textId="77777777" w:rsidR="00F53440" w:rsidRDefault="00F53440" w:rsidP="004C090A">
      <w:pPr>
        <w:jc w:val="both"/>
      </w:pPr>
    </w:p>
    <w:p w14:paraId="09F83780" w14:textId="589CF6FD" w:rsidR="002F4404" w:rsidRDefault="002F4404" w:rsidP="004C090A">
      <w:pPr>
        <w:jc w:val="both"/>
      </w:pPr>
      <w:r>
        <w:rPr>
          <w:b/>
          <w:bCs/>
        </w:rPr>
        <w:t>Table 5:</w:t>
      </w:r>
      <w:r>
        <w:t xml:space="preserve"> Number of samples per income level before and after samples missing an MMR estimate were removed. </w:t>
      </w:r>
      <w:r w:rsidR="00D77794">
        <w:t xml:space="preserve">The proportion of </w:t>
      </w:r>
      <w:r w:rsidR="00BD5D65">
        <w:t>datapoints</w:t>
      </w:r>
      <w:r w:rsidR="00D77794">
        <w:t xml:space="preserve"> remaining </w:t>
      </w:r>
      <w:r w:rsidR="00BD5D65">
        <w:t xml:space="preserve">per income level </w:t>
      </w:r>
      <w:r w:rsidR="00D77794">
        <w:t xml:space="preserve">after </w:t>
      </w:r>
      <w:r w:rsidR="00BD5D65">
        <w:t xml:space="preserve">removal of </w:t>
      </w:r>
      <w:r w:rsidR="00D77794">
        <w:t xml:space="preserve">samples with their MMR </w:t>
      </w:r>
      <w:r w:rsidR="00BD5D65">
        <w:t xml:space="preserve">estimate </w:t>
      </w:r>
      <w:r w:rsidR="00D77794">
        <w:t xml:space="preserve">missing </w:t>
      </w:r>
      <w:r w:rsidR="00BD5D65">
        <w:t xml:space="preserve">was given as a percentage. </w:t>
      </w:r>
    </w:p>
    <w:p w14:paraId="7B576616" w14:textId="77777777" w:rsidR="002F4404" w:rsidRPr="002F4404" w:rsidRDefault="002F4404" w:rsidP="004C090A">
      <w:pPr>
        <w:jc w:val="both"/>
      </w:pPr>
    </w:p>
    <w:tbl>
      <w:tblPr>
        <w:tblStyle w:val="TableGrid"/>
        <w:tblW w:w="0" w:type="auto"/>
        <w:tblLook w:val="04A0" w:firstRow="1" w:lastRow="0" w:firstColumn="1" w:lastColumn="0" w:noHBand="0" w:noVBand="1"/>
      </w:tblPr>
      <w:tblGrid>
        <w:gridCol w:w="1752"/>
        <w:gridCol w:w="2465"/>
        <w:gridCol w:w="2605"/>
        <w:gridCol w:w="2194"/>
      </w:tblGrid>
      <w:tr w:rsidR="004829C1" w14:paraId="55FCCA43" w14:textId="13A227DB" w:rsidTr="004829C1">
        <w:tc>
          <w:tcPr>
            <w:tcW w:w="1752" w:type="dxa"/>
            <w:vMerge w:val="restart"/>
          </w:tcPr>
          <w:p w14:paraId="523902CF" w14:textId="77777777" w:rsidR="004829C1" w:rsidRDefault="004829C1" w:rsidP="001F0C32">
            <w:pPr>
              <w:jc w:val="center"/>
              <w:rPr>
                <w:b/>
                <w:bCs/>
              </w:rPr>
            </w:pPr>
          </w:p>
          <w:p w14:paraId="0B51E9AC" w14:textId="1582B3D0" w:rsidR="004829C1" w:rsidRPr="001F0C32" w:rsidRDefault="004829C1" w:rsidP="001F0C32">
            <w:pPr>
              <w:jc w:val="center"/>
              <w:rPr>
                <w:b/>
                <w:bCs/>
              </w:rPr>
            </w:pPr>
            <w:r w:rsidRPr="001F0C32">
              <w:rPr>
                <w:b/>
                <w:bCs/>
              </w:rPr>
              <w:t>Income Level</w:t>
            </w:r>
          </w:p>
        </w:tc>
        <w:tc>
          <w:tcPr>
            <w:tcW w:w="5070" w:type="dxa"/>
            <w:gridSpan w:val="2"/>
          </w:tcPr>
          <w:p w14:paraId="63B29B4D" w14:textId="461EE8FB" w:rsidR="004829C1" w:rsidRPr="001F0C32" w:rsidRDefault="004829C1" w:rsidP="001F0C32">
            <w:pPr>
              <w:jc w:val="center"/>
              <w:rPr>
                <w:b/>
                <w:bCs/>
              </w:rPr>
            </w:pPr>
            <w:r w:rsidRPr="001F0C32">
              <w:rPr>
                <w:b/>
                <w:bCs/>
              </w:rPr>
              <w:t>Number of Samples</w:t>
            </w:r>
          </w:p>
        </w:tc>
        <w:tc>
          <w:tcPr>
            <w:tcW w:w="2194" w:type="dxa"/>
            <w:vMerge w:val="restart"/>
          </w:tcPr>
          <w:p w14:paraId="4EDFBA13" w14:textId="01FF7CE2" w:rsidR="004829C1" w:rsidRPr="001F0C32" w:rsidRDefault="004829C1" w:rsidP="001F0C32">
            <w:pPr>
              <w:jc w:val="center"/>
              <w:rPr>
                <w:b/>
                <w:bCs/>
              </w:rPr>
            </w:pPr>
            <w:r>
              <w:rPr>
                <w:b/>
                <w:bCs/>
              </w:rPr>
              <w:t xml:space="preserve">Proportion </w:t>
            </w:r>
            <w:r w:rsidR="00CF1CAE">
              <w:rPr>
                <w:b/>
                <w:bCs/>
              </w:rPr>
              <w:t>of Samples Remaining</w:t>
            </w:r>
            <w:r>
              <w:rPr>
                <w:b/>
                <w:bCs/>
              </w:rPr>
              <w:t xml:space="preserve"> (%)</w:t>
            </w:r>
          </w:p>
        </w:tc>
      </w:tr>
      <w:tr w:rsidR="004829C1" w14:paraId="5C3B4D01" w14:textId="5F6FAF05" w:rsidTr="004829C1">
        <w:tc>
          <w:tcPr>
            <w:tcW w:w="1752" w:type="dxa"/>
            <w:vMerge/>
          </w:tcPr>
          <w:p w14:paraId="5DE85EC1" w14:textId="77777777" w:rsidR="004829C1" w:rsidRPr="001F0C32" w:rsidRDefault="004829C1" w:rsidP="001F0C32">
            <w:pPr>
              <w:jc w:val="center"/>
              <w:rPr>
                <w:b/>
                <w:bCs/>
              </w:rPr>
            </w:pPr>
          </w:p>
        </w:tc>
        <w:tc>
          <w:tcPr>
            <w:tcW w:w="2465" w:type="dxa"/>
          </w:tcPr>
          <w:p w14:paraId="3687F9F7" w14:textId="634557C4" w:rsidR="004829C1" w:rsidRPr="001F0C32" w:rsidRDefault="004829C1" w:rsidP="001F0C32">
            <w:pPr>
              <w:jc w:val="center"/>
              <w:rPr>
                <w:b/>
                <w:bCs/>
              </w:rPr>
            </w:pPr>
            <w:r>
              <w:rPr>
                <w:b/>
                <w:bCs/>
              </w:rPr>
              <w:t>Before Removing Samples with MMR Missing</w:t>
            </w:r>
          </w:p>
        </w:tc>
        <w:tc>
          <w:tcPr>
            <w:tcW w:w="2605" w:type="dxa"/>
          </w:tcPr>
          <w:p w14:paraId="198D4922" w14:textId="79DF72CE" w:rsidR="004829C1" w:rsidRPr="001F0C32" w:rsidRDefault="004829C1" w:rsidP="001F0C32">
            <w:pPr>
              <w:jc w:val="center"/>
              <w:rPr>
                <w:b/>
                <w:bCs/>
              </w:rPr>
            </w:pPr>
            <w:r>
              <w:rPr>
                <w:b/>
                <w:bCs/>
              </w:rPr>
              <w:t>After Removing Samples with MMR Missing</w:t>
            </w:r>
          </w:p>
        </w:tc>
        <w:tc>
          <w:tcPr>
            <w:tcW w:w="2194" w:type="dxa"/>
            <w:vMerge/>
          </w:tcPr>
          <w:p w14:paraId="5A9A405C" w14:textId="77777777" w:rsidR="004829C1" w:rsidRDefault="004829C1" w:rsidP="001F0C32">
            <w:pPr>
              <w:jc w:val="center"/>
              <w:rPr>
                <w:b/>
                <w:bCs/>
              </w:rPr>
            </w:pPr>
          </w:p>
        </w:tc>
      </w:tr>
      <w:tr w:rsidR="004829C1" w14:paraId="5CBBAFF5" w14:textId="1FF1C036" w:rsidTr="004829C1">
        <w:tc>
          <w:tcPr>
            <w:tcW w:w="1752" w:type="dxa"/>
          </w:tcPr>
          <w:p w14:paraId="6A060D48" w14:textId="4BDEA4DF" w:rsidR="004829C1" w:rsidRPr="001F0C32" w:rsidRDefault="004829C1" w:rsidP="001F0C32">
            <w:pPr>
              <w:jc w:val="center"/>
              <w:rPr>
                <w:b/>
                <w:bCs/>
              </w:rPr>
            </w:pPr>
            <w:r w:rsidRPr="001F0C32">
              <w:rPr>
                <w:b/>
                <w:bCs/>
              </w:rPr>
              <w:t>Low</w:t>
            </w:r>
          </w:p>
        </w:tc>
        <w:tc>
          <w:tcPr>
            <w:tcW w:w="2465" w:type="dxa"/>
          </w:tcPr>
          <w:p w14:paraId="05386EE8" w14:textId="30D135D8" w:rsidR="004829C1" w:rsidRDefault="004829C1" w:rsidP="001F0C32">
            <w:pPr>
              <w:jc w:val="center"/>
            </w:pPr>
            <w:r>
              <w:t>884</w:t>
            </w:r>
          </w:p>
        </w:tc>
        <w:tc>
          <w:tcPr>
            <w:tcW w:w="2605" w:type="dxa"/>
          </w:tcPr>
          <w:p w14:paraId="61037566" w14:textId="66E5A7FF" w:rsidR="004829C1" w:rsidRDefault="004829C1" w:rsidP="001F0C32">
            <w:pPr>
              <w:jc w:val="center"/>
            </w:pPr>
            <w:r>
              <w:t>78</w:t>
            </w:r>
          </w:p>
        </w:tc>
        <w:tc>
          <w:tcPr>
            <w:tcW w:w="2194" w:type="dxa"/>
          </w:tcPr>
          <w:p w14:paraId="18679DE7" w14:textId="0B8B8CA0" w:rsidR="004829C1" w:rsidRDefault="00CF1CAE" w:rsidP="001F0C32">
            <w:pPr>
              <w:jc w:val="center"/>
            </w:pPr>
            <w:r>
              <w:t>8.8</w:t>
            </w:r>
          </w:p>
        </w:tc>
      </w:tr>
      <w:tr w:rsidR="004829C1" w14:paraId="66BDB210" w14:textId="357855F7" w:rsidTr="004829C1">
        <w:tc>
          <w:tcPr>
            <w:tcW w:w="1752" w:type="dxa"/>
          </w:tcPr>
          <w:p w14:paraId="275A250B" w14:textId="46094386" w:rsidR="004829C1" w:rsidRPr="001F0C32" w:rsidRDefault="004829C1" w:rsidP="001F0C32">
            <w:pPr>
              <w:jc w:val="center"/>
              <w:rPr>
                <w:b/>
                <w:bCs/>
              </w:rPr>
            </w:pPr>
            <w:r w:rsidRPr="001F0C32">
              <w:rPr>
                <w:b/>
                <w:bCs/>
              </w:rPr>
              <w:t>Lower-Middle</w:t>
            </w:r>
          </w:p>
        </w:tc>
        <w:tc>
          <w:tcPr>
            <w:tcW w:w="2465" w:type="dxa"/>
          </w:tcPr>
          <w:p w14:paraId="484BE512" w14:textId="4510C6E9" w:rsidR="004829C1" w:rsidRDefault="004829C1" w:rsidP="001F0C32">
            <w:pPr>
              <w:jc w:val="center"/>
            </w:pPr>
            <w:r>
              <w:t>1734</w:t>
            </w:r>
          </w:p>
        </w:tc>
        <w:tc>
          <w:tcPr>
            <w:tcW w:w="2605" w:type="dxa"/>
          </w:tcPr>
          <w:p w14:paraId="229FC7B8" w14:textId="24B97B84" w:rsidR="004829C1" w:rsidRDefault="004829C1" w:rsidP="001F0C32">
            <w:pPr>
              <w:jc w:val="center"/>
            </w:pPr>
            <w:r>
              <w:t>310</w:t>
            </w:r>
          </w:p>
        </w:tc>
        <w:tc>
          <w:tcPr>
            <w:tcW w:w="2194" w:type="dxa"/>
          </w:tcPr>
          <w:p w14:paraId="6486AEE8" w14:textId="7E679776" w:rsidR="004829C1" w:rsidRDefault="00CF1CAE" w:rsidP="001F0C32">
            <w:pPr>
              <w:jc w:val="center"/>
            </w:pPr>
            <w:r>
              <w:t>17.88</w:t>
            </w:r>
          </w:p>
        </w:tc>
      </w:tr>
      <w:tr w:rsidR="004829C1" w14:paraId="1A5F94E6" w14:textId="4AB98A13" w:rsidTr="004829C1">
        <w:tc>
          <w:tcPr>
            <w:tcW w:w="1752" w:type="dxa"/>
          </w:tcPr>
          <w:p w14:paraId="1664EFF3" w14:textId="56F1BD39" w:rsidR="004829C1" w:rsidRPr="001F0C32" w:rsidRDefault="004829C1" w:rsidP="001F0C32">
            <w:pPr>
              <w:jc w:val="center"/>
              <w:rPr>
                <w:b/>
                <w:bCs/>
              </w:rPr>
            </w:pPr>
            <w:r w:rsidRPr="001F0C32">
              <w:rPr>
                <w:b/>
                <w:bCs/>
              </w:rPr>
              <w:t>Upper-Middle</w:t>
            </w:r>
          </w:p>
        </w:tc>
        <w:tc>
          <w:tcPr>
            <w:tcW w:w="2465" w:type="dxa"/>
          </w:tcPr>
          <w:p w14:paraId="3955F27A" w14:textId="4BDEB537" w:rsidR="004829C1" w:rsidRDefault="004829C1" w:rsidP="001F0C32">
            <w:pPr>
              <w:jc w:val="center"/>
            </w:pPr>
            <w:r>
              <w:t>1802</w:t>
            </w:r>
          </w:p>
        </w:tc>
        <w:tc>
          <w:tcPr>
            <w:tcW w:w="2605" w:type="dxa"/>
          </w:tcPr>
          <w:p w14:paraId="31440AD0" w14:textId="1586F7B8" w:rsidR="004829C1" w:rsidRDefault="004829C1" w:rsidP="001F0C32">
            <w:pPr>
              <w:jc w:val="center"/>
            </w:pPr>
            <w:r>
              <w:t>996</w:t>
            </w:r>
          </w:p>
        </w:tc>
        <w:tc>
          <w:tcPr>
            <w:tcW w:w="2194" w:type="dxa"/>
          </w:tcPr>
          <w:p w14:paraId="4AF2CDC6" w14:textId="777B46BF" w:rsidR="004829C1" w:rsidRDefault="00F42E3D" w:rsidP="001F0C32">
            <w:pPr>
              <w:jc w:val="center"/>
            </w:pPr>
            <w:r>
              <w:t>55</w:t>
            </w:r>
          </w:p>
        </w:tc>
      </w:tr>
      <w:tr w:rsidR="004829C1" w14:paraId="07F69EA6" w14:textId="1100B075" w:rsidTr="004829C1">
        <w:tc>
          <w:tcPr>
            <w:tcW w:w="1752" w:type="dxa"/>
          </w:tcPr>
          <w:p w14:paraId="5FDFEC08" w14:textId="1935C237" w:rsidR="004829C1" w:rsidRPr="001F0C32" w:rsidRDefault="004829C1" w:rsidP="001F0C32">
            <w:pPr>
              <w:jc w:val="center"/>
              <w:rPr>
                <w:b/>
                <w:bCs/>
              </w:rPr>
            </w:pPr>
            <w:r w:rsidRPr="001F0C32">
              <w:rPr>
                <w:b/>
                <w:bCs/>
              </w:rPr>
              <w:t>High</w:t>
            </w:r>
          </w:p>
        </w:tc>
        <w:tc>
          <w:tcPr>
            <w:tcW w:w="2465" w:type="dxa"/>
          </w:tcPr>
          <w:p w14:paraId="2C6EDCC1" w14:textId="2F326A8C" w:rsidR="004829C1" w:rsidRDefault="004829C1" w:rsidP="001F0C32">
            <w:pPr>
              <w:jc w:val="center"/>
            </w:pPr>
            <w:r>
              <w:t>2176</w:t>
            </w:r>
          </w:p>
        </w:tc>
        <w:tc>
          <w:tcPr>
            <w:tcW w:w="2605" w:type="dxa"/>
          </w:tcPr>
          <w:p w14:paraId="34179688" w14:textId="6F76024F" w:rsidR="004829C1" w:rsidRDefault="004829C1" w:rsidP="001F0C32">
            <w:pPr>
              <w:jc w:val="center"/>
            </w:pPr>
            <w:r>
              <w:t>1405</w:t>
            </w:r>
          </w:p>
        </w:tc>
        <w:tc>
          <w:tcPr>
            <w:tcW w:w="2194" w:type="dxa"/>
          </w:tcPr>
          <w:p w14:paraId="627E327F" w14:textId="31A7DECC" w:rsidR="004829C1" w:rsidRDefault="00F42E3D" w:rsidP="001F0C32">
            <w:pPr>
              <w:jc w:val="center"/>
            </w:pPr>
            <w:r>
              <w:t>65</w:t>
            </w:r>
          </w:p>
        </w:tc>
      </w:tr>
    </w:tbl>
    <w:p w14:paraId="4E836D01" w14:textId="5F0F8493" w:rsidR="00C329AF" w:rsidRPr="00C329AF" w:rsidRDefault="00C329AF" w:rsidP="007E063C">
      <w:pPr>
        <w:jc w:val="both"/>
      </w:pPr>
    </w:p>
    <w:p w14:paraId="0B8B6AC7" w14:textId="7D0EE900" w:rsidR="006346C4" w:rsidRDefault="006346C4" w:rsidP="00F73A22">
      <w:pPr>
        <w:pStyle w:val="Heading3"/>
      </w:pPr>
      <w:r>
        <w:t>4.2</w:t>
      </w:r>
      <w:r w:rsidR="00C329AF">
        <w:t>3</w:t>
      </w:r>
      <w:r>
        <w:t xml:space="preserve"> </w:t>
      </w:r>
      <w:r w:rsidR="00C329AF">
        <w:t>Principal</w:t>
      </w:r>
      <w:r>
        <w:t xml:space="preserve"> Component Analysis</w:t>
      </w:r>
    </w:p>
    <w:p w14:paraId="50BC36A9" w14:textId="694F7BE5" w:rsidR="00F73A22" w:rsidRDefault="00E90B92" w:rsidP="00DC3DE7">
      <w:pPr>
        <w:jc w:val="both"/>
      </w:pPr>
      <w:r>
        <w:t xml:space="preserve">Principal component analysis (PCA) was employed </w:t>
      </w:r>
      <w:r w:rsidR="007B6036">
        <w:t>for dimensionality reduction purpose</w:t>
      </w:r>
      <w:r w:rsidR="00E237B0">
        <w:t>s.</w:t>
      </w:r>
      <w:r w:rsidR="007B6036">
        <w:t xml:space="preserve"> </w:t>
      </w:r>
      <w:r w:rsidR="009D154B">
        <w:t>Rather</w:t>
      </w:r>
      <w:r w:rsidR="00505777">
        <w:t xml:space="preserve"> than trying to visualise patterns by plotting </w:t>
      </w:r>
      <w:r w:rsidR="00215C2C">
        <w:t xml:space="preserve">all </w:t>
      </w:r>
      <w:r w:rsidR="00505777">
        <w:t xml:space="preserve">721 feature dimensions, </w:t>
      </w:r>
      <w:r w:rsidR="00A97B18">
        <w:t xml:space="preserve">the </w:t>
      </w:r>
      <w:r w:rsidR="00505777">
        <w:t xml:space="preserve">PCA </w:t>
      </w:r>
      <w:r w:rsidR="00A97B18">
        <w:t xml:space="preserve">method </w:t>
      </w:r>
      <w:r w:rsidR="00215C2C">
        <w:t xml:space="preserve">was used to project the samples into </w:t>
      </w:r>
      <w:r w:rsidR="002E038F">
        <w:t>the 10 principal components that captured the maximum amount of total variance across the dataset.</w:t>
      </w:r>
      <w:r w:rsidR="00215C2C">
        <w:t xml:space="preserve"> </w:t>
      </w:r>
      <w:r w:rsidR="001550C4">
        <w:t xml:space="preserve"> </w:t>
      </w:r>
    </w:p>
    <w:p w14:paraId="4F19150E" w14:textId="77777777" w:rsidR="00F31562" w:rsidRDefault="00F31562" w:rsidP="00DC3DE7">
      <w:pPr>
        <w:jc w:val="both"/>
      </w:pPr>
    </w:p>
    <w:p w14:paraId="71E2268D" w14:textId="5DD17B03" w:rsidR="00F31562" w:rsidRDefault="001F00EE" w:rsidP="00DC3DE7">
      <w:pPr>
        <w:jc w:val="both"/>
      </w:pPr>
      <w:r>
        <w:t xml:space="preserve">PCA cannot be performed on a sparse dataset. Thus, </w:t>
      </w:r>
      <w:r w:rsidR="003E46E8">
        <w:t xml:space="preserve">the scikit learn implementation of </w:t>
      </w:r>
      <w:r>
        <w:t xml:space="preserve">k-Nearest Neighbours imputation was performed before applying </w:t>
      </w:r>
      <w:r w:rsidR="002C488C">
        <w:t>PCA to the dataset</w:t>
      </w:r>
      <w:r w:rsidR="003346B8">
        <w:t>, where</w:t>
      </w:r>
      <w:r w:rsidR="003E46E8">
        <w:t xml:space="preserve"> missing values were imputed using the values of the most similar data points</w:t>
      </w:r>
      <w:r w:rsidR="004869D2">
        <w:t xml:space="preserve"> [4]</w:t>
      </w:r>
      <w:r w:rsidR="003E46E8">
        <w:t xml:space="preserve">. </w:t>
      </w:r>
      <w:r w:rsidR="00D62A25">
        <w:t xml:space="preserve">The data was standardised </w:t>
      </w:r>
      <w:r w:rsidR="004869D2">
        <w:t xml:space="preserve">to a zero mean and unit standard deviation </w:t>
      </w:r>
      <w:r w:rsidR="00D62A25">
        <w:t>befor</w:t>
      </w:r>
      <w:r w:rsidR="00514631">
        <w:t xml:space="preserve">e applying the scikit learn PCA method </w:t>
      </w:r>
      <w:r w:rsidR="00022626">
        <w:t xml:space="preserve">[5]. This </w:t>
      </w:r>
      <w:r w:rsidR="00514631">
        <w:t>prevent</w:t>
      </w:r>
      <w:r w:rsidR="00022626">
        <w:t>ed</w:t>
      </w:r>
      <w:r w:rsidR="00514631">
        <w:t xml:space="preserve"> variance calculations from being skewed by features with high </w:t>
      </w:r>
      <w:r w:rsidR="00514631">
        <w:lastRenderedPageBreak/>
        <w:t>magnitudes</w:t>
      </w:r>
      <w:r w:rsidR="004869D2">
        <w:t xml:space="preserve"> [5]</w:t>
      </w:r>
      <w:r w:rsidR="00514631">
        <w:t>.</w:t>
      </w:r>
      <w:r w:rsidR="00CD0DA4">
        <w:t xml:space="preserve"> The variance captured by the top ten </w:t>
      </w:r>
      <w:r w:rsidR="004D0F57">
        <w:t>princip</w:t>
      </w:r>
      <w:r w:rsidR="00461F94">
        <w:t>al</w:t>
      </w:r>
      <w:r w:rsidR="004D0F57">
        <w:t xml:space="preserve"> component was calculated and presented in Section 5.12.</w:t>
      </w:r>
    </w:p>
    <w:p w14:paraId="646ADE5D" w14:textId="77777777" w:rsidR="00D607F7" w:rsidRDefault="00D607F7" w:rsidP="00DC3DE7">
      <w:pPr>
        <w:jc w:val="both"/>
      </w:pPr>
    </w:p>
    <w:p w14:paraId="7E8DEF75" w14:textId="05B1DD66" w:rsidR="00D607F7" w:rsidRDefault="00D607F7" w:rsidP="00DC3DE7">
      <w:pPr>
        <w:jc w:val="both"/>
      </w:pPr>
      <w:r>
        <w:t xml:space="preserve">As demonstrated by Figure 5, the </w:t>
      </w:r>
      <w:r w:rsidR="00694E7F">
        <w:t>first principal component capture</w:t>
      </w:r>
      <w:r w:rsidR="006C4472">
        <w:t>d</w:t>
      </w:r>
      <w:r w:rsidR="00694E7F">
        <w:t xml:space="preserve"> 31% of total variance in the dataset</w:t>
      </w:r>
      <w:r w:rsidR="00F5121D">
        <w:t xml:space="preserve">. The </w:t>
      </w:r>
      <w:r w:rsidR="00694E7F">
        <w:t>percentage of variance captured decreas</w:t>
      </w:r>
      <w:r w:rsidR="00F5121D">
        <w:t>ed</w:t>
      </w:r>
      <w:r w:rsidR="00694E7F">
        <w:t xml:space="preserve"> </w:t>
      </w:r>
      <w:r w:rsidR="00F5121D">
        <w:t>sharply to 9</w:t>
      </w:r>
      <w:r w:rsidR="00B371D8">
        <w:t xml:space="preserve"> and </w:t>
      </w:r>
      <w:r w:rsidR="00F5121D">
        <w:t>6% for the second</w:t>
      </w:r>
      <w:r w:rsidR="00B371D8">
        <w:t xml:space="preserve"> and</w:t>
      </w:r>
      <w:r w:rsidR="00457320">
        <w:t xml:space="preserve"> </w:t>
      </w:r>
      <w:r w:rsidR="00F5121D">
        <w:t>third principal components</w:t>
      </w:r>
      <w:r w:rsidR="00457320">
        <w:t xml:space="preserve"> before levelling out at between 1.7 and </w:t>
      </w:r>
      <w:r w:rsidR="00B371D8">
        <w:t xml:space="preserve">3% for the remaining top ten principal components. Thus, using the first two principal components to represent the dataset would capture approximately 40% of the data’s total variance, providing an adequate representation for the purposes of exploratory data analysis. </w:t>
      </w:r>
    </w:p>
    <w:p w14:paraId="54D46AB8" w14:textId="77777777" w:rsidR="00B371D8" w:rsidRDefault="00B371D8" w:rsidP="00DC3DE7">
      <w:pPr>
        <w:jc w:val="both"/>
      </w:pPr>
    </w:p>
    <w:p w14:paraId="1020E787" w14:textId="6B5DC634" w:rsidR="00D607F7" w:rsidRDefault="00D607F7" w:rsidP="00DC3DE7">
      <w:pPr>
        <w:jc w:val="both"/>
      </w:pPr>
      <w:r w:rsidRPr="00D607F7">
        <w:rPr>
          <w:noProof/>
        </w:rPr>
        <w:drawing>
          <wp:inline distT="0" distB="0" distL="0" distR="0" wp14:anchorId="0789A6F7" wp14:editId="06EA391F">
            <wp:extent cx="5731510" cy="1829435"/>
            <wp:effectExtent l="0" t="0" r="0" b="0"/>
            <wp:docPr id="1026051821"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51821" name="Picture 1" descr="A graph with blue squares&#10;&#10;AI-generated content may be incorrect."/>
                    <pic:cNvPicPr/>
                  </pic:nvPicPr>
                  <pic:blipFill>
                    <a:blip r:embed="rId14"/>
                    <a:stretch>
                      <a:fillRect/>
                    </a:stretch>
                  </pic:blipFill>
                  <pic:spPr>
                    <a:xfrm>
                      <a:off x="0" y="0"/>
                      <a:ext cx="5731510" cy="1829435"/>
                    </a:xfrm>
                    <a:prstGeom prst="rect">
                      <a:avLst/>
                    </a:prstGeom>
                  </pic:spPr>
                </pic:pic>
              </a:graphicData>
            </a:graphic>
          </wp:inline>
        </w:drawing>
      </w:r>
    </w:p>
    <w:p w14:paraId="25FC9E4D" w14:textId="67E8B257" w:rsidR="00D607F7" w:rsidRDefault="00D607F7" w:rsidP="00DC3DE7">
      <w:pPr>
        <w:jc w:val="both"/>
      </w:pPr>
      <w:r w:rsidRPr="00D607F7">
        <w:rPr>
          <w:b/>
          <w:bCs/>
        </w:rPr>
        <w:t>Figure 5:</w:t>
      </w:r>
      <w:r>
        <w:t xml:space="preserve"> Percentage of total variance explained (%) per principal component for the top ten principal components. </w:t>
      </w:r>
    </w:p>
    <w:p w14:paraId="4E43252C" w14:textId="77777777" w:rsidR="00A46146" w:rsidRDefault="00A46146" w:rsidP="00DC3DE7">
      <w:pPr>
        <w:jc w:val="both"/>
      </w:pPr>
    </w:p>
    <w:p w14:paraId="73D4ECC7" w14:textId="2CC2B7D9" w:rsidR="00A46146" w:rsidRDefault="00A46146" w:rsidP="00DC3DE7">
      <w:pPr>
        <w:jc w:val="both"/>
      </w:pPr>
      <w:r>
        <w:t xml:space="preserve">The </w:t>
      </w:r>
      <w:r w:rsidR="003B3DAB">
        <w:t xml:space="preserve">input </w:t>
      </w:r>
      <w:r>
        <w:t>data was plotted across their two most important principal component axes</w:t>
      </w:r>
      <w:r w:rsidR="003B3DAB">
        <w:t>, with t</w:t>
      </w:r>
      <w:r>
        <w:t xml:space="preserve">he samples were coloured according to their income level, MMR estimate, and </w:t>
      </w:r>
      <w:r w:rsidR="00D607F7">
        <w:t xml:space="preserve">year to better identify </w:t>
      </w:r>
      <w:r w:rsidR="003B3DAB">
        <w:t>patterns and clusters</w:t>
      </w:r>
      <w:r w:rsidR="00D607F7">
        <w:t xml:space="preserve"> in the data</w:t>
      </w:r>
      <w:r w:rsidR="003B3DAB">
        <w:t>. See Section 5.12 for the results of the PCA analysis.</w:t>
      </w:r>
    </w:p>
    <w:p w14:paraId="233B12FC" w14:textId="77777777" w:rsidR="00D6496F" w:rsidRDefault="00D6496F" w:rsidP="00DC3DE7">
      <w:pPr>
        <w:jc w:val="both"/>
      </w:pPr>
    </w:p>
    <w:p w14:paraId="7B8190A1" w14:textId="4D5BBBB3" w:rsidR="006346C4" w:rsidRDefault="00C329AF" w:rsidP="00F73A22">
      <w:pPr>
        <w:pStyle w:val="Heading3"/>
      </w:pPr>
      <w:r>
        <w:t>4.24 Correlation Analysis</w:t>
      </w:r>
    </w:p>
    <w:p w14:paraId="13583E35" w14:textId="007F6EC6" w:rsidR="006C0915" w:rsidRDefault="00C079BC" w:rsidP="00373C10">
      <w:pPr>
        <w:jc w:val="both"/>
      </w:pPr>
      <w:r>
        <w:t>Analysis of the</w:t>
      </w:r>
      <w:r w:rsidR="006C0915">
        <w:t xml:space="preserve"> pairwise correlations between specific features and the MMR estimates </w:t>
      </w:r>
      <w:r>
        <w:t>was used to inform feature selection strategies. The following statistics motivated the use of correlation-based feature selection strategies (explained in Section 4.33).</w:t>
      </w:r>
      <w:r w:rsidR="00647609" w:rsidRPr="00647609">
        <w:t xml:space="preserve"> </w:t>
      </w:r>
      <w:r w:rsidR="00647609">
        <w:t>While there was a broad range of correlations between features and the MMR, the frequency of coefficients was not uniformly distributed</w:t>
      </w:r>
      <w:r w:rsidR="00647609">
        <w:t xml:space="preserve"> (see Figure 6)</w:t>
      </w:r>
      <w:r w:rsidR="00647609">
        <w:t>. More specifically, over 50% of features’ pair-wise correlation coefficient with MMR was between -0.25 and 0.25. In contrast, approximately 2% of features had a pair-wise coefficient less than -0.75 or greater than 0.75. The low frequency of high magnitude pair-wise correlations between features and MMR estimates motivated the use of feature selection methods</w:t>
      </w:r>
      <w:r w:rsidR="00647609">
        <w:t xml:space="preserve"> as a potential method of reducing overfitting to noise</w:t>
      </w:r>
      <w:r w:rsidR="00647609">
        <w:t>.</w:t>
      </w:r>
    </w:p>
    <w:p w14:paraId="79DABCD2" w14:textId="77777777" w:rsidR="00461F94" w:rsidRDefault="00461F94" w:rsidP="00373C10">
      <w:pPr>
        <w:jc w:val="both"/>
      </w:pPr>
    </w:p>
    <w:p w14:paraId="7C565799" w14:textId="120816F2" w:rsidR="00461F94" w:rsidRDefault="006C0915" w:rsidP="00461F94">
      <w:pPr>
        <w:jc w:val="center"/>
      </w:pPr>
      <w:r w:rsidRPr="006B64C1">
        <w:lastRenderedPageBreak/>
        <w:drawing>
          <wp:inline distT="0" distB="0" distL="0" distR="0" wp14:anchorId="65802F9D" wp14:editId="69AFD441">
            <wp:extent cx="4443813" cy="2348874"/>
            <wp:effectExtent l="0" t="0" r="1270" b="635"/>
            <wp:docPr id="1501481558" name="Picture 1" descr="A blue bar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81558" name="Picture 1" descr="A blue bar graph with black text&#10;&#10;AI-generated content may be incorrect."/>
                    <pic:cNvPicPr/>
                  </pic:nvPicPr>
                  <pic:blipFill>
                    <a:blip r:embed="rId15"/>
                    <a:stretch>
                      <a:fillRect/>
                    </a:stretch>
                  </pic:blipFill>
                  <pic:spPr>
                    <a:xfrm>
                      <a:off x="0" y="0"/>
                      <a:ext cx="4569900" cy="2415520"/>
                    </a:xfrm>
                    <a:prstGeom prst="rect">
                      <a:avLst/>
                    </a:prstGeom>
                  </pic:spPr>
                </pic:pic>
              </a:graphicData>
            </a:graphic>
          </wp:inline>
        </w:drawing>
      </w:r>
    </w:p>
    <w:p w14:paraId="5E0C9634" w14:textId="5A9894C5" w:rsidR="006A4704" w:rsidRDefault="006C0915" w:rsidP="00DD4F32">
      <w:pPr>
        <w:jc w:val="both"/>
      </w:pPr>
      <w:r>
        <w:rPr>
          <w:b/>
          <w:bCs/>
        </w:rPr>
        <w:t xml:space="preserve">Figure </w:t>
      </w:r>
      <w:r w:rsidR="00647609">
        <w:rPr>
          <w:b/>
          <w:bCs/>
        </w:rPr>
        <w:t>6</w:t>
      </w:r>
      <w:r>
        <w:t xml:space="preserve">: The Pearson’s pair-wise correlation coefficient between a specific feature and the MMR plotted against the proportion of features in the cleaned input dataset with this correlation coefficient. </w:t>
      </w:r>
    </w:p>
    <w:p w14:paraId="3C1A4961" w14:textId="77777777" w:rsidR="00673354" w:rsidRDefault="00673354" w:rsidP="00514C0A">
      <w:pPr>
        <w:jc w:val="both"/>
      </w:pPr>
    </w:p>
    <w:p w14:paraId="71A56856" w14:textId="494D0D94" w:rsidR="000F4A44" w:rsidRDefault="009B1754" w:rsidP="000F4A44">
      <w:pPr>
        <w:pStyle w:val="Heading2"/>
      </w:pPr>
      <w:r w:rsidRPr="003A5C50">
        <w:t>4.</w:t>
      </w:r>
      <w:r w:rsidR="00825FD6">
        <w:t>3</w:t>
      </w:r>
      <w:r w:rsidRPr="003A5C50">
        <w:t xml:space="preserve"> </w:t>
      </w:r>
      <w:r w:rsidR="00825FD6">
        <w:t xml:space="preserve">Data Pre-Processing for Machine Learning Pipeline </w:t>
      </w:r>
      <w:r w:rsidR="00A94A2B">
        <w:t xml:space="preserve">      </w:t>
      </w:r>
    </w:p>
    <w:p w14:paraId="362AEFDB" w14:textId="301C417E" w:rsidR="000F4A44" w:rsidRPr="000F4A44" w:rsidRDefault="000F4A44" w:rsidP="000F4A44">
      <w:r>
        <w:t xml:space="preserve">Refer to Figure 2 for a flowchart overview of the data pre-processing process. </w:t>
      </w:r>
    </w:p>
    <w:p w14:paraId="5FCAAF3F" w14:textId="13990D71" w:rsidR="0027574F" w:rsidRPr="0027574F" w:rsidRDefault="005568BC" w:rsidP="00597FBC">
      <w:pPr>
        <w:pStyle w:val="Heading3"/>
      </w:pPr>
      <w:r>
        <w:t>4.</w:t>
      </w:r>
      <w:r w:rsidR="00BB3C74">
        <w:t>3</w:t>
      </w:r>
      <w:r w:rsidR="007A65E8">
        <w:t>1</w:t>
      </w:r>
      <w:r w:rsidR="00ED32A6">
        <w:t xml:space="preserve"> Splitting Input Data into</w:t>
      </w:r>
      <w:r>
        <w:t xml:space="preserve"> Train</w:t>
      </w:r>
      <w:r w:rsidR="00ED32A6">
        <w:t xml:space="preserve"> </w:t>
      </w:r>
      <w:r>
        <w:t xml:space="preserve">Test </w:t>
      </w:r>
      <w:r w:rsidR="00ED32A6">
        <w:t>Sets</w:t>
      </w:r>
    </w:p>
    <w:p w14:paraId="46798A20" w14:textId="3AE64AA1" w:rsidR="002E61C9" w:rsidRDefault="00E30705" w:rsidP="00505956">
      <w:pPr>
        <w:jc w:val="both"/>
        <w:rPr>
          <w:lang w:eastAsia="en-US"/>
        </w:rPr>
      </w:pPr>
      <w:r>
        <w:rPr>
          <w:lang w:eastAsia="en-US"/>
        </w:rPr>
        <w:t>The cleaned and pre-processed dataset was split into train</w:t>
      </w:r>
      <w:r w:rsidR="008B7D85">
        <w:rPr>
          <w:lang w:eastAsia="en-US"/>
        </w:rPr>
        <w:t xml:space="preserve"> and </w:t>
      </w:r>
      <w:r>
        <w:rPr>
          <w:lang w:eastAsia="en-US"/>
        </w:rPr>
        <w:t xml:space="preserve">test subsets </w:t>
      </w:r>
      <w:r w:rsidR="002E61C9">
        <w:rPr>
          <w:lang w:eastAsia="en-US"/>
        </w:rPr>
        <w:t xml:space="preserve">in two different ways, each for a specific purpose. </w:t>
      </w:r>
    </w:p>
    <w:p w14:paraId="5C8FBC70" w14:textId="77777777" w:rsidR="00100A17" w:rsidRDefault="00100A17" w:rsidP="00505956">
      <w:pPr>
        <w:jc w:val="both"/>
        <w:rPr>
          <w:lang w:eastAsia="en-US"/>
        </w:rPr>
      </w:pPr>
    </w:p>
    <w:p w14:paraId="3F43820B" w14:textId="5A5A20CE" w:rsidR="00373C10" w:rsidRDefault="007505D1" w:rsidP="007505D1">
      <w:pPr>
        <w:jc w:val="center"/>
        <w:rPr>
          <w:lang w:eastAsia="en-US"/>
        </w:rPr>
      </w:pPr>
      <w:r>
        <w:rPr>
          <w:noProof/>
          <w14:ligatures w14:val="standardContextual"/>
        </w:rPr>
        <mc:AlternateContent>
          <mc:Choice Requires="wps">
            <w:drawing>
              <wp:anchor distT="0" distB="0" distL="114300" distR="114300" simplePos="0" relativeHeight="251665408" behindDoc="0" locked="0" layoutInCell="1" allowOverlap="1" wp14:anchorId="1DB78515" wp14:editId="66A5CAE1">
                <wp:simplePos x="0" y="0"/>
                <wp:positionH relativeFrom="column">
                  <wp:posOffset>489600</wp:posOffset>
                </wp:positionH>
                <wp:positionV relativeFrom="paragraph">
                  <wp:posOffset>0</wp:posOffset>
                </wp:positionV>
                <wp:extent cx="338400" cy="323133"/>
                <wp:effectExtent l="0" t="0" r="0" b="0"/>
                <wp:wrapNone/>
                <wp:docPr id="1884786318" name="Text Box 1"/>
                <wp:cNvGraphicFramePr/>
                <a:graphic xmlns:a="http://schemas.openxmlformats.org/drawingml/2006/main">
                  <a:graphicData uri="http://schemas.microsoft.com/office/word/2010/wordprocessingShape">
                    <wps:wsp>
                      <wps:cNvSpPr txBox="1"/>
                      <wps:spPr>
                        <a:xfrm>
                          <a:off x="0" y="0"/>
                          <a:ext cx="338400"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78490F" w14:textId="0D9F0370" w:rsidR="007505D1" w:rsidRDefault="007505D1" w:rsidP="007505D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78515" id="_x0000_t202" coordsize="21600,21600" o:spt="202" path="m,l,21600r21600,l21600,xe">
                <v:stroke joinstyle="miter"/>
                <v:path gradientshapeok="t" o:connecttype="rect"/>
              </v:shapetype>
              <v:shape id="Text Box 1" o:spid="_x0000_s1026" type="#_x0000_t202" style="position:absolute;left:0;text-align:left;margin-left:38.55pt;margin-top:0;width:26.65pt;height:2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" filled="f" stroked="f">
                <v:textbox>
                  <w:txbxContent>
                    <w:p w14:paraId="0578490F" w14:textId="0D9F0370" w:rsidR="007505D1" w:rsidRDefault="007505D1" w:rsidP="007505D1">
                      <w:r>
                        <w:t>a)</w:t>
                      </w:r>
                    </w:p>
                  </w:txbxContent>
                </v:textbox>
              </v:shape>
            </w:pict>
          </mc:Fallback>
        </mc:AlternateContent>
      </w:r>
      <w:r w:rsidRPr="007505D1">
        <w:rPr>
          <w:noProof/>
          <w:lang w:eastAsia="en-US"/>
        </w:rPr>
        <w:drawing>
          <wp:inline distT="0" distB="0" distL="0" distR="0" wp14:anchorId="27719A4A" wp14:editId="37EF3168">
            <wp:extent cx="3905428" cy="1610891"/>
            <wp:effectExtent l="0" t="0" r="0" b="2540"/>
            <wp:docPr id="279483680" name="Picture 1" descr="A yellow and blu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83680" name="Picture 1" descr="A yellow and blue chart&#10;&#10;AI-generated content may be incorrect."/>
                    <pic:cNvPicPr/>
                  </pic:nvPicPr>
                  <pic:blipFill>
                    <a:blip r:embed="rId16"/>
                    <a:stretch>
                      <a:fillRect/>
                    </a:stretch>
                  </pic:blipFill>
                  <pic:spPr>
                    <a:xfrm>
                      <a:off x="0" y="0"/>
                      <a:ext cx="4056590" cy="1673242"/>
                    </a:xfrm>
                    <a:prstGeom prst="rect">
                      <a:avLst/>
                    </a:prstGeom>
                  </pic:spPr>
                </pic:pic>
              </a:graphicData>
            </a:graphic>
          </wp:inline>
        </w:drawing>
      </w:r>
    </w:p>
    <w:p w14:paraId="6B830C99" w14:textId="4EA9700D" w:rsidR="00100A17" w:rsidRDefault="00461F94" w:rsidP="007505D1">
      <w:pPr>
        <w:jc w:val="center"/>
        <w:rPr>
          <w:lang w:eastAsia="en-US"/>
        </w:rPr>
      </w:pPr>
      <w:r>
        <w:rPr>
          <w:noProof/>
          <w14:ligatures w14:val="standardContextual"/>
        </w:rPr>
        <mc:AlternateContent>
          <mc:Choice Requires="wps">
            <w:drawing>
              <wp:anchor distT="0" distB="0" distL="114300" distR="114300" simplePos="0" relativeHeight="251667456" behindDoc="0" locked="0" layoutInCell="1" allowOverlap="1" wp14:anchorId="3DF2A5D5" wp14:editId="764EAC6F">
                <wp:simplePos x="0" y="0"/>
                <wp:positionH relativeFrom="column">
                  <wp:posOffset>828040</wp:posOffset>
                </wp:positionH>
                <wp:positionV relativeFrom="paragraph">
                  <wp:posOffset>130982</wp:posOffset>
                </wp:positionV>
                <wp:extent cx="338400" cy="323133"/>
                <wp:effectExtent l="0" t="0" r="0" b="0"/>
                <wp:wrapNone/>
                <wp:docPr id="839115352" name="Text Box 1"/>
                <wp:cNvGraphicFramePr/>
                <a:graphic xmlns:a="http://schemas.openxmlformats.org/drawingml/2006/main">
                  <a:graphicData uri="http://schemas.microsoft.com/office/word/2010/wordprocessingShape">
                    <wps:wsp>
                      <wps:cNvSpPr txBox="1"/>
                      <wps:spPr>
                        <a:xfrm>
                          <a:off x="0" y="0"/>
                          <a:ext cx="338400"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159E9A" w14:textId="039CD211" w:rsidR="007505D1" w:rsidRDefault="007505D1" w:rsidP="007505D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2A5D5" id="_x0000_s1027" type="#_x0000_t202" style="position:absolute;left:0;text-align:left;margin-left:65.2pt;margin-top:10.3pt;width:26.65pt;height:2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" filled="f" stroked="f">
                <v:textbox>
                  <w:txbxContent>
                    <w:p w14:paraId="11159E9A" w14:textId="039CD211" w:rsidR="007505D1" w:rsidRDefault="007505D1" w:rsidP="007505D1">
                      <w:r>
                        <w:t>b)</w:t>
                      </w:r>
                    </w:p>
                  </w:txbxContent>
                </v:textbox>
              </v:shape>
            </w:pict>
          </mc:Fallback>
        </mc:AlternateContent>
      </w:r>
      <w:r w:rsidR="00100A17" w:rsidRPr="00100A17">
        <w:rPr>
          <w:noProof/>
          <w:lang w:eastAsia="en-US"/>
        </w:rPr>
        <w:drawing>
          <wp:inline distT="0" distB="0" distL="0" distR="0" wp14:anchorId="5FF2F31D" wp14:editId="2B6A4B11">
            <wp:extent cx="3104146" cy="2555192"/>
            <wp:effectExtent l="0" t="0" r="0" b="0"/>
            <wp:docPr id="76088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82885" name="Picture 1"/>
                    <pic:cNvPicPr/>
                  </pic:nvPicPr>
                  <pic:blipFill>
                    <a:blip r:embed="rId17"/>
                    <a:stretch>
                      <a:fillRect/>
                    </a:stretch>
                  </pic:blipFill>
                  <pic:spPr>
                    <a:xfrm>
                      <a:off x="0" y="0"/>
                      <a:ext cx="3146490" cy="2590048"/>
                    </a:xfrm>
                    <a:prstGeom prst="rect">
                      <a:avLst/>
                    </a:prstGeom>
                  </pic:spPr>
                </pic:pic>
              </a:graphicData>
            </a:graphic>
          </wp:inline>
        </w:drawing>
      </w:r>
    </w:p>
    <w:p w14:paraId="15A76599" w14:textId="0F944698" w:rsidR="0057467E" w:rsidRDefault="0057467E" w:rsidP="00505956">
      <w:pPr>
        <w:jc w:val="both"/>
      </w:pPr>
      <w:r w:rsidRPr="008346DC">
        <w:rPr>
          <w:b/>
          <w:bCs/>
        </w:rPr>
        <w:t>Figure 7:</w:t>
      </w:r>
      <w:r>
        <w:t xml:space="preserve"> Visualisation of </w:t>
      </w:r>
      <w:r w:rsidR="008346DC">
        <w:t>train/test split for a) missing data analysis and b) predictive analysis.</w:t>
      </w:r>
    </w:p>
    <w:p w14:paraId="218A09F5" w14:textId="77777777" w:rsidR="00C847BC" w:rsidRDefault="00C847BC" w:rsidP="00505956">
      <w:pPr>
        <w:jc w:val="both"/>
        <w:rPr>
          <w:lang w:eastAsia="en-US"/>
        </w:rPr>
      </w:pPr>
    </w:p>
    <w:p w14:paraId="0F0B3164" w14:textId="6A954A29" w:rsidR="00C847BC" w:rsidRPr="00CE76D1" w:rsidRDefault="00CE76D1" w:rsidP="00CE76D1">
      <w:pPr>
        <w:pStyle w:val="Heading4"/>
        <w:rPr>
          <w:i w:val="0"/>
          <w:iCs w:val="0"/>
        </w:rPr>
      </w:pPr>
      <w:r>
        <w:rPr>
          <w:i w:val="0"/>
          <w:iCs w:val="0"/>
        </w:rPr>
        <w:t>4.3</w:t>
      </w:r>
      <w:r w:rsidR="006106E8">
        <w:rPr>
          <w:i w:val="0"/>
          <w:iCs w:val="0"/>
        </w:rPr>
        <w:t xml:space="preserve">11 </w:t>
      </w:r>
      <w:r w:rsidR="00C847BC" w:rsidRPr="00CE76D1">
        <w:rPr>
          <w:i w:val="0"/>
          <w:iCs w:val="0"/>
        </w:rPr>
        <w:t>Missing Data Analysis</w:t>
      </w:r>
      <w:r w:rsidR="001F4305" w:rsidRPr="00CE76D1">
        <w:rPr>
          <w:i w:val="0"/>
          <w:iCs w:val="0"/>
        </w:rPr>
        <w:t xml:space="preserve"> (MDA)</w:t>
      </w:r>
      <w:r w:rsidR="00C847BC" w:rsidRPr="00CE76D1">
        <w:rPr>
          <w:i w:val="0"/>
          <w:iCs w:val="0"/>
        </w:rPr>
        <w:t>:</w:t>
      </w:r>
    </w:p>
    <w:p w14:paraId="3C1ECC7F" w14:textId="07A39A2A" w:rsidR="009C7C97" w:rsidRPr="00C908F4" w:rsidRDefault="008C37FD" w:rsidP="00C847BC">
      <w:pPr>
        <w:jc w:val="both"/>
      </w:pPr>
      <w:r>
        <w:rPr>
          <w:bCs/>
        </w:rPr>
        <w:t>The</w:t>
      </w:r>
      <w:r w:rsidR="00D116B4">
        <w:rPr>
          <w:bCs/>
        </w:rPr>
        <w:t xml:space="preserve"> primar</w:t>
      </w:r>
      <w:r>
        <w:rPr>
          <w:bCs/>
        </w:rPr>
        <w:t>y</w:t>
      </w:r>
      <w:r w:rsidR="00D116B4">
        <w:rPr>
          <w:bCs/>
        </w:rPr>
        <w:t xml:space="preserve"> aim of this thesis </w:t>
      </w:r>
      <w:r>
        <w:rPr>
          <w:bCs/>
        </w:rPr>
        <w:t>was</w:t>
      </w:r>
      <w:r w:rsidR="00D116B4">
        <w:rPr>
          <w:bCs/>
        </w:rPr>
        <w:t xml:space="preserve"> to predict MMR estimates </w:t>
      </w:r>
      <w:r w:rsidR="00814C00">
        <w:rPr>
          <w:bCs/>
        </w:rPr>
        <w:t>for countr</w:t>
      </w:r>
      <w:r>
        <w:rPr>
          <w:bCs/>
        </w:rPr>
        <w:t>ies</w:t>
      </w:r>
      <w:r w:rsidR="00814C00">
        <w:rPr>
          <w:bCs/>
        </w:rPr>
        <w:t xml:space="preserve"> with sparse data. To achieve this purpose, I </w:t>
      </w:r>
      <w:r w:rsidR="009C7C97">
        <w:rPr>
          <w:bCs/>
        </w:rPr>
        <w:t xml:space="preserve">split the input data </w:t>
      </w:r>
      <w:r w:rsidR="000027CC">
        <w:rPr>
          <w:bCs/>
        </w:rPr>
        <w:t>so that the same country could only be in the train or test set.</w:t>
      </w:r>
      <w:r w:rsidR="001832FD">
        <w:rPr>
          <w:bCs/>
        </w:rPr>
        <w:t xml:space="preserve"> This </w:t>
      </w:r>
      <w:r w:rsidR="00305445">
        <w:rPr>
          <w:bCs/>
        </w:rPr>
        <w:t>simulates</w:t>
      </w:r>
      <w:r w:rsidR="001832FD">
        <w:rPr>
          <w:bCs/>
        </w:rPr>
        <w:t xml:space="preserve"> the scenario where the model is trained on available data </w:t>
      </w:r>
      <w:r w:rsidR="00305445">
        <w:rPr>
          <w:bCs/>
        </w:rPr>
        <w:t>from</w:t>
      </w:r>
      <w:r w:rsidR="001832FD">
        <w:rPr>
          <w:bCs/>
        </w:rPr>
        <w:t xml:space="preserve"> countries with data collection </w:t>
      </w:r>
      <w:r w:rsidR="00305445">
        <w:rPr>
          <w:bCs/>
        </w:rPr>
        <w:t xml:space="preserve">services and is then used to predict MMR estimates for countries with no data. </w:t>
      </w:r>
      <w:r w:rsidR="007B5C97">
        <w:t xml:space="preserve">Models trained in this way could inform policy makers about their </w:t>
      </w:r>
      <w:r w:rsidR="00C908F4">
        <w:t>country’s</w:t>
      </w:r>
      <w:r w:rsidR="007B5C97">
        <w:t xml:space="preserve"> </w:t>
      </w:r>
      <w:r w:rsidR="00C908F4">
        <w:t>maternal</w:t>
      </w:r>
      <w:r w:rsidR="007B5C97">
        <w:t xml:space="preserve"> health status.</w:t>
      </w:r>
      <w:r w:rsidR="00C908F4">
        <w:t xml:space="preserve"> </w:t>
      </w:r>
      <w:r w:rsidR="00305445">
        <w:rPr>
          <w:bCs/>
        </w:rPr>
        <w:t xml:space="preserve">Additionally, splitting the input data by country </w:t>
      </w:r>
      <w:r w:rsidR="008B7D85">
        <w:rPr>
          <w:bCs/>
        </w:rPr>
        <w:t xml:space="preserve">prevents data leakage by </w:t>
      </w:r>
      <w:r w:rsidR="000027CC">
        <w:rPr>
          <w:bCs/>
        </w:rPr>
        <w:t>preserv</w:t>
      </w:r>
      <w:r w:rsidR="008B7D85">
        <w:rPr>
          <w:bCs/>
        </w:rPr>
        <w:t>ing</w:t>
      </w:r>
      <w:r w:rsidR="000027CC">
        <w:rPr>
          <w:bCs/>
        </w:rPr>
        <w:t xml:space="preserve"> independence between </w:t>
      </w:r>
      <w:r w:rsidR="008B7D85">
        <w:rPr>
          <w:bCs/>
        </w:rPr>
        <w:t xml:space="preserve">the train and </w:t>
      </w:r>
      <w:r w:rsidR="002E53EB">
        <w:rPr>
          <w:bCs/>
        </w:rPr>
        <w:t>test</w:t>
      </w:r>
      <w:r w:rsidR="008B7D85">
        <w:rPr>
          <w:bCs/>
        </w:rPr>
        <w:t xml:space="preserve"> </w:t>
      </w:r>
      <w:r w:rsidR="000027CC">
        <w:rPr>
          <w:bCs/>
        </w:rPr>
        <w:t>sets.</w:t>
      </w:r>
    </w:p>
    <w:p w14:paraId="27073BAA" w14:textId="77777777" w:rsidR="00F45A36" w:rsidRDefault="00F45A36" w:rsidP="00C847BC">
      <w:pPr>
        <w:jc w:val="both"/>
        <w:rPr>
          <w:bCs/>
        </w:rPr>
      </w:pPr>
    </w:p>
    <w:p w14:paraId="45AD51C3" w14:textId="2188852D" w:rsidR="00B553B7" w:rsidRDefault="008B0FF7" w:rsidP="00C10BDE">
      <w:pPr>
        <w:jc w:val="both"/>
      </w:pPr>
      <w:r>
        <w:t>Each c</w:t>
      </w:r>
      <w:r w:rsidR="008F313A">
        <w:t>ountr</w:t>
      </w:r>
      <w:r>
        <w:t>y in the input dataset was</w:t>
      </w:r>
      <w:r w:rsidR="008F313A">
        <w:t xml:space="preserve"> classified</w:t>
      </w:r>
      <w:r w:rsidR="00C10BDE">
        <w:t xml:space="preserve"> as high</w:t>
      </w:r>
      <w:r w:rsidR="00673DFD">
        <w:t>-</w:t>
      </w:r>
      <w:r w:rsidR="00C10BDE">
        <w:t>income, upper middle income, lower middle income, or low</w:t>
      </w:r>
      <w:r w:rsidR="00673DFD">
        <w:t>-</w:t>
      </w:r>
      <w:r w:rsidR="00C10BDE">
        <w:t>income</w:t>
      </w:r>
      <w:r w:rsidR="008F313A">
        <w:t xml:space="preserve"> by the World Bank</w:t>
      </w:r>
      <w:r w:rsidR="00C10BDE">
        <w:t xml:space="preserve">. </w:t>
      </w:r>
      <w:r w:rsidR="00101EA1">
        <w:t>I split the original input dataset into 4</w:t>
      </w:r>
      <w:r w:rsidR="0001377A">
        <w:t xml:space="preserve"> subsets, each containing all countries from a specific income level. Each of these subsets was split into </w:t>
      </w:r>
      <w:r w:rsidR="00B553B7">
        <w:t>train/test datasets in a 90:10 ratio.</w:t>
      </w:r>
      <w:r w:rsidR="00673DFD">
        <w:t xml:space="preserve"> The 4 train sets were then merged into one complete train set</w:t>
      </w:r>
      <w:r w:rsidR="00615700">
        <w:t>, and the 4 test sets were merged into a complete test set.</w:t>
      </w:r>
      <w:r w:rsidR="006B47E2">
        <w:t xml:space="preserve"> T</w:t>
      </w:r>
      <w:r w:rsidR="00F57F6B">
        <w:t>his procedure ensured that rather than risking all samples from a particular income level being in just the train set</w:t>
      </w:r>
      <w:r w:rsidR="00F56348">
        <w:t>, thus ensuring that the test set can evaluate the model’s generalisability.</w:t>
      </w:r>
    </w:p>
    <w:p w14:paraId="306EE747" w14:textId="77777777" w:rsidR="006B47E2" w:rsidRDefault="006B47E2" w:rsidP="00C10BDE">
      <w:pPr>
        <w:jc w:val="both"/>
      </w:pPr>
    </w:p>
    <w:p w14:paraId="4456DECF" w14:textId="583B8BD9" w:rsidR="007C540E" w:rsidRDefault="00A00799" w:rsidP="00C847BC">
      <w:pPr>
        <w:jc w:val="both"/>
      </w:pPr>
      <w:r>
        <w:t>However, e</w:t>
      </w:r>
      <w:r w:rsidR="00470159">
        <w:t>nsuring</w:t>
      </w:r>
      <w:r w:rsidR="00657869">
        <w:t xml:space="preserve"> that all data from the same country was only in the train or test</w:t>
      </w:r>
      <w:r w:rsidR="006B47E2">
        <w:t xml:space="preserve"> </w:t>
      </w:r>
      <w:r w:rsidR="00657869">
        <w:t>set</w:t>
      </w:r>
      <w:r w:rsidR="00470159">
        <w:t xml:space="preserve"> meant the train/test split was not exactly 90:10. Instead the </w:t>
      </w:r>
      <w:r w:rsidR="007C540E">
        <w:t>true</w:t>
      </w:r>
      <w:r w:rsidR="00470159">
        <w:t xml:space="preserve"> </w:t>
      </w:r>
      <w:r w:rsidR="00A170EC">
        <w:t xml:space="preserve">ratio </w:t>
      </w:r>
      <w:r w:rsidR="007C540E">
        <w:t>was within</w:t>
      </w:r>
      <w:r w:rsidR="00470159">
        <w:t xml:space="preserve"> one or two percentage points</w:t>
      </w:r>
      <w:r w:rsidR="007C540E">
        <w:t xml:space="preserve"> of 90:10</w:t>
      </w:r>
      <w:r w:rsidR="00470159">
        <w:t xml:space="preserve">, as the number of rows per </w:t>
      </w:r>
      <w:r w:rsidR="007C540E">
        <w:t>country</w:t>
      </w:r>
      <w:r w:rsidR="00470159">
        <w:t xml:space="preserve"> did not allow for </w:t>
      </w:r>
      <w:r w:rsidR="007C540E">
        <w:t>an exact 90:10</w:t>
      </w:r>
      <w:r w:rsidR="00470159">
        <w:t xml:space="preserve"> split.</w:t>
      </w:r>
    </w:p>
    <w:p w14:paraId="29D7CB6E" w14:textId="77777777" w:rsidR="0057467E" w:rsidRPr="0057467E" w:rsidRDefault="0057467E" w:rsidP="00C847BC">
      <w:pPr>
        <w:jc w:val="both"/>
      </w:pPr>
    </w:p>
    <w:p w14:paraId="6DB952CD" w14:textId="7E31448D" w:rsidR="000E7503" w:rsidRPr="00CE76D1" w:rsidRDefault="000E7503" w:rsidP="000E7503">
      <w:pPr>
        <w:pStyle w:val="Heading4"/>
        <w:rPr>
          <w:i w:val="0"/>
          <w:iCs w:val="0"/>
        </w:rPr>
      </w:pPr>
      <w:r>
        <w:rPr>
          <w:i w:val="0"/>
          <w:iCs w:val="0"/>
        </w:rPr>
        <w:t>4.312 Predictive</w:t>
      </w:r>
      <w:r w:rsidRPr="00CE76D1">
        <w:rPr>
          <w:i w:val="0"/>
          <w:iCs w:val="0"/>
        </w:rPr>
        <w:t xml:space="preserve"> Analysis (</w:t>
      </w:r>
      <w:r>
        <w:rPr>
          <w:i w:val="0"/>
          <w:iCs w:val="0"/>
        </w:rPr>
        <w:t>P</w:t>
      </w:r>
      <w:r w:rsidRPr="00CE76D1">
        <w:rPr>
          <w:i w:val="0"/>
          <w:iCs w:val="0"/>
        </w:rPr>
        <w:t>A):</w:t>
      </w:r>
    </w:p>
    <w:p w14:paraId="270259EE" w14:textId="604CD8E8" w:rsidR="0016332B" w:rsidRDefault="001B23D9" w:rsidP="00C847BC">
      <w:pPr>
        <w:jc w:val="both"/>
        <w:rPr>
          <w:bCs/>
        </w:rPr>
      </w:pPr>
      <w:r>
        <w:rPr>
          <w:bCs/>
        </w:rPr>
        <w:t xml:space="preserve">This thesis also aimed to </w:t>
      </w:r>
      <w:r w:rsidR="005E39E6">
        <w:rPr>
          <w:bCs/>
        </w:rPr>
        <w:t xml:space="preserve">train models to </w:t>
      </w:r>
      <w:r>
        <w:rPr>
          <w:bCs/>
        </w:rPr>
        <w:t>forecast MMR estimates</w:t>
      </w:r>
      <w:r w:rsidR="005E39E6">
        <w:rPr>
          <w:bCs/>
        </w:rPr>
        <w:t>. These forecasts</w:t>
      </w:r>
      <w:r>
        <w:rPr>
          <w:bCs/>
        </w:rPr>
        <w:t xml:space="preserve"> </w:t>
      </w:r>
      <w:r w:rsidR="005E39E6">
        <w:rPr>
          <w:bCs/>
        </w:rPr>
        <w:t>c</w:t>
      </w:r>
      <w:r>
        <w:rPr>
          <w:bCs/>
        </w:rPr>
        <w:t>ould give policy-makers information about future MMR trends</w:t>
      </w:r>
      <w:r w:rsidR="004F6CD8">
        <w:rPr>
          <w:bCs/>
        </w:rPr>
        <w:t xml:space="preserve"> as well as allow researchers to forecast the effects of candidate policies</w:t>
      </w:r>
      <w:r>
        <w:rPr>
          <w:bCs/>
        </w:rPr>
        <w:t xml:space="preserve">. </w:t>
      </w:r>
      <w:r w:rsidR="0016332B">
        <w:rPr>
          <w:bCs/>
        </w:rPr>
        <w:t xml:space="preserve">I simulated this scenario by </w:t>
      </w:r>
      <w:r w:rsidR="005E39E6">
        <w:rPr>
          <w:bCs/>
        </w:rPr>
        <w:t xml:space="preserve">placing </w:t>
      </w:r>
      <w:r w:rsidR="00B441AB">
        <w:rPr>
          <w:bCs/>
        </w:rPr>
        <w:t xml:space="preserve">all data from 1985-2014 in the train set and all data from 2015-2018 in the test set. As a result, </w:t>
      </w:r>
      <w:r w:rsidR="00444E60">
        <w:rPr>
          <w:bCs/>
        </w:rPr>
        <w:t xml:space="preserve">the model would learn patterns between consecutive </w:t>
      </w:r>
      <w:r w:rsidR="000C283C">
        <w:rPr>
          <w:bCs/>
        </w:rPr>
        <w:t>years and</w:t>
      </w:r>
      <w:r w:rsidR="00444E60">
        <w:rPr>
          <w:bCs/>
        </w:rPr>
        <w:t xml:space="preserve"> would be evaluated on its ability to use these patterns to predict the future.</w:t>
      </w:r>
    </w:p>
    <w:p w14:paraId="3F3CE077" w14:textId="77777777" w:rsidR="00F73F7F" w:rsidRPr="000C283C" w:rsidRDefault="00F73F7F" w:rsidP="000C283C">
      <w:pPr>
        <w:jc w:val="both"/>
        <w:rPr>
          <w:bCs/>
        </w:rPr>
      </w:pPr>
    </w:p>
    <w:p w14:paraId="73C34459" w14:textId="41390343" w:rsidR="00F73F7F" w:rsidRDefault="00FD2177" w:rsidP="004F6CD8">
      <w:pPr>
        <w:jc w:val="both"/>
      </w:pPr>
      <w:r>
        <w:t xml:space="preserve">This division produced an 88:12 train/test split. </w:t>
      </w:r>
      <w:r w:rsidR="001A176E">
        <w:t>It was</w:t>
      </w:r>
      <w:r>
        <w:t xml:space="preserve"> </w:t>
      </w:r>
      <w:r w:rsidR="001A176E">
        <w:t>not</w:t>
      </w:r>
      <w:r>
        <w:t xml:space="preserve"> </w:t>
      </w:r>
      <w:r w:rsidR="001A176E">
        <w:t>a</w:t>
      </w:r>
      <w:r>
        <w:t xml:space="preserve"> clean 90:10 </w:t>
      </w:r>
      <w:r w:rsidR="001A176E">
        <w:t xml:space="preserve">split </w:t>
      </w:r>
      <w:r>
        <w:t xml:space="preserve">because I </w:t>
      </w:r>
      <w:r w:rsidR="001A176E">
        <w:t>included data from 2015 in the test set</w:t>
      </w:r>
      <w:r w:rsidR="001B0871">
        <w:t>. I did this to ensure</w:t>
      </w:r>
      <w:r w:rsidR="001B0871" w:rsidRPr="001B0871">
        <w:t xml:space="preserve"> </w:t>
      </w:r>
      <w:r w:rsidR="001B0871">
        <w:t>that the test set contained sufficient non-missing data to be useful, as 2015</w:t>
      </w:r>
      <w:r w:rsidR="001A176E">
        <w:t xml:space="preserve"> was one of the four years containing less than 50% missing data (see Section 4.21).</w:t>
      </w:r>
    </w:p>
    <w:p w14:paraId="64AC690F" w14:textId="77777777" w:rsidR="004F6CD8" w:rsidRDefault="004F6CD8" w:rsidP="004F6CD8">
      <w:pPr>
        <w:jc w:val="both"/>
      </w:pPr>
    </w:p>
    <w:p w14:paraId="20B7B022" w14:textId="0846C704" w:rsidR="00351E74" w:rsidRDefault="00351E74" w:rsidP="00351E74">
      <w:pPr>
        <w:pStyle w:val="Heading3"/>
      </w:pPr>
      <w:r>
        <w:t>4.</w:t>
      </w:r>
      <w:r w:rsidR="00BB3C74">
        <w:t>3</w:t>
      </w:r>
      <w:r w:rsidR="007A65E8">
        <w:t>2</w:t>
      </w:r>
      <w:r>
        <w:t xml:space="preserve"> Cross-Validation</w:t>
      </w:r>
    </w:p>
    <w:p w14:paraId="029D3BC3" w14:textId="61888EED" w:rsidR="00680C31" w:rsidRDefault="00F73F7F" w:rsidP="00680C31">
      <w:pPr>
        <w:jc w:val="both"/>
      </w:pPr>
      <w:r>
        <w:t xml:space="preserve">Each of the </w:t>
      </w:r>
      <w:r w:rsidR="004D33CA">
        <w:t xml:space="preserve">MDA and PA </w:t>
      </w:r>
      <w:r>
        <w:t xml:space="preserve">train datasets were </w:t>
      </w:r>
      <w:r w:rsidR="004D33CA">
        <w:t>further divided</w:t>
      </w:r>
      <w:r>
        <w:t xml:space="preserve"> into 5 cross-validation folds</w:t>
      </w:r>
      <w:r w:rsidR="0070175A">
        <w:t>, each of</w:t>
      </w:r>
      <w:r>
        <w:t xml:space="preserve"> </w:t>
      </w:r>
      <w:r w:rsidR="0070175A">
        <w:t xml:space="preserve">which being a specific permutation of the train/validation 80:20 split. </w:t>
      </w:r>
    </w:p>
    <w:p w14:paraId="0603E8FA" w14:textId="650A5B3D" w:rsidR="004D33CA" w:rsidRDefault="004D33CA" w:rsidP="00680C31"/>
    <w:p w14:paraId="0B3D0A61" w14:textId="441F9A2E" w:rsidR="00BA3A68" w:rsidRDefault="00D06E70" w:rsidP="000F77FF">
      <w:pPr>
        <w:jc w:val="both"/>
      </w:pPr>
      <w:r>
        <w:t xml:space="preserve">If the data was being split for MDA, the same country was placed in either the train or validation set. This prevents data leakage and evaluates the model’s ability to predict sparse country data. </w:t>
      </w:r>
      <w:r w:rsidR="00C773C1">
        <w:t>If the data was split for PA, the same year was placed in either the train or validation set</w:t>
      </w:r>
      <w:r w:rsidR="00E2017E">
        <w:t xml:space="preserve"> to prevent data leakage and assess the model’s ability to predict for an unknown year. </w:t>
      </w:r>
      <w:r w:rsidR="0030125A">
        <w:t>Th</w:t>
      </w:r>
      <w:r w:rsidR="00EC7D43">
        <w:t xml:space="preserve">ese conditions </w:t>
      </w:r>
      <w:r w:rsidR="0030125A">
        <w:t xml:space="preserve">resulted in slight deviations from the 80:20 ratio, but only within </w:t>
      </w:r>
      <w:r w:rsidR="00EC7D43">
        <w:t xml:space="preserve">a percentage point. </w:t>
      </w:r>
    </w:p>
    <w:p w14:paraId="3EB5714D" w14:textId="77777777" w:rsidR="006F610D" w:rsidRDefault="006F610D" w:rsidP="000F77FF">
      <w:pPr>
        <w:jc w:val="both"/>
      </w:pPr>
    </w:p>
    <w:p w14:paraId="3821C9A1" w14:textId="2BE066D3" w:rsidR="00C16DD4" w:rsidRDefault="006F610D" w:rsidP="00680C31">
      <w:pPr>
        <w:jc w:val="both"/>
      </w:pPr>
      <w:r>
        <w:t xml:space="preserve">The train data was split into cross-validation folds using Scikit Learn’s </w:t>
      </w:r>
      <w:proofErr w:type="spellStart"/>
      <w:r>
        <w:t>GroupKFold</w:t>
      </w:r>
      <w:proofErr w:type="spellEnd"/>
      <w:r>
        <w:t xml:space="preserve"> method, which ensures that entries of the same group only appear in one validation set [15]. Members </w:t>
      </w:r>
      <w:r>
        <w:lastRenderedPageBreak/>
        <w:t xml:space="preserve">of the groups were countries for MDA and years for PA. This method </w:t>
      </w:r>
      <w:r w:rsidR="00243766">
        <w:t xml:space="preserve">ensures that the train and validation sets </w:t>
      </w:r>
      <w:r w:rsidR="007F5206">
        <w:t>differ</w:t>
      </w:r>
      <w:r w:rsidR="00243766">
        <w:t xml:space="preserve"> between the different fold</w:t>
      </w:r>
      <w:r w:rsidR="00D10854">
        <w:t xml:space="preserve">s, </w:t>
      </w:r>
      <w:r w:rsidR="00A8265A">
        <w:t xml:space="preserve">allowing me to </w:t>
      </w:r>
      <w:r w:rsidR="005E43EB">
        <w:t xml:space="preserve">assess how changes in the composition of the training dataset </w:t>
      </w:r>
      <w:r w:rsidR="00A377E6">
        <w:t xml:space="preserve">affected </w:t>
      </w:r>
      <w:r w:rsidR="005E43EB">
        <w:t xml:space="preserve">model </w:t>
      </w:r>
      <w:r w:rsidR="00A377E6">
        <w:t>performance</w:t>
      </w:r>
      <w:r w:rsidR="00A8265A">
        <w:t xml:space="preserve">. </w:t>
      </w:r>
    </w:p>
    <w:p w14:paraId="57F239B8" w14:textId="77777777" w:rsidR="00680C31" w:rsidRDefault="00680C31" w:rsidP="00680C31">
      <w:pPr>
        <w:jc w:val="both"/>
      </w:pPr>
    </w:p>
    <w:p w14:paraId="451C98F8" w14:textId="73A11DEF" w:rsidR="00C16DD4" w:rsidRDefault="00C16DD4" w:rsidP="00C16DD4">
      <w:pPr>
        <w:pStyle w:val="Heading3"/>
      </w:pPr>
      <w:r>
        <w:t>4.3</w:t>
      </w:r>
      <w:r w:rsidR="00DE1792">
        <w:t>3</w:t>
      </w:r>
      <w:r>
        <w:t xml:space="preserve"> Feature Selection</w:t>
      </w:r>
    </w:p>
    <w:p w14:paraId="752535A3" w14:textId="77777777" w:rsidR="00C16DD4" w:rsidRDefault="00C16DD4" w:rsidP="00C16DD4">
      <w:pPr>
        <w:jc w:val="both"/>
      </w:pPr>
      <w:r>
        <w:t>As discussed in the literature review, decision-tree based models can work with high-dimensional data. However, I tested whether their ability to work with many dimensions meant that they achieved the greatest performance when using high-dimensional data, or if they achieve greater performance when working with a subset of features. This difference may be due to a higher number of features introducing noise, sparsity, and additional computational complexity, as discussed in Section 3.2.</w:t>
      </w:r>
    </w:p>
    <w:p w14:paraId="2F879C5C" w14:textId="77777777" w:rsidR="00C16DD4" w:rsidRDefault="00C16DD4" w:rsidP="00C16DD4">
      <w:pPr>
        <w:jc w:val="both"/>
      </w:pPr>
    </w:p>
    <w:p w14:paraId="00864FB7" w14:textId="2A7B7508" w:rsidR="00C16DD4" w:rsidRDefault="00C16DD4" w:rsidP="00C16DD4">
      <w:pPr>
        <w:jc w:val="both"/>
      </w:pPr>
      <w:r>
        <w:t>I created 5 versions of each fold, each with a different selection of features (see Table 6 for summary</w:t>
      </w:r>
      <w:r w:rsidR="00A75E49">
        <w:t xml:space="preserve"> and the GitHub repository for a spreadsheet giving the specific features used in each subset</w:t>
      </w:r>
      <w:r>
        <w:t xml:space="preserve">). In the first case, no features were removed to evaluate model performance on the full feature dataset, which contained 720 features. </w:t>
      </w:r>
    </w:p>
    <w:p w14:paraId="3BACCE3C" w14:textId="77777777" w:rsidR="00C16DD4" w:rsidRDefault="00C16DD4" w:rsidP="00C16DD4">
      <w:pPr>
        <w:jc w:val="both"/>
      </w:pPr>
    </w:p>
    <w:p w14:paraId="6F70BAD2" w14:textId="77777777" w:rsidR="00C16DD4" w:rsidRDefault="00C16DD4" w:rsidP="00C16DD4">
      <w:pPr>
        <w:jc w:val="both"/>
      </w:pPr>
      <w:r>
        <w:t xml:space="preserve">To create the second feature subset, I surveyed </w:t>
      </w:r>
      <w:proofErr w:type="gramStart"/>
      <w:r>
        <w:t>a number of</w:t>
      </w:r>
      <w:proofErr w:type="gramEnd"/>
      <w:r>
        <w:t xml:space="preserve"> papers about maternal mortality to learn about which features researchers believed most strongly influence MMR [7, 8, 9, 10, 11, 12, 13, 14]. As a result, I hand-picked 40 biological and socio-economic feature variables. While there were many more relevant features I could have chosen from the available dataset, I believed these covered the major maternal mortality determinants. </w:t>
      </w:r>
    </w:p>
    <w:p w14:paraId="52BC0C97" w14:textId="77777777" w:rsidR="00C16DD4" w:rsidRDefault="00C16DD4" w:rsidP="00C16DD4">
      <w:pPr>
        <w:jc w:val="both"/>
      </w:pPr>
    </w:p>
    <w:p w14:paraId="133BD1E7" w14:textId="77777777" w:rsidR="00C16DD4" w:rsidRDefault="00C16DD4" w:rsidP="00C16DD4">
      <w:pPr>
        <w:jc w:val="both"/>
      </w:pPr>
      <w:r>
        <w:t xml:space="preserve">The final three feature subsets were produced using the correlation between feature variables and MMR. More, specifically, I computed the pairwise Pearson’s correlation coefficient of all feature columns with the MMR estimate. I used the Pandas correlation method, which ignores rows where either feature pair has a missing value. I created a dataset containing features whose absolute pairwise correlation coefficient with MMR was at least 0.8. I produced two additional datasets containing features whose absolute correlation coefficient with MMR was at least 0.7 and 0.6. This allowed me to test the strength of correlation needed for the features to improve model performance. </w:t>
      </w:r>
    </w:p>
    <w:p w14:paraId="78F0449C" w14:textId="77777777" w:rsidR="00C16DD4" w:rsidRDefault="00C16DD4" w:rsidP="00C16DD4">
      <w:pPr>
        <w:jc w:val="both"/>
      </w:pPr>
    </w:p>
    <w:p w14:paraId="34850FA1" w14:textId="77777777" w:rsidR="00C16DD4" w:rsidRDefault="00C16DD4" w:rsidP="00BC6E7D">
      <w:pPr>
        <w:jc w:val="center"/>
      </w:pPr>
      <w:r w:rsidRPr="005710B6">
        <w:rPr>
          <w:b/>
          <w:bCs/>
        </w:rPr>
        <w:t>Table 6:</w:t>
      </w:r>
      <w:r>
        <w:t xml:space="preserve"> Summary of the 5 different feature selection methods used.</w:t>
      </w:r>
    </w:p>
    <w:tbl>
      <w:tblPr>
        <w:tblStyle w:val="TableGrid"/>
        <w:tblW w:w="5000" w:type="pct"/>
        <w:tblLook w:val="04A0" w:firstRow="1" w:lastRow="0" w:firstColumn="1" w:lastColumn="0" w:noHBand="0" w:noVBand="1"/>
      </w:tblPr>
      <w:tblGrid>
        <w:gridCol w:w="6010"/>
        <w:gridCol w:w="3006"/>
      </w:tblGrid>
      <w:tr w:rsidR="00C16DD4" w14:paraId="4BB1E5F2" w14:textId="77777777" w:rsidTr="00A303B4">
        <w:tc>
          <w:tcPr>
            <w:tcW w:w="3333" w:type="pct"/>
          </w:tcPr>
          <w:p w14:paraId="6FB5702C" w14:textId="77777777" w:rsidR="00C16DD4" w:rsidRPr="0057272B" w:rsidRDefault="00C16DD4" w:rsidP="00A303B4">
            <w:pPr>
              <w:jc w:val="center"/>
              <w:rPr>
                <w:b/>
                <w:bCs/>
              </w:rPr>
            </w:pPr>
            <w:r w:rsidRPr="0057272B">
              <w:rPr>
                <w:b/>
                <w:bCs/>
              </w:rPr>
              <w:t>Feature Selection Method</w:t>
            </w:r>
          </w:p>
          <w:p w14:paraId="1E9D3C47" w14:textId="77777777" w:rsidR="00C16DD4" w:rsidRPr="0057272B" w:rsidRDefault="00C16DD4" w:rsidP="00A303B4">
            <w:pPr>
              <w:jc w:val="center"/>
              <w:rPr>
                <w:b/>
                <w:bCs/>
              </w:rPr>
            </w:pPr>
            <w:r w:rsidRPr="0057272B">
              <w:rPr>
                <w:b/>
                <w:bCs/>
              </w:rPr>
              <w:t>Description of Feature Selection Method</w:t>
            </w:r>
          </w:p>
        </w:tc>
        <w:tc>
          <w:tcPr>
            <w:tcW w:w="1667" w:type="pct"/>
          </w:tcPr>
          <w:p w14:paraId="111E1FAD" w14:textId="77777777" w:rsidR="00C16DD4" w:rsidRPr="0057272B" w:rsidRDefault="00C16DD4" w:rsidP="00A303B4">
            <w:pPr>
              <w:jc w:val="center"/>
              <w:rPr>
                <w:b/>
                <w:bCs/>
              </w:rPr>
            </w:pPr>
            <w:r w:rsidRPr="0057272B">
              <w:rPr>
                <w:b/>
                <w:bCs/>
              </w:rPr>
              <w:t>Number of Features</w:t>
            </w:r>
          </w:p>
        </w:tc>
      </w:tr>
      <w:tr w:rsidR="00C16DD4" w14:paraId="7F177B51" w14:textId="77777777" w:rsidTr="00A303B4">
        <w:tc>
          <w:tcPr>
            <w:tcW w:w="3333" w:type="pct"/>
          </w:tcPr>
          <w:p w14:paraId="02CF544D" w14:textId="77777777" w:rsidR="00C16DD4" w:rsidRDefault="00C16DD4" w:rsidP="00A303B4">
            <w:pPr>
              <w:jc w:val="center"/>
            </w:pPr>
            <w:r>
              <w:t>No feature selection employed.</w:t>
            </w:r>
          </w:p>
        </w:tc>
        <w:tc>
          <w:tcPr>
            <w:tcW w:w="1667" w:type="pct"/>
          </w:tcPr>
          <w:p w14:paraId="66E1CA37" w14:textId="77777777" w:rsidR="00C16DD4" w:rsidRDefault="00C16DD4" w:rsidP="00A303B4">
            <w:pPr>
              <w:jc w:val="center"/>
            </w:pPr>
            <w:r>
              <w:t>720</w:t>
            </w:r>
          </w:p>
        </w:tc>
      </w:tr>
      <w:tr w:rsidR="00C16DD4" w14:paraId="694ECD0F" w14:textId="77777777" w:rsidTr="00A303B4">
        <w:tc>
          <w:tcPr>
            <w:tcW w:w="3333" w:type="pct"/>
          </w:tcPr>
          <w:p w14:paraId="42E2D361" w14:textId="77777777" w:rsidR="00C16DD4" w:rsidRDefault="00C16DD4" w:rsidP="00A303B4">
            <w:pPr>
              <w:jc w:val="center"/>
            </w:pPr>
            <w:r>
              <w:t>Performed a literature review of the features believed to have the highest influence on MMR [7, 8, 9, 10, 11, 12, 13, 14]. These features were hand-picked.</w:t>
            </w:r>
          </w:p>
        </w:tc>
        <w:tc>
          <w:tcPr>
            <w:tcW w:w="1667" w:type="pct"/>
          </w:tcPr>
          <w:p w14:paraId="12D3FAF2" w14:textId="77777777" w:rsidR="00C16DD4" w:rsidRDefault="00C16DD4" w:rsidP="00A303B4">
            <w:pPr>
              <w:jc w:val="center"/>
            </w:pPr>
            <w:r>
              <w:t>40</w:t>
            </w:r>
          </w:p>
        </w:tc>
      </w:tr>
      <w:tr w:rsidR="00C16DD4" w14:paraId="4114A47D" w14:textId="77777777" w:rsidTr="00A303B4">
        <w:tc>
          <w:tcPr>
            <w:tcW w:w="3333" w:type="pct"/>
          </w:tcPr>
          <w:p w14:paraId="0F1DACAB" w14:textId="77777777" w:rsidR="00C16DD4" w:rsidRDefault="00C16DD4" w:rsidP="00A303B4">
            <w:pPr>
              <w:jc w:val="center"/>
            </w:pPr>
            <w:r>
              <w:t>Included all features with an absolute Pearson’s pairwise correlation coefficient with MMR &gt;= 0.8</w:t>
            </w:r>
          </w:p>
        </w:tc>
        <w:tc>
          <w:tcPr>
            <w:tcW w:w="1667" w:type="pct"/>
          </w:tcPr>
          <w:p w14:paraId="0075C509" w14:textId="77777777" w:rsidR="00C16DD4" w:rsidRDefault="00C16DD4" w:rsidP="00A303B4">
            <w:pPr>
              <w:jc w:val="center"/>
            </w:pPr>
            <w:r>
              <w:t>11</w:t>
            </w:r>
          </w:p>
        </w:tc>
      </w:tr>
      <w:tr w:rsidR="00C16DD4" w14:paraId="59CA86CB" w14:textId="77777777" w:rsidTr="00A303B4">
        <w:tc>
          <w:tcPr>
            <w:tcW w:w="3333" w:type="pct"/>
          </w:tcPr>
          <w:p w14:paraId="4FF72E6B" w14:textId="77777777" w:rsidR="00C16DD4" w:rsidRDefault="00C16DD4" w:rsidP="00A303B4">
            <w:pPr>
              <w:jc w:val="center"/>
            </w:pPr>
            <w:r>
              <w:t>Included all features with an absolute Pearson’s pairwise correlation coefficient with MMR &gt;= 0.7</w:t>
            </w:r>
          </w:p>
        </w:tc>
        <w:tc>
          <w:tcPr>
            <w:tcW w:w="1667" w:type="pct"/>
          </w:tcPr>
          <w:p w14:paraId="58BCB076" w14:textId="77777777" w:rsidR="00C16DD4" w:rsidRDefault="00C16DD4" w:rsidP="00A303B4">
            <w:pPr>
              <w:jc w:val="center"/>
            </w:pPr>
            <w:r>
              <w:t>45</w:t>
            </w:r>
          </w:p>
        </w:tc>
      </w:tr>
      <w:tr w:rsidR="00C16DD4" w14:paraId="2AA8E542" w14:textId="77777777" w:rsidTr="00A303B4">
        <w:tc>
          <w:tcPr>
            <w:tcW w:w="3333" w:type="pct"/>
          </w:tcPr>
          <w:p w14:paraId="49A1F11D" w14:textId="77777777" w:rsidR="00C16DD4" w:rsidRDefault="00C16DD4" w:rsidP="00A303B4">
            <w:pPr>
              <w:jc w:val="center"/>
            </w:pPr>
            <w:r>
              <w:t>Included all features with an absolute Pearson’s pairwise correlation coefficient with MMR &gt;= 0.6</w:t>
            </w:r>
          </w:p>
        </w:tc>
        <w:tc>
          <w:tcPr>
            <w:tcW w:w="1667" w:type="pct"/>
          </w:tcPr>
          <w:p w14:paraId="64ABB76E" w14:textId="77777777" w:rsidR="00C16DD4" w:rsidRDefault="00C16DD4" w:rsidP="00A303B4">
            <w:pPr>
              <w:jc w:val="center"/>
            </w:pPr>
            <w:r>
              <w:t>113</w:t>
            </w:r>
          </w:p>
        </w:tc>
      </w:tr>
    </w:tbl>
    <w:p w14:paraId="731F31FE" w14:textId="77777777" w:rsidR="005C7674" w:rsidRDefault="005C7674" w:rsidP="00706A70"/>
    <w:p w14:paraId="0BA0973B" w14:textId="3704BE21" w:rsidR="00C31112" w:rsidRDefault="005C7674" w:rsidP="005C49B7">
      <w:pPr>
        <w:pStyle w:val="Heading3"/>
      </w:pPr>
      <w:r w:rsidRPr="003A5C50">
        <w:lastRenderedPageBreak/>
        <w:t>4.</w:t>
      </w:r>
      <w:r w:rsidR="00BB3C74">
        <w:t>3</w:t>
      </w:r>
      <w:r w:rsidR="00C16DD4">
        <w:t>4</w:t>
      </w:r>
      <w:r w:rsidRPr="003A5C50">
        <w:t xml:space="preserve"> </w:t>
      </w:r>
      <w:r>
        <w:t>Iterative Remov</w:t>
      </w:r>
      <w:r w:rsidR="00BB3C74">
        <w:t>al of</w:t>
      </w:r>
      <w:r>
        <w:t xml:space="preserve"> Rows and Columns </w:t>
      </w:r>
      <w:r w:rsidR="00464FD8">
        <w:t>with a Higher Proportion of Missing</w:t>
      </w:r>
      <w:r>
        <w:t xml:space="preserve"> Data Than a Specific Threshold</w:t>
      </w:r>
    </w:p>
    <w:p w14:paraId="71FE9234" w14:textId="6032E5A2" w:rsidR="00446192" w:rsidRDefault="00BC3F5D" w:rsidP="005C7674">
      <w:pPr>
        <w:jc w:val="both"/>
      </w:pPr>
      <w:r>
        <w:t xml:space="preserve">As discussed in Section 4.21, my input data set contains information missing not at random. </w:t>
      </w:r>
      <w:r w:rsidR="00FC1DBF">
        <w:t xml:space="preserve">In this case, imputation and/or data removal can introduce bias, as the presence of missing data </w:t>
      </w:r>
      <w:r w:rsidR="00E573AF">
        <w:t xml:space="preserve">may </w:t>
      </w:r>
      <w:r w:rsidR="00FC1DBF">
        <w:t>signal important information</w:t>
      </w:r>
      <w:r w:rsidR="00E573AF">
        <w:t xml:space="preserve"> about the country’s health system dynamics. </w:t>
      </w:r>
      <w:r w:rsidR="005A0BD6">
        <w:t xml:space="preserve">However, if the specific feature variable has a very high proportion of missing data, such as over 85%, the model </w:t>
      </w:r>
      <w:proofErr w:type="gramStart"/>
      <w:r w:rsidR="005A0BD6">
        <w:t>may</w:t>
      </w:r>
      <w:proofErr w:type="gramEnd"/>
      <w:r w:rsidR="005A0BD6">
        <w:t xml:space="preserve"> overfit to its small amount of data. </w:t>
      </w:r>
    </w:p>
    <w:p w14:paraId="72DD68C7" w14:textId="77777777" w:rsidR="005A0BD6" w:rsidRDefault="005A0BD6" w:rsidP="005C7674">
      <w:pPr>
        <w:jc w:val="both"/>
      </w:pPr>
    </w:p>
    <w:p w14:paraId="10006857" w14:textId="104BF0C0" w:rsidR="005A0BD6" w:rsidRDefault="005A0BD6" w:rsidP="005C7674">
      <w:pPr>
        <w:jc w:val="both"/>
        <w:rPr>
          <w:rFonts w:cs="Arial"/>
          <w:color w:val="000000" w:themeColor="text1"/>
        </w:rPr>
      </w:pPr>
      <w:r>
        <w:t xml:space="preserve">Therefore, I experimented with removing rows and columns with very high proportions of data. </w:t>
      </w:r>
      <w:r w:rsidR="008F68C5">
        <w:t xml:space="preserve">More specifically, </w:t>
      </w:r>
      <w:r w:rsidR="00F02CA2">
        <w:rPr>
          <w:rFonts w:cs="Arial"/>
          <w:color w:val="000000" w:themeColor="text1"/>
        </w:rPr>
        <w:t xml:space="preserve">I iteratively removed columns and rows from the dataset that contained a higher proportion of missing values than </w:t>
      </w:r>
      <w:r w:rsidR="008F68C5">
        <w:rPr>
          <w:rFonts w:cs="Arial"/>
          <w:color w:val="000000" w:themeColor="text1"/>
        </w:rPr>
        <w:t>a</w:t>
      </w:r>
      <w:r w:rsidR="00F02CA2">
        <w:rPr>
          <w:rFonts w:cs="Arial"/>
          <w:color w:val="000000" w:themeColor="text1"/>
        </w:rPr>
        <w:t xml:space="preserve"> </w:t>
      </w:r>
      <w:r w:rsidR="008F68C5">
        <w:rPr>
          <w:rFonts w:cs="Arial"/>
          <w:color w:val="000000" w:themeColor="text1"/>
        </w:rPr>
        <w:t>pre-</w:t>
      </w:r>
      <w:r w:rsidR="00F02CA2">
        <w:rPr>
          <w:rFonts w:cs="Arial"/>
          <w:color w:val="000000" w:themeColor="text1"/>
        </w:rPr>
        <w:t xml:space="preserve">defined threshold. </w:t>
      </w:r>
      <w:r w:rsidR="008F68C5">
        <w:rPr>
          <w:rFonts w:cs="Arial"/>
          <w:color w:val="000000" w:themeColor="text1"/>
        </w:rPr>
        <w:t>Higher</w:t>
      </w:r>
      <w:r w:rsidR="00F02CA2">
        <w:rPr>
          <w:rFonts w:cs="Arial"/>
          <w:color w:val="000000" w:themeColor="text1"/>
        </w:rPr>
        <w:t xml:space="preserve"> threshold</w:t>
      </w:r>
      <w:r w:rsidR="008F68C5">
        <w:rPr>
          <w:rFonts w:cs="Arial"/>
          <w:color w:val="000000" w:themeColor="text1"/>
        </w:rPr>
        <w:t>s</w:t>
      </w:r>
      <w:r w:rsidR="00F02CA2">
        <w:rPr>
          <w:rFonts w:cs="Arial"/>
          <w:color w:val="000000" w:themeColor="text1"/>
        </w:rPr>
        <w:t xml:space="preserve"> </w:t>
      </w:r>
      <w:r w:rsidR="008F68C5">
        <w:rPr>
          <w:rFonts w:cs="Arial"/>
          <w:color w:val="000000" w:themeColor="text1"/>
        </w:rPr>
        <w:t>meant rows and columns with a greater</w:t>
      </w:r>
      <w:r w:rsidR="00F02CA2">
        <w:rPr>
          <w:rFonts w:cs="Arial"/>
          <w:color w:val="000000" w:themeColor="text1"/>
        </w:rPr>
        <w:t xml:space="preserve"> proportion of </w:t>
      </w:r>
      <w:r w:rsidR="008F68C5">
        <w:rPr>
          <w:rFonts w:cs="Arial"/>
          <w:color w:val="000000" w:themeColor="text1"/>
        </w:rPr>
        <w:t>missing</w:t>
      </w:r>
      <w:r w:rsidR="00F02CA2">
        <w:rPr>
          <w:rFonts w:cs="Arial"/>
          <w:color w:val="000000" w:themeColor="text1"/>
        </w:rPr>
        <w:t xml:space="preserve"> values</w:t>
      </w:r>
      <w:r w:rsidR="001C0E4F">
        <w:rPr>
          <w:rFonts w:cs="Arial"/>
          <w:color w:val="000000" w:themeColor="text1"/>
        </w:rPr>
        <w:t xml:space="preserve"> were kept</w:t>
      </w:r>
      <w:r w:rsidR="00F02CA2">
        <w:rPr>
          <w:rFonts w:cs="Arial"/>
          <w:color w:val="000000" w:themeColor="text1"/>
        </w:rPr>
        <w:t xml:space="preserve"> in the dataset.</w:t>
      </w:r>
      <w:r w:rsidR="004B294C">
        <w:rPr>
          <w:rFonts w:cs="Arial"/>
          <w:color w:val="000000" w:themeColor="text1"/>
        </w:rPr>
        <w:t xml:space="preserve"> Given that removal of a sparse row could affect the proportion of missing data in a column, and vice versa, the removal of rows and columns with more missing data than the specified threshold was </w:t>
      </w:r>
      <w:r w:rsidR="006B6DF5">
        <w:rPr>
          <w:rFonts w:cs="Arial"/>
          <w:color w:val="000000" w:themeColor="text1"/>
        </w:rPr>
        <w:t>conducted until the dataset stabilised.</w:t>
      </w:r>
    </w:p>
    <w:p w14:paraId="287B1888" w14:textId="77777777" w:rsidR="005F7C2A" w:rsidRDefault="005F7C2A" w:rsidP="005C7674">
      <w:pPr>
        <w:jc w:val="both"/>
        <w:rPr>
          <w:rFonts w:cs="Arial"/>
          <w:color w:val="000000" w:themeColor="text1"/>
        </w:rPr>
      </w:pPr>
    </w:p>
    <w:p w14:paraId="1A85AAE5" w14:textId="5CD9E51D" w:rsidR="005F7C2A" w:rsidRDefault="00C013D2" w:rsidP="00F83E2C">
      <w:pPr>
        <w:jc w:val="both"/>
      </w:pPr>
      <w:r>
        <w:t>The</w:t>
      </w:r>
      <w:r w:rsidR="005A7109">
        <w:t xml:space="preserve"> number of columns influence</w:t>
      </w:r>
      <w:r>
        <w:t>d</w:t>
      </w:r>
      <w:r w:rsidR="005A7109">
        <w:t xml:space="preserve"> the proportion of missing data per row, affecting the iterative thresholding operation. </w:t>
      </w:r>
      <w:r w:rsidR="00744C21">
        <w:t xml:space="preserve">Since each feature subset had a different number of columns, the </w:t>
      </w:r>
      <w:r>
        <w:t xml:space="preserve">iterative removal of missing data had to be performed per feature subset/fold pair. </w:t>
      </w:r>
      <w:r w:rsidR="00F83E2C">
        <w:t>It was performed per fold instead of on the entire feature subset-specific train set to prevent data leakage between the folds.</w:t>
      </w:r>
    </w:p>
    <w:p w14:paraId="7978A666" w14:textId="77777777" w:rsidR="005F7C2A" w:rsidRDefault="005F7C2A" w:rsidP="005F7C2A">
      <w:pPr>
        <w:jc w:val="both"/>
      </w:pPr>
    </w:p>
    <w:p w14:paraId="44EE651E" w14:textId="71693E42" w:rsidR="002D3883" w:rsidRDefault="00F83E2C" w:rsidP="005F7C2A">
      <w:pPr>
        <w:jc w:val="both"/>
      </w:pPr>
      <w:r>
        <w:t>Iterative missing data removal</w:t>
      </w:r>
      <w:r w:rsidR="005F7C2A">
        <w:t xml:space="preserve"> was only applied to the training data, not the validation or testing data. </w:t>
      </w:r>
      <w:r w:rsidR="00FB7EA4">
        <w:t xml:space="preserve">This allowed evaluation results from different training datasets to be compared, as each evaluation dataset was at most a subset of the others. </w:t>
      </w:r>
      <w:r w:rsidR="002500B5">
        <w:t xml:space="preserve">However, to ensure model compatibility, any </w:t>
      </w:r>
      <w:r w:rsidR="004A0A62">
        <w:t>columns</w:t>
      </w:r>
      <w:r w:rsidR="002500B5">
        <w:t xml:space="preserve"> dropped from a model’s train set due to feature selection or missing data removal were also dropped from the validation and test sets.</w:t>
      </w:r>
    </w:p>
    <w:p w14:paraId="0F12BF83" w14:textId="77777777" w:rsidR="00F02CA2" w:rsidRDefault="00F02CA2" w:rsidP="00F02CA2">
      <w:pPr>
        <w:jc w:val="both"/>
      </w:pPr>
    </w:p>
    <w:p w14:paraId="5D49CB3F" w14:textId="64E8544F" w:rsidR="00F02CA2" w:rsidRDefault="00F02CA2" w:rsidP="00F02CA2">
      <w:pPr>
        <w:jc w:val="both"/>
      </w:pPr>
      <w:r>
        <w:t xml:space="preserve">I </w:t>
      </w:r>
      <w:r w:rsidR="00136353">
        <w:t>produced</w:t>
      </w:r>
      <w:r>
        <w:t xml:space="preserve"> </w:t>
      </w:r>
      <w:r w:rsidR="00136353">
        <w:t>4</w:t>
      </w:r>
      <w:r>
        <w:t xml:space="preserve"> versions of </w:t>
      </w:r>
      <w:r w:rsidR="00136353">
        <w:t>each feature subset/fold combination using the following thresholds:</w:t>
      </w:r>
    </w:p>
    <w:p w14:paraId="3C5A9DE4" w14:textId="77777777" w:rsidR="00136353" w:rsidRDefault="00136353" w:rsidP="0068246C">
      <w:pPr>
        <w:pStyle w:val="ListParagraph"/>
        <w:numPr>
          <w:ilvl w:val="0"/>
          <w:numId w:val="3"/>
        </w:numPr>
        <w:jc w:val="both"/>
      </w:pPr>
      <w:r>
        <w:t>All columns and rows missing more than 85% of their data</w:t>
      </w:r>
    </w:p>
    <w:p w14:paraId="4B845D83" w14:textId="77777777" w:rsidR="00136353" w:rsidRDefault="00136353" w:rsidP="0068246C">
      <w:pPr>
        <w:pStyle w:val="ListParagraph"/>
        <w:numPr>
          <w:ilvl w:val="0"/>
          <w:numId w:val="3"/>
        </w:numPr>
        <w:jc w:val="both"/>
      </w:pPr>
      <w:r>
        <w:t xml:space="preserve">All columns and rows missing more than 90% of their data </w:t>
      </w:r>
    </w:p>
    <w:p w14:paraId="06DC1FCB" w14:textId="77777777" w:rsidR="00136353" w:rsidRDefault="00136353" w:rsidP="0068246C">
      <w:pPr>
        <w:pStyle w:val="ListParagraph"/>
        <w:numPr>
          <w:ilvl w:val="0"/>
          <w:numId w:val="3"/>
        </w:numPr>
        <w:jc w:val="both"/>
      </w:pPr>
      <w:r>
        <w:t xml:space="preserve">All columns and rows missing more than 95% of their data </w:t>
      </w:r>
    </w:p>
    <w:p w14:paraId="730714BD" w14:textId="2410337C" w:rsidR="00F02CA2" w:rsidRDefault="00F02CA2" w:rsidP="0068246C">
      <w:pPr>
        <w:pStyle w:val="ListParagraph"/>
        <w:numPr>
          <w:ilvl w:val="0"/>
          <w:numId w:val="3"/>
        </w:numPr>
        <w:jc w:val="both"/>
      </w:pPr>
      <w:r>
        <w:t>No missing data removed</w:t>
      </w:r>
      <w:r w:rsidR="0035102B">
        <w:t xml:space="preserve"> (100% threshold)</w:t>
      </w:r>
    </w:p>
    <w:p w14:paraId="1EE20A8E" w14:textId="77777777" w:rsidR="00F02CA2" w:rsidRDefault="00F02CA2" w:rsidP="00F02CA2">
      <w:pPr>
        <w:jc w:val="both"/>
      </w:pPr>
    </w:p>
    <w:p w14:paraId="6F8765F8" w14:textId="1809C39D" w:rsidR="009E5751" w:rsidRDefault="00BD557D" w:rsidP="00F02CA2">
      <w:pPr>
        <w:jc w:val="both"/>
      </w:pPr>
      <w:r>
        <w:t>See Figure 8</w:t>
      </w:r>
      <w:r w:rsidR="005C081F">
        <w:t xml:space="preserve"> </w:t>
      </w:r>
      <w:r>
        <w:t>for</w:t>
      </w:r>
      <w:r w:rsidR="005C081F">
        <w:t xml:space="preserve"> a general idea of how </w:t>
      </w:r>
      <w:r>
        <w:t>iterative data removal affected the input dataset’s size.</w:t>
      </w:r>
      <w:r w:rsidR="006A29AD">
        <w:t xml:space="preserve"> My lowest missing data threshold of 85% still preserves </w:t>
      </w:r>
      <w:r w:rsidR="00F41B6E">
        <w:t>a fair amount of missing data</w:t>
      </w:r>
      <w:r w:rsidR="000C2EC8">
        <w:t xml:space="preserve"> (61%)</w:t>
      </w:r>
      <w:r w:rsidR="00F41B6E">
        <w:t xml:space="preserve">, staying true to the </w:t>
      </w:r>
      <w:r w:rsidR="00B8209D">
        <w:t xml:space="preserve">data sparse conditions of </w:t>
      </w:r>
      <w:r w:rsidR="000C2EC8">
        <w:t>countries without robust data collection systems. Higher missing data thresholds retained a larger number of rows and columns</w:t>
      </w:r>
      <w:r w:rsidR="00FF2C2D">
        <w:t>. Decreasing the missing data threshold from 95% to 90% had a large impact on the number of rows (</w:t>
      </w:r>
      <w:r w:rsidR="00951A3F">
        <w:t xml:space="preserve">2568 to </w:t>
      </w:r>
      <w:r w:rsidR="00D015D4">
        <w:t>2070)</w:t>
      </w:r>
      <w:r w:rsidR="00FF2C2D">
        <w:t xml:space="preserve"> </w:t>
      </w:r>
      <w:r w:rsidR="00D015D4">
        <w:t xml:space="preserve">but only a </w:t>
      </w:r>
      <w:r w:rsidR="00951A3F">
        <w:t xml:space="preserve">small effect on the number of columns (611 to 610). </w:t>
      </w:r>
    </w:p>
    <w:p w14:paraId="278B463A" w14:textId="13DB5097" w:rsidR="00967109" w:rsidRDefault="00AF3FB8" w:rsidP="00AF3FB8">
      <w:pPr>
        <w:jc w:val="center"/>
      </w:pPr>
      <w:r>
        <w:rPr>
          <w:noProof/>
          <w14:ligatures w14:val="standardContextual"/>
        </w:rPr>
        <mc:AlternateContent>
          <mc:Choice Requires="wps">
            <w:drawing>
              <wp:anchor distT="0" distB="0" distL="114300" distR="114300" simplePos="0" relativeHeight="251659264" behindDoc="0" locked="0" layoutInCell="1" allowOverlap="1" wp14:anchorId="38CFF851" wp14:editId="56588AEB">
                <wp:simplePos x="0" y="0"/>
                <wp:positionH relativeFrom="column">
                  <wp:posOffset>99541</wp:posOffset>
                </wp:positionH>
                <wp:positionV relativeFrom="paragraph">
                  <wp:posOffset>106395</wp:posOffset>
                </wp:positionV>
                <wp:extent cx="316258" cy="323133"/>
                <wp:effectExtent l="0" t="0" r="0" b="0"/>
                <wp:wrapNone/>
                <wp:docPr id="1792787415"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9C92D" w14:textId="3DB1E0F5" w:rsidR="00B279DB" w:rsidRDefault="00B279D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FF851" id="_x0000_s1028" type="#_x0000_t202" style="position:absolute;left:0;text-align:left;margin-left:7.85pt;margin-top:8.4pt;width:24.9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" filled="f" stroked="f">
                <v:textbox>
                  <w:txbxContent>
                    <w:p w14:paraId="15E9C92D" w14:textId="3DB1E0F5" w:rsidR="00B279DB" w:rsidRDefault="00B279DB">
                      <w:r>
                        <w:t>a)</w:t>
                      </w:r>
                    </w:p>
                  </w:txbxContent>
                </v:textbox>
              </v:shape>
            </w:pict>
          </mc:Fallback>
        </mc:AlternateContent>
      </w:r>
      <w:r w:rsidRPr="00AF3FB8">
        <w:drawing>
          <wp:inline distT="0" distB="0" distL="0" distR="0" wp14:anchorId="36ECE1F7" wp14:editId="6D8989B2">
            <wp:extent cx="4948015" cy="1640750"/>
            <wp:effectExtent l="0" t="0" r="0" b="0"/>
            <wp:docPr id="1566978551"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78551" name="Picture 1" descr="A graph with blue dots&#10;&#10;AI-generated content may be incorrect."/>
                    <pic:cNvPicPr/>
                  </pic:nvPicPr>
                  <pic:blipFill>
                    <a:blip r:embed="rId18"/>
                    <a:stretch>
                      <a:fillRect/>
                    </a:stretch>
                  </pic:blipFill>
                  <pic:spPr>
                    <a:xfrm>
                      <a:off x="0" y="0"/>
                      <a:ext cx="4981751" cy="1651937"/>
                    </a:xfrm>
                    <a:prstGeom prst="rect">
                      <a:avLst/>
                    </a:prstGeom>
                  </pic:spPr>
                </pic:pic>
              </a:graphicData>
            </a:graphic>
          </wp:inline>
        </w:drawing>
      </w:r>
    </w:p>
    <w:p w14:paraId="2694164C" w14:textId="53EB13FE" w:rsidR="00AF3FB8" w:rsidRDefault="00AF3FB8" w:rsidP="00F02CA2">
      <w:pPr>
        <w:jc w:val="both"/>
      </w:pPr>
    </w:p>
    <w:p w14:paraId="5A07FFF3" w14:textId="619921DB" w:rsidR="00A92E3C" w:rsidRDefault="00AF3FB8" w:rsidP="00967109">
      <w:pPr>
        <w:jc w:val="center"/>
      </w:pPr>
      <w:r>
        <w:rPr>
          <w:noProof/>
          <w14:ligatures w14:val="standardContextual"/>
        </w:rPr>
        <mc:AlternateContent>
          <mc:Choice Requires="wps">
            <w:drawing>
              <wp:anchor distT="0" distB="0" distL="114300" distR="114300" simplePos="0" relativeHeight="251661312" behindDoc="0" locked="0" layoutInCell="1" allowOverlap="1" wp14:anchorId="5E8F6A38" wp14:editId="4565AEB6">
                <wp:simplePos x="0" y="0"/>
                <wp:positionH relativeFrom="column">
                  <wp:posOffset>-157242</wp:posOffset>
                </wp:positionH>
                <wp:positionV relativeFrom="paragraph">
                  <wp:posOffset>2146484</wp:posOffset>
                </wp:positionV>
                <wp:extent cx="316258" cy="323133"/>
                <wp:effectExtent l="0" t="0" r="0" b="0"/>
                <wp:wrapNone/>
                <wp:docPr id="571902535" name="Text Box 1"/>
                <wp:cNvGraphicFramePr/>
                <a:graphic xmlns:a="http://schemas.openxmlformats.org/drawingml/2006/main">
                  <a:graphicData uri="http://schemas.microsoft.com/office/word/2010/wordprocessingShape">
                    <wps:wsp>
                      <wps:cNvSpPr txBox="1"/>
                      <wps:spPr>
                        <a:xfrm>
                          <a:off x="0" y="0"/>
                          <a:ext cx="316258" cy="32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BE1E4" w14:textId="5FA852BE" w:rsidR="00B279DB" w:rsidRDefault="00B279DB" w:rsidP="00B279D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6A38" id="_x0000_s1029" type="#_x0000_t202" style="position:absolute;left:0;text-align:left;margin-left:-12.4pt;margin-top:169pt;width:24.9pt;height:2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" filled="f" stroked="f">
                <v:textbox>
                  <w:txbxContent>
                    <w:p w14:paraId="617BE1E4" w14:textId="5FA852BE" w:rsidR="00B279DB" w:rsidRDefault="00B279DB" w:rsidP="00B279DB">
                      <w:r>
                        <w:t>c)</w:t>
                      </w:r>
                    </w:p>
                  </w:txbxContent>
                </v:textbox>
              </v:shape>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523586DD" wp14:editId="644AFCCC">
                <wp:simplePos x="0" y="0"/>
                <wp:positionH relativeFrom="column">
                  <wp:posOffset>-155053</wp:posOffset>
                </wp:positionH>
                <wp:positionV relativeFrom="paragraph">
                  <wp:posOffset>336478</wp:posOffset>
                </wp:positionV>
                <wp:extent cx="316230" cy="322580"/>
                <wp:effectExtent l="0" t="0" r="0" b="0"/>
                <wp:wrapNone/>
                <wp:docPr id="1546371013" name="Text Box 1"/>
                <wp:cNvGraphicFramePr/>
                <a:graphic xmlns:a="http://schemas.openxmlformats.org/drawingml/2006/main">
                  <a:graphicData uri="http://schemas.microsoft.com/office/word/2010/wordprocessingShape">
                    <wps:wsp>
                      <wps:cNvSpPr txBox="1"/>
                      <wps:spPr>
                        <a:xfrm>
                          <a:off x="0" y="0"/>
                          <a:ext cx="316230" cy="32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35381E" w14:textId="50DF1C2A" w:rsidR="00B279DB" w:rsidRDefault="00B279DB" w:rsidP="00B279D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86DD" id="_x0000_s1030" type="#_x0000_t202" style="position:absolute;left:0;text-align:left;margin-left:-12.2pt;margin-top:26.5pt;width:24.9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" filled="f" stroked="f">
                <v:textbox>
                  <w:txbxContent>
                    <w:p w14:paraId="7D35381E" w14:textId="50DF1C2A" w:rsidR="00B279DB" w:rsidRDefault="00B279DB" w:rsidP="00B279DB">
                      <w:r>
                        <w:t>b)</w:t>
                      </w:r>
                    </w:p>
                  </w:txbxContent>
                </v:textbox>
              </v:shape>
            </w:pict>
          </mc:Fallback>
        </mc:AlternateContent>
      </w:r>
      <w:r w:rsidRPr="00AF3FB8">
        <w:rPr>
          <w:noProof/>
          <w14:ligatures w14:val="standardContextual"/>
        </w:rPr>
        <w:t xml:space="preserve"> </w:t>
      </w:r>
      <w:r w:rsidRPr="00AF3FB8">
        <w:drawing>
          <wp:inline distT="0" distB="0" distL="0" distR="0" wp14:anchorId="4A5C52AD" wp14:editId="611DB111">
            <wp:extent cx="5731510" cy="3756660"/>
            <wp:effectExtent l="0" t="0" r="0" b="2540"/>
            <wp:docPr id="32307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4370" name=""/>
                    <pic:cNvPicPr/>
                  </pic:nvPicPr>
                  <pic:blipFill>
                    <a:blip r:embed="rId19"/>
                    <a:stretch>
                      <a:fillRect/>
                    </a:stretch>
                  </pic:blipFill>
                  <pic:spPr>
                    <a:xfrm>
                      <a:off x="0" y="0"/>
                      <a:ext cx="5731510" cy="3756660"/>
                    </a:xfrm>
                    <a:prstGeom prst="rect">
                      <a:avLst/>
                    </a:prstGeom>
                  </pic:spPr>
                </pic:pic>
              </a:graphicData>
            </a:graphic>
          </wp:inline>
        </w:drawing>
      </w:r>
    </w:p>
    <w:p w14:paraId="0BEB6391" w14:textId="1B5099D9" w:rsidR="005C081F" w:rsidRDefault="00BD557D" w:rsidP="00F02CA2">
      <w:pPr>
        <w:jc w:val="both"/>
      </w:pPr>
      <w:r w:rsidRPr="005066DE">
        <w:rPr>
          <w:b/>
          <w:bCs/>
        </w:rPr>
        <w:t>Figure 8:</w:t>
      </w:r>
      <w:r>
        <w:t xml:space="preserve"> </w:t>
      </w:r>
      <w:r w:rsidR="00A25325">
        <w:t xml:space="preserve">The </w:t>
      </w:r>
      <w:r w:rsidR="009E5751">
        <w:t>a) proportion of missing data remaining</w:t>
      </w:r>
      <w:r w:rsidR="00A92E3C">
        <w:t xml:space="preserve">, b) </w:t>
      </w:r>
      <w:r w:rsidR="00A25325">
        <w:t xml:space="preserve">number of rows and </w:t>
      </w:r>
      <w:r w:rsidR="00A92E3C">
        <w:t>c</w:t>
      </w:r>
      <w:r w:rsidR="00A25325">
        <w:t xml:space="preserve">) </w:t>
      </w:r>
      <w:r w:rsidR="00A92E3C">
        <w:t xml:space="preserve">number of </w:t>
      </w:r>
      <w:r w:rsidR="00A25325">
        <w:t xml:space="preserve">columns remaining in the full input set (not split into train/validation folds or feature subsets) after </w:t>
      </w:r>
      <w:r w:rsidR="005066DE">
        <w:t>iterative data removal for missing data thresholds between 50% and 100% (no missing data removal).</w:t>
      </w:r>
    </w:p>
    <w:p w14:paraId="4E95D48F" w14:textId="77777777" w:rsidR="005C081F" w:rsidRDefault="005C081F" w:rsidP="00F02CA2">
      <w:pPr>
        <w:jc w:val="both"/>
      </w:pPr>
    </w:p>
    <w:p w14:paraId="2C315684" w14:textId="408FAB7B" w:rsidR="00014DAA" w:rsidRDefault="00F02CA2" w:rsidP="007D50E8">
      <w:pPr>
        <w:jc w:val="both"/>
      </w:pPr>
      <w:r>
        <w:t>Stricter missing data limits were not employed due to the possibility of introducing bias via removing missing data when data is not missing completely at random, as discussed in Section 4.21.</w:t>
      </w:r>
      <w:r w:rsidR="00B240DA">
        <w:t xml:space="preserve"> Additionally, smaller missing data thresholds would have reduced the size of the dataset to</w:t>
      </w:r>
      <w:r w:rsidR="0076352D">
        <w:t xml:space="preserve"> 700 rows, which would produce small datasets prone to overfitting.  </w:t>
      </w:r>
    </w:p>
    <w:p w14:paraId="71FDC88E" w14:textId="77777777" w:rsidR="007D50E8" w:rsidRDefault="007D50E8" w:rsidP="007D50E8">
      <w:pPr>
        <w:jc w:val="both"/>
      </w:pPr>
    </w:p>
    <w:p w14:paraId="1671F803" w14:textId="4C6FA2EA" w:rsidR="00647A8A" w:rsidRPr="002211ED" w:rsidRDefault="00647A8A" w:rsidP="00647A8A">
      <w:pPr>
        <w:pStyle w:val="Heading3"/>
      </w:pPr>
      <w:r>
        <w:t>4.</w:t>
      </w:r>
      <w:r w:rsidR="00BE44E1">
        <w:t>3</w:t>
      </w:r>
      <w:r w:rsidR="00076A3E">
        <w:t>5</w:t>
      </w:r>
      <w:r>
        <w:t xml:space="preserve"> Summary of </w:t>
      </w:r>
      <w:r w:rsidR="00B86EBF">
        <w:t xml:space="preserve">Datasets Produced Via </w:t>
      </w:r>
      <w:r>
        <w:t>Pre</w:t>
      </w:r>
      <w:r w:rsidR="00B86EBF">
        <w:t xml:space="preserve">-Processing </w:t>
      </w:r>
      <w:r>
        <w:t xml:space="preserve">  </w:t>
      </w:r>
    </w:p>
    <w:p w14:paraId="74CDCE58" w14:textId="71C9BD5A" w:rsidR="00647A8A" w:rsidRDefault="00127E84" w:rsidP="00015E48">
      <w:pPr>
        <w:jc w:val="both"/>
        <w:rPr>
          <w:lang w:eastAsia="en-US"/>
        </w:rPr>
      </w:pPr>
      <w:r>
        <w:rPr>
          <w:lang w:eastAsia="en-US"/>
        </w:rPr>
        <w:t>The cleaned data was split into train/test subsets</w:t>
      </w:r>
      <w:r w:rsidR="0045245B">
        <w:rPr>
          <w:lang w:eastAsia="en-US"/>
        </w:rPr>
        <w:t xml:space="preserve"> in a 90:10</w:t>
      </w:r>
      <w:r w:rsidR="003B7C03">
        <w:rPr>
          <w:lang w:eastAsia="en-US"/>
        </w:rPr>
        <w:t xml:space="preserve"> ratio</w:t>
      </w:r>
      <w:r w:rsidR="0045245B">
        <w:rPr>
          <w:lang w:eastAsia="en-US"/>
        </w:rPr>
        <w:t>, with different versions of the split being implemented for missing data versus predictive analysis</w:t>
      </w:r>
      <w:r w:rsidR="00015E48">
        <w:rPr>
          <w:lang w:eastAsia="en-US"/>
        </w:rPr>
        <w:t xml:space="preserve">. These subsets were each further split into 5 train/validation </w:t>
      </w:r>
      <w:r w:rsidR="001D6DF4">
        <w:rPr>
          <w:lang w:eastAsia="en-US"/>
        </w:rPr>
        <w:t>cross-validation folds</w:t>
      </w:r>
      <w:r w:rsidR="00015E48">
        <w:rPr>
          <w:lang w:eastAsia="en-US"/>
        </w:rPr>
        <w:t xml:space="preserve">. </w:t>
      </w:r>
      <w:r w:rsidR="003E71F7">
        <w:rPr>
          <w:lang w:eastAsia="en-US"/>
        </w:rPr>
        <w:t xml:space="preserve">5 versions of each fold </w:t>
      </w:r>
      <w:r w:rsidR="001D6DF4">
        <w:rPr>
          <w:lang w:eastAsia="en-US"/>
        </w:rPr>
        <w:t>were</w:t>
      </w:r>
      <w:r w:rsidR="003E71F7">
        <w:rPr>
          <w:lang w:eastAsia="en-US"/>
        </w:rPr>
        <w:t xml:space="preserve"> created by applying different feature selection mechanisms. Finally, 4</w:t>
      </w:r>
      <w:r w:rsidR="00015E48">
        <w:rPr>
          <w:lang w:eastAsia="en-US"/>
        </w:rPr>
        <w:t xml:space="preserve"> versions of each of </w:t>
      </w:r>
      <w:r w:rsidR="003E71F7">
        <w:rPr>
          <w:lang w:eastAsia="en-US"/>
        </w:rPr>
        <w:t>each feature subset/</w:t>
      </w:r>
      <w:r w:rsidR="00015E48">
        <w:rPr>
          <w:lang w:eastAsia="en-US"/>
        </w:rPr>
        <w:t xml:space="preserve">fold </w:t>
      </w:r>
      <w:r w:rsidR="003E71F7">
        <w:rPr>
          <w:lang w:eastAsia="en-US"/>
        </w:rPr>
        <w:t>combination</w:t>
      </w:r>
      <w:r w:rsidR="00015E48">
        <w:rPr>
          <w:lang w:eastAsia="en-US"/>
        </w:rPr>
        <w:t xml:space="preserve"> </w:t>
      </w:r>
      <w:r w:rsidR="003E71F7">
        <w:rPr>
          <w:lang w:eastAsia="en-US"/>
        </w:rPr>
        <w:t>was</w:t>
      </w:r>
      <w:r w:rsidR="00015E48">
        <w:rPr>
          <w:lang w:eastAsia="en-US"/>
        </w:rPr>
        <w:t xml:space="preserve"> produced by </w:t>
      </w:r>
      <w:r w:rsidR="003E71F7">
        <w:rPr>
          <w:lang w:eastAsia="en-US"/>
        </w:rPr>
        <w:t xml:space="preserve">applying </w:t>
      </w:r>
      <w:r w:rsidR="00015E48">
        <w:rPr>
          <w:lang w:eastAsia="en-US"/>
        </w:rPr>
        <w:t>iterative</w:t>
      </w:r>
      <w:r w:rsidR="003E71F7">
        <w:rPr>
          <w:lang w:eastAsia="en-US"/>
        </w:rPr>
        <w:t xml:space="preserve"> missing data removal with different thresholds of missing data allowed.</w:t>
      </w:r>
      <w:r w:rsidR="00015E48">
        <w:rPr>
          <w:lang w:eastAsia="en-US"/>
        </w:rPr>
        <w:t xml:space="preserve"> </w:t>
      </w:r>
    </w:p>
    <w:p w14:paraId="637BE8EC" w14:textId="77777777" w:rsidR="00015E48" w:rsidRDefault="00015E48" w:rsidP="00015E48">
      <w:pPr>
        <w:jc w:val="both"/>
        <w:rPr>
          <w:lang w:eastAsia="en-US"/>
        </w:rPr>
      </w:pPr>
    </w:p>
    <w:p w14:paraId="549B2277" w14:textId="28755D0E" w:rsidR="00015E48" w:rsidRPr="00BE1664" w:rsidRDefault="00015E48" w:rsidP="00015E48">
      <w:pPr>
        <w:jc w:val="both"/>
        <w:rPr>
          <w:lang w:eastAsia="en-US"/>
        </w:rPr>
      </w:pPr>
      <w:r>
        <w:rPr>
          <w:lang w:eastAsia="en-US"/>
        </w:rPr>
        <w:t xml:space="preserve">This produced </w:t>
      </w:r>
      <w:r w:rsidR="0096782A">
        <w:rPr>
          <w:lang w:eastAsia="en-US"/>
        </w:rPr>
        <w:t>1</w:t>
      </w:r>
      <w:r w:rsidR="003E71F7">
        <w:rPr>
          <w:lang w:eastAsia="en-US"/>
        </w:rPr>
        <w:t>00</w:t>
      </w:r>
      <w:r w:rsidR="0096782A">
        <w:rPr>
          <w:lang w:eastAsia="en-US"/>
        </w:rPr>
        <w:t xml:space="preserve"> datasets </w:t>
      </w:r>
      <w:r w:rsidR="003B7C03">
        <w:rPr>
          <w:lang w:eastAsia="en-US"/>
        </w:rPr>
        <w:t>for each of the missing data and predictive analyses.</w:t>
      </w:r>
      <w:r w:rsidR="0096782A">
        <w:rPr>
          <w:lang w:eastAsia="en-US"/>
        </w:rPr>
        <w:t xml:space="preserve"> </w:t>
      </w:r>
    </w:p>
    <w:p w14:paraId="4009D775" w14:textId="73D00FC2" w:rsidR="009B1754" w:rsidRPr="003A5C50" w:rsidRDefault="009B1754" w:rsidP="001503E2">
      <w:pPr>
        <w:pStyle w:val="Heading2"/>
      </w:pPr>
      <w:r w:rsidRPr="003A5C50">
        <w:lastRenderedPageBreak/>
        <w:t>4.</w:t>
      </w:r>
      <w:r w:rsidR="00BE44E1">
        <w:t>4</w:t>
      </w:r>
      <w:r w:rsidRPr="003A5C50">
        <w:t xml:space="preserve"> Models </w:t>
      </w:r>
      <w:r w:rsidR="005E4EDC">
        <w:t>Training and Fine-Tuning</w:t>
      </w:r>
    </w:p>
    <w:p w14:paraId="3A6E4D50" w14:textId="4A29FA11" w:rsidR="009B1754" w:rsidRDefault="009B1754" w:rsidP="0057560C">
      <w:pPr>
        <w:pStyle w:val="Heading3"/>
      </w:pPr>
      <w:r w:rsidRPr="003A5C50">
        <w:t>4.</w:t>
      </w:r>
      <w:r w:rsidR="005E4EDC">
        <w:t>4</w:t>
      </w:r>
      <w:r w:rsidRPr="003A5C50">
        <w:t xml:space="preserve">1 </w:t>
      </w:r>
      <w:r w:rsidR="001240E5">
        <w:t xml:space="preserve">Base Model </w:t>
      </w:r>
      <w:r w:rsidR="00E73652">
        <w:t xml:space="preserve">Development </w:t>
      </w:r>
    </w:p>
    <w:p w14:paraId="78BAF2D4" w14:textId="2E4E4F6C" w:rsidR="00E73652" w:rsidRDefault="00E73652" w:rsidP="00E73652">
      <w:pPr>
        <w:pStyle w:val="Heading4"/>
      </w:pPr>
      <w:r>
        <w:t>4.411 Training and Fine-Tuning</w:t>
      </w:r>
    </w:p>
    <w:p w14:paraId="7727ED5C" w14:textId="1FF9EAFC" w:rsidR="001D2F72" w:rsidRDefault="00203830" w:rsidP="00203830">
      <w:pPr>
        <w:jc w:val="both"/>
      </w:pPr>
      <w:r>
        <w:t xml:space="preserve">Scikit Learn’s Random Forest Regressor, </w:t>
      </w:r>
      <w:proofErr w:type="spellStart"/>
      <w:r>
        <w:t>XGBoost’s</w:t>
      </w:r>
      <w:proofErr w:type="spellEnd"/>
      <w:r>
        <w:t xml:space="preserve"> </w:t>
      </w:r>
      <w:proofErr w:type="spellStart"/>
      <w:r>
        <w:t>XGBRegressor</w:t>
      </w:r>
      <w:proofErr w:type="spellEnd"/>
      <w:r>
        <w:t xml:space="preserve"> and </w:t>
      </w:r>
      <w:proofErr w:type="spellStart"/>
      <w:r>
        <w:t>LightGBM’s</w:t>
      </w:r>
      <w:proofErr w:type="spellEnd"/>
      <w:r>
        <w:t xml:space="preserve"> </w:t>
      </w:r>
      <w:proofErr w:type="spellStart"/>
      <w:r>
        <w:t>LGBMRegressor</w:t>
      </w:r>
      <w:proofErr w:type="spellEnd"/>
      <w:r w:rsidR="00C56CF2">
        <w:t xml:space="preserve"> </w:t>
      </w:r>
      <w:r>
        <w:t xml:space="preserve">were </w:t>
      </w:r>
      <w:r w:rsidR="001D2F72">
        <w:t>trained to predict the maternal mortality ratio (MMR)</w:t>
      </w:r>
      <w:r w:rsidR="003059DA">
        <w:t xml:space="preserve"> for a specific </w:t>
      </w:r>
      <w:r w:rsidR="00122F36">
        <w:t xml:space="preserve">year, </w:t>
      </w:r>
      <w:r w:rsidR="003059DA">
        <w:t>country pair</w:t>
      </w:r>
      <w:r w:rsidR="00C56CF2">
        <w:t xml:space="preserve"> [16, 17, 18]</w:t>
      </w:r>
      <w:r w:rsidR="001D2F72">
        <w:t>. 100 versions of each model type were trained</w:t>
      </w:r>
      <w:r w:rsidR="009B0D5D">
        <w:t xml:space="preserve"> for missing data analysis</w:t>
      </w:r>
      <w:r w:rsidR="001D2F72">
        <w:t xml:space="preserve">, with each version corresponding </w:t>
      </w:r>
      <w:r w:rsidR="009B0D5D">
        <w:t>to one of the 100 versions of the train dataset produced during pre-processing. Another 100 versions of each model type were trained for predictive analysis.</w:t>
      </w:r>
    </w:p>
    <w:p w14:paraId="0F6FEFE9" w14:textId="77777777" w:rsidR="005217A8" w:rsidRDefault="005217A8" w:rsidP="00203830">
      <w:pPr>
        <w:jc w:val="both"/>
      </w:pPr>
    </w:p>
    <w:p w14:paraId="4894AC1E" w14:textId="307A2526" w:rsidR="00CE5803" w:rsidRDefault="00E62C80" w:rsidP="00203830">
      <w:pPr>
        <w:jc w:val="both"/>
      </w:pPr>
      <w:r>
        <w:t>T</w:t>
      </w:r>
      <w:r w:rsidR="00CE5803">
        <w:t>he models’</w:t>
      </w:r>
      <w:r w:rsidR="0095797F">
        <w:t xml:space="preserve"> </w:t>
      </w:r>
      <w:r w:rsidR="00CE5803">
        <w:t>hyperparameters</w:t>
      </w:r>
      <w:r>
        <w:t xml:space="preserve"> were fine-tuned using the Optuna hyperparameter optimisation framework</w:t>
      </w:r>
      <w:r w:rsidR="00D733A4">
        <w:t xml:space="preserve"> [</w:t>
      </w:r>
      <w:r w:rsidR="00EA6390">
        <w:t>1</w:t>
      </w:r>
      <w:r w:rsidR="00C56CF2">
        <w:t>9</w:t>
      </w:r>
      <w:r w:rsidR="00D733A4">
        <w:t>]</w:t>
      </w:r>
      <w:r w:rsidR="0095797F">
        <w:t xml:space="preserve">. </w:t>
      </w:r>
      <w:r w:rsidR="004C71E2">
        <w:t>F</w:t>
      </w:r>
      <w:r w:rsidR="00467027">
        <w:t>inetun</w:t>
      </w:r>
      <w:r w:rsidR="004C71E2">
        <w:t>ing</w:t>
      </w:r>
      <w:r w:rsidR="00467027">
        <w:t xml:space="preserve"> </w:t>
      </w:r>
      <w:r w:rsidR="004C71E2">
        <w:t xml:space="preserve">occurred </w:t>
      </w:r>
      <w:r w:rsidR="00467027">
        <w:t>over 1,000 Optuna trials, where each trial represent</w:t>
      </w:r>
      <w:r w:rsidR="004C71E2">
        <w:t>ed</w:t>
      </w:r>
      <w:r w:rsidR="00467027">
        <w:t xml:space="preserve"> a choice of values for the subset of hyperparameters </w:t>
      </w:r>
      <w:r w:rsidR="00AC24DE">
        <w:t>being</w:t>
      </w:r>
      <w:r w:rsidR="00467027">
        <w:t xml:space="preserve"> tun</w:t>
      </w:r>
      <w:r w:rsidR="00AC24DE">
        <w:t>ed</w:t>
      </w:r>
      <w:r w:rsidR="00467027">
        <w:t>.</w:t>
      </w:r>
      <w:r w:rsidR="00ED53CE">
        <w:t xml:space="preserve"> </w:t>
      </w:r>
      <w:r w:rsidR="00467027">
        <w:t>See Tables 7, 8, and 9 for the specific hyperparameters fine-tuned for each model</w:t>
      </w:r>
      <w:r w:rsidR="003467FC">
        <w:t xml:space="preserve"> type</w:t>
      </w:r>
      <w:r w:rsidR="00467027">
        <w:t>.</w:t>
      </w:r>
      <w:r w:rsidR="00467027" w:rsidRPr="00467027">
        <w:t xml:space="preserve"> </w:t>
      </w:r>
      <w:r w:rsidR="00467027">
        <w:t>All other hyperparameters were set to their default values.</w:t>
      </w:r>
      <w:r w:rsidR="00ED53CE">
        <w:t xml:space="preserve"> During each trial, the model being fine-tuned was </w:t>
      </w:r>
      <w:r w:rsidR="00A57307">
        <w:t>fit</w:t>
      </w:r>
      <w:r w:rsidR="00ED53CE">
        <w:t xml:space="preserve"> </w:t>
      </w:r>
      <w:r w:rsidR="00A57307">
        <w:t>to</w:t>
      </w:r>
      <w:r w:rsidR="00ED53CE">
        <w:t xml:space="preserve"> its associated </w:t>
      </w:r>
      <w:r w:rsidR="00C351F2">
        <w:t>train data</w:t>
      </w:r>
      <w:r w:rsidR="00D733A4">
        <w:t xml:space="preserve"> </w:t>
      </w:r>
      <w:r w:rsidR="003467FC">
        <w:t>using</w:t>
      </w:r>
      <w:r w:rsidR="00D733A4">
        <w:t xml:space="preserve"> the chosen hyperparameter values. </w:t>
      </w:r>
      <w:r w:rsidR="007A7710">
        <w:t>Its performance was evaluated by calculating the mean squared error</w:t>
      </w:r>
      <w:r w:rsidR="003238CE">
        <w:t xml:space="preserve"> (MSE)</w:t>
      </w:r>
      <w:r w:rsidR="007A7710">
        <w:t xml:space="preserve"> of </w:t>
      </w:r>
      <w:r w:rsidR="009C32EF">
        <w:t>its</w:t>
      </w:r>
      <w:r w:rsidR="007A7710">
        <w:t xml:space="preserve"> predictions on data from the associated validation fold.</w:t>
      </w:r>
      <w:r w:rsidR="003238CE">
        <w:t xml:space="preserve"> The model with the lowest validation MSE across the 1,000 trials was saved.</w:t>
      </w:r>
    </w:p>
    <w:p w14:paraId="60FFF04A" w14:textId="77777777" w:rsidR="00FC4757" w:rsidRDefault="00FC4757" w:rsidP="00203830">
      <w:pPr>
        <w:jc w:val="both"/>
      </w:pPr>
    </w:p>
    <w:p w14:paraId="45DE8EC8" w14:textId="4F0D64CC" w:rsidR="00CC4556" w:rsidRDefault="00FC4757" w:rsidP="00203830">
      <w:pPr>
        <w:jc w:val="both"/>
      </w:pPr>
      <w:r>
        <w:t xml:space="preserve">This </w:t>
      </w:r>
      <w:r w:rsidR="00C3590E">
        <w:t>method</w:t>
      </w:r>
      <w:r>
        <w:t xml:space="preserve"> produced </w:t>
      </w:r>
      <w:r w:rsidR="00FB4691">
        <w:t>1</w:t>
      </w:r>
      <w:r>
        <w:t xml:space="preserve">00 fine-tuned </w:t>
      </w:r>
      <w:r w:rsidR="00A40420">
        <w:t xml:space="preserve">XGBoost, LightGBM, and Random Forest </w:t>
      </w:r>
      <w:r>
        <w:t xml:space="preserve">models </w:t>
      </w:r>
      <w:r w:rsidR="00C3590E">
        <w:t xml:space="preserve">for the missing data </w:t>
      </w:r>
      <w:r w:rsidR="00B23D22">
        <w:t xml:space="preserve">analysis and </w:t>
      </w:r>
      <w:r w:rsidR="00FB4691">
        <w:t>1</w:t>
      </w:r>
      <w:r w:rsidR="00B23D22">
        <w:t xml:space="preserve">00 models for the </w:t>
      </w:r>
      <w:r w:rsidR="00C3590E">
        <w:t>predictive analysis.</w:t>
      </w:r>
      <w:r w:rsidR="00FB4691">
        <w:t xml:space="preserve"> Thus, 600 models were fine-tuned in total, with </w:t>
      </w:r>
      <w:r w:rsidR="00B9646F">
        <w:t>the entire fine-tuning process taking approximately</w:t>
      </w:r>
      <w:r w:rsidR="00CC4556">
        <w:t xml:space="preserve"> </w:t>
      </w:r>
      <w:r w:rsidR="009C3278">
        <w:t xml:space="preserve">1 to </w:t>
      </w:r>
      <w:r w:rsidR="00B9646F">
        <w:t>2 days</w:t>
      </w:r>
      <w:r w:rsidR="00CC4556">
        <w:t>. As a result</w:t>
      </w:r>
      <w:r w:rsidR="006D46B4">
        <w:t xml:space="preserve"> of this computational complexity</w:t>
      </w:r>
      <w:r w:rsidR="00CC4556">
        <w:t xml:space="preserve">, </w:t>
      </w:r>
      <w:r w:rsidR="006D46B4">
        <w:t xml:space="preserve">fine-tuning was conducted using </w:t>
      </w:r>
      <w:r w:rsidR="00D52972">
        <w:t>one</w:t>
      </w:r>
      <w:r w:rsidR="006D46B4">
        <w:t xml:space="preserve"> metric rather than multiple metrics capturing different information. MSE was </w:t>
      </w:r>
      <w:r w:rsidR="00974F87">
        <w:t>used because it</w:t>
      </w:r>
      <w:r w:rsidR="006D46B4">
        <w:t xml:space="preserve"> heavily penalise</w:t>
      </w:r>
      <w:r w:rsidR="00974F87">
        <w:t>s</w:t>
      </w:r>
      <w:r w:rsidR="006D46B4">
        <w:t xml:space="preserve"> outliers, which in this context</w:t>
      </w:r>
      <w:r w:rsidR="00974F87">
        <w:t xml:space="preserve"> would</w:t>
      </w:r>
      <w:r w:rsidR="006D46B4">
        <w:t xml:space="preserve"> most likely refer to errors in the high MMR estimates for lower-income countries. </w:t>
      </w:r>
    </w:p>
    <w:p w14:paraId="52889712" w14:textId="77777777" w:rsidR="00F36830" w:rsidRDefault="00F36830" w:rsidP="00F36830">
      <w:pPr>
        <w:jc w:val="both"/>
      </w:pPr>
    </w:p>
    <w:p w14:paraId="5D186461" w14:textId="3AFFEDAE" w:rsidR="00F36830" w:rsidRDefault="00F36830" w:rsidP="00F36830">
      <w:pPr>
        <w:jc w:val="center"/>
      </w:pPr>
      <w:r w:rsidRPr="007148D2">
        <w:rPr>
          <w:b/>
          <w:bCs/>
        </w:rPr>
        <w:t xml:space="preserve">Table </w:t>
      </w:r>
      <w:r w:rsidR="00D6736B">
        <w:rPr>
          <w:b/>
          <w:bCs/>
        </w:rPr>
        <w:t>7</w:t>
      </w:r>
      <w:r w:rsidRPr="007148D2">
        <w:rPr>
          <w:b/>
          <w:bCs/>
        </w:rPr>
        <w:t>:</w:t>
      </w:r>
      <w:r>
        <w:t xml:space="preserve"> Hyperparameter Tuning for Scikit-Learn’s Random Forest Regressor</w:t>
      </w:r>
      <w:r w:rsidR="00C56CF2">
        <w:t xml:space="preserve"> [16]</w:t>
      </w:r>
    </w:p>
    <w:tbl>
      <w:tblPr>
        <w:tblStyle w:val="TableGrid"/>
        <w:tblW w:w="0" w:type="auto"/>
        <w:tblLook w:val="04A0" w:firstRow="1" w:lastRow="0" w:firstColumn="1" w:lastColumn="0" w:noHBand="0" w:noVBand="1"/>
      </w:tblPr>
      <w:tblGrid>
        <w:gridCol w:w="2405"/>
        <w:gridCol w:w="4678"/>
        <w:gridCol w:w="1933"/>
      </w:tblGrid>
      <w:tr w:rsidR="00F36830" w14:paraId="1E571522" w14:textId="77777777" w:rsidTr="000E77FC">
        <w:tc>
          <w:tcPr>
            <w:tcW w:w="2405" w:type="dxa"/>
          </w:tcPr>
          <w:p w14:paraId="0BCFCB16" w14:textId="77777777" w:rsidR="00F36830" w:rsidRPr="00A3792E" w:rsidRDefault="00F36830" w:rsidP="00A303B4">
            <w:pPr>
              <w:jc w:val="center"/>
              <w:rPr>
                <w:b/>
                <w:bCs/>
              </w:rPr>
            </w:pPr>
            <w:r w:rsidRPr="00A3792E">
              <w:rPr>
                <w:b/>
                <w:bCs/>
              </w:rPr>
              <w:t>Hyperparameter Name</w:t>
            </w:r>
            <w:r>
              <w:rPr>
                <w:b/>
                <w:bCs/>
              </w:rPr>
              <w:t xml:space="preserve"> in Scikit-Learn</w:t>
            </w:r>
          </w:p>
        </w:tc>
        <w:tc>
          <w:tcPr>
            <w:tcW w:w="4678" w:type="dxa"/>
          </w:tcPr>
          <w:p w14:paraId="3DAEC968" w14:textId="77777777" w:rsidR="00F36830" w:rsidRPr="00A3792E" w:rsidRDefault="00F36830" w:rsidP="00A303B4">
            <w:pPr>
              <w:jc w:val="center"/>
              <w:rPr>
                <w:b/>
                <w:bCs/>
              </w:rPr>
            </w:pPr>
            <w:r>
              <w:rPr>
                <w:b/>
                <w:bCs/>
              </w:rPr>
              <w:t>Hyperparameter Function</w:t>
            </w:r>
          </w:p>
        </w:tc>
        <w:tc>
          <w:tcPr>
            <w:tcW w:w="1933" w:type="dxa"/>
          </w:tcPr>
          <w:p w14:paraId="75718062" w14:textId="77777777" w:rsidR="00F36830" w:rsidRPr="00A3792E" w:rsidRDefault="00F36830" w:rsidP="00A303B4">
            <w:pPr>
              <w:jc w:val="center"/>
              <w:rPr>
                <w:b/>
                <w:bCs/>
              </w:rPr>
            </w:pPr>
            <w:r w:rsidRPr="00A3792E">
              <w:rPr>
                <w:b/>
                <w:bCs/>
              </w:rPr>
              <w:t>Range of Potential Values</w:t>
            </w:r>
          </w:p>
        </w:tc>
      </w:tr>
      <w:tr w:rsidR="00F36830" w14:paraId="761F08B7" w14:textId="77777777" w:rsidTr="000E77FC">
        <w:tc>
          <w:tcPr>
            <w:tcW w:w="2405" w:type="dxa"/>
          </w:tcPr>
          <w:p w14:paraId="0DD271A0" w14:textId="77777777" w:rsidR="00F36830" w:rsidRDefault="00F36830" w:rsidP="00A303B4">
            <w:pPr>
              <w:jc w:val="center"/>
            </w:pPr>
            <w:proofErr w:type="spellStart"/>
            <w:r>
              <w:t>n_estimators</w:t>
            </w:r>
            <w:proofErr w:type="spellEnd"/>
          </w:p>
        </w:tc>
        <w:tc>
          <w:tcPr>
            <w:tcW w:w="4678" w:type="dxa"/>
          </w:tcPr>
          <w:p w14:paraId="5D5DCA69" w14:textId="77777777" w:rsidR="00F36830" w:rsidRDefault="00F36830" w:rsidP="00A303B4">
            <w:pPr>
              <w:jc w:val="center"/>
            </w:pPr>
            <w:r>
              <w:t>The number of trees in the random forest.</w:t>
            </w:r>
          </w:p>
        </w:tc>
        <w:tc>
          <w:tcPr>
            <w:tcW w:w="1933" w:type="dxa"/>
          </w:tcPr>
          <w:p w14:paraId="722AFC54" w14:textId="77777777" w:rsidR="00F36830" w:rsidRDefault="00F36830" w:rsidP="00A303B4">
            <w:pPr>
              <w:jc w:val="center"/>
            </w:pPr>
            <w:r>
              <w:t>10 to 300</w:t>
            </w:r>
          </w:p>
        </w:tc>
      </w:tr>
      <w:tr w:rsidR="00F36830" w14:paraId="7BFA2BC3" w14:textId="77777777" w:rsidTr="000E77FC">
        <w:tc>
          <w:tcPr>
            <w:tcW w:w="2405" w:type="dxa"/>
          </w:tcPr>
          <w:p w14:paraId="1F9E4B65" w14:textId="77777777" w:rsidR="00F36830" w:rsidRDefault="00F36830" w:rsidP="00A303B4">
            <w:pPr>
              <w:jc w:val="center"/>
            </w:pPr>
            <w:proofErr w:type="spellStart"/>
            <w:r>
              <w:t>max_depth</w:t>
            </w:r>
            <w:proofErr w:type="spellEnd"/>
          </w:p>
        </w:tc>
        <w:tc>
          <w:tcPr>
            <w:tcW w:w="4678" w:type="dxa"/>
          </w:tcPr>
          <w:p w14:paraId="16BF1F5C" w14:textId="77777777" w:rsidR="00F36830" w:rsidRDefault="00F36830" w:rsidP="00A303B4">
            <w:pPr>
              <w:jc w:val="center"/>
            </w:pPr>
            <w:r>
              <w:t>The maximum depth of trees in the model.</w:t>
            </w:r>
          </w:p>
        </w:tc>
        <w:tc>
          <w:tcPr>
            <w:tcW w:w="1933" w:type="dxa"/>
          </w:tcPr>
          <w:p w14:paraId="3D22D2B5" w14:textId="77777777" w:rsidR="00F36830" w:rsidRDefault="00F36830" w:rsidP="00A303B4">
            <w:pPr>
              <w:jc w:val="center"/>
            </w:pPr>
            <w:r>
              <w:t>3 to 25</w:t>
            </w:r>
          </w:p>
        </w:tc>
      </w:tr>
      <w:tr w:rsidR="00F36830" w14:paraId="4C0C1E73" w14:textId="77777777" w:rsidTr="000E77FC">
        <w:tc>
          <w:tcPr>
            <w:tcW w:w="2405" w:type="dxa"/>
          </w:tcPr>
          <w:p w14:paraId="476DD904" w14:textId="77777777" w:rsidR="00F36830" w:rsidRDefault="00F36830" w:rsidP="00A303B4">
            <w:pPr>
              <w:jc w:val="center"/>
            </w:pPr>
            <w:proofErr w:type="spellStart"/>
            <w:r>
              <w:t>min_samples_split</w:t>
            </w:r>
            <w:proofErr w:type="spellEnd"/>
          </w:p>
        </w:tc>
        <w:tc>
          <w:tcPr>
            <w:tcW w:w="4678" w:type="dxa"/>
          </w:tcPr>
          <w:p w14:paraId="5C2B4DFC" w14:textId="77777777" w:rsidR="00F36830" w:rsidRDefault="00F36830" w:rsidP="00A303B4">
            <w:pPr>
              <w:jc w:val="center"/>
            </w:pPr>
            <w:r>
              <w:t>The minimum number of samples/rows for which an internal node can be split.</w:t>
            </w:r>
          </w:p>
        </w:tc>
        <w:tc>
          <w:tcPr>
            <w:tcW w:w="1933" w:type="dxa"/>
          </w:tcPr>
          <w:p w14:paraId="045BAD18" w14:textId="77777777" w:rsidR="00F36830" w:rsidRDefault="00F36830" w:rsidP="00A303B4">
            <w:pPr>
              <w:jc w:val="center"/>
            </w:pPr>
            <w:r>
              <w:t>2 to 10</w:t>
            </w:r>
          </w:p>
        </w:tc>
      </w:tr>
      <w:tr w:rsidR="00F36830" w14:paraId="33EA134F" w14:textId="77777777" w:rsidTr="000E77FC">
        <w:tc>
          <w:tcPr>
            <w:tcW w:w="2405" w:type="dxa"/>
          </w:tcPr>
          <w:p w14:paraId="07F90C7B" w14:textId="77777777" w:rsidR="00F36830" w:rsidRDefault="00F36830" w:rsidP="00A303B4">
            <w:pPr>
              <w:jc w:val="center"/>
            </w:pPr>
            <w:r>
              <w:t>bootstrap</w:t>
            </w:r>
          </w:p>
        </w:tc>
        <w:tc>
          <w:tcPr>
            <w:tcW w:w="4678" w:type="dxa"/>
          </w:tcPr>
          <w:p w14:paraId="786070F8" w14:textId="77777777" w:rsidR="00F36830" w:rsidRDefault="00F36830" w:rsidP="00A303B4">
            <w:pPr>
              <w:jc w:val="center"/>
            </w:pPr>
            <w:r>
              <w:t>Whether each tree in the random forest is trained on a random subset of samples.</w:t>
            </w:r>
          </w:p>
        </w:tc>
        <w:tc>
          <w:tcPr>
            <w:tcW w:w="1933" w:type="dxa"/>
          </w:tcPr>
          <w:p w14:paraId="26DAD354" w14:textId="77777777" w:rsidR="00F36830" w:rsidRDefault="00F36830" w:rsidP="00A303B4">
            <w:pPr>
              <w:jc w:val="center"/>
            </w:pPr>
            <w:r>
              <w:t>True or False</w:t>
            </w:r>
          </w:p>
        </w:tc>
      </w:tr>
      <w:tr w:rsidR="00F36830" w14:paraId="6CC98F10" w14:textId="77777777" w:rsidTr="000E77FC">
        <w:tc>
          <w:tcPr>
            <w:tcW w:w="2405" w:type="dxa"/>
          </w:tcPr>
          <w:p w14:paraId="35F396B7" w14:textId="77777777" w:rsidR="00F36830" w:rsidRDefault="00F36830" w:rsidP="00A303B4">
            <w:pPr>
              <w:jc w:val="center"/>
            </w:pPr>
            <w:proofErr w:type="spellStart"/>
            <w:r>
              <w:t>max_samples</w:t>
            </w:r>
            <w:proofErr w:type="spellEnd"/>
          </w:p>
        </w:tc>
        <w:tc>
          <w:tcPr>
            <w:tcW w:w="4678" w:type="dxa"/>
          </w:tcPr>
          <w:p w14:paraId="5CE9BC3A" w14:textId="4EF320C7" w:rsidR="00F36830" w:rsidRDefault="00F36830" w:rsidP="00A303B4">
            <w:pPr>
              <w:jc w:val="center"/>
            </w:pPr>
            <w:r>
              <w:t xml:space="preserve">The proportion of the full dataset used to train </w:t>
            </w:r>
            <w:r w:rsidR="00602A3E">
              <w:t xml:space="preserve">each </w:t>
            </w:r>
            <w:r>
              <w:t xml:space="preserve">base estimator. This parameter is not used </w:t>
            </w:r>
            <w:r w:rsidR="006B0F4C">
              <w:t>when</w:t>
            </w:r>
            <w:r>
              <w:t xml:space="preserve"> bootstrap is set to False.</w:t>
            </w:r>
          </w:p>
        </w:tc>
        <w:tc>
          <w:tcPr>
            <w:tcW w:w="1933" w:type="dxa"/>
          </w:tcPr>
          <w:p w14:paraId="0DE6DD6E" w14:textId="77777777" w:rsidR="00F36830" w:rsidRDefault="00F36830" w:rsidP="00A303B4">
            <w:pPr>
              <w:jc w:val="center"/>
            </w:pPr>
            <w:r>
              <w:t>0.01 to 1.0</w:t>
            </w:r>
          </w:p>
        </w:tc>
      </w:tr>
    </w:tbl>
    <w:p w14:paraId="0B824B4E" w14:textId="77777777" w:rsidR="00F36830" w:rsidRDefault="00F36830" w:rsidP="00F36830">
      <w:pPr>
        <w:jc w:val="both"/>
      </w:pPr>
    </w:p>
    <w:p w14:paraId="208FB7CB" w14:textId="7705A6EE" w:rsidR="00F36830" w:rsidRDefault="00F36830" w:rsidP="00F36830">
      <w:pPr>
        <w:jc w:val="center"/>
      </w:pPr>
      <w:r w:rsidRPr="007148D2">
        <w:rPr>
          <w:b/>
          <w:bCs/>
        </w:rPr>
        <w:t xml:space="preserve">Table </w:t>
      </w:r>
      <w:r w:rsidR="00D6736B">
        <w:rPr>
          <w:b/>
          <w:bCs/>
        </w:rPr>
        <w:t>8</w:t>
      </w:r>
      <w:r w:rsidRPr="007148D2">
        <w:rPr>
          <w:b/>
          <w:bCs/>
        </w:rPr>
        <w:t>:</w:t>
      </w:r>
      <w:r>
        <w:t xml:space="preserve"> Hyperparameter Tuning for </w:t>
      </w:r>
      <w:proofErr w:type="spellStart"/>
      <w:r>
        <w:t>XGBoost’s</w:t>
      </w:r>
      <w:proofErr w:type="spellEnd"/>
      <w:r>
        <w:t xml:space="preserve"> </w:t>
      </w:r>
      <w:proofErr w:type="spellStart"/>
      <w:r>
        <w:t>XGBRegressor</w:t>
      </w:r>
      <w:proofErr w:type="spellEnd"/>
      <w:r w:rsidR="00C56CF2">
        <w:t xml:space="preserve"> [17]</w:t>
      </w:r>
    </w:p>
    <w:tbl>
      <w:tblPr>
        <w:tblStyle w:val="TableGrid"/>
        <w:tblW w:w="0" w:type="auto"/>
        <w:tblLook w:val="04A0" w:firstRow="1" w:lastRow="0" w:firstColumn="1" w:lastColumn="0" w:noHBand="0" w:noVBand="1"/>
      </w:tblPr>
      <w:tblGrid>
        <w:gridCol w:w="2405"/>
        <w:gridCol w:w="4678"/>
        <w:gridCol w:w="1933"/>
      </w:tblGrid>
      <w:tr w:rsidR="00F36830" w14:paraId="020579D5" w14:textId="77777777" w:rsidTr="000E77FC">
        <w:tc>
          <w:tcPr>
            <w:tcW w:w="2405" w:type="dxa"/>
          </w:tcPr>
          <w:p w14:paraId="448AB306" w14:textId="77777777" w:rsidR="00F36830" w:rsidRPr="00A3792E" w:rsidRDefault="00F36830" w:rsidP="00A303B4">
            <w:pPr>
              <w:jc w:val="center"/>
              <w:rPr>
                <w:b/>
                <w:bCs/>
              </w:rPr>
            </w:pPr>
            <w:r w:rsidRPr="00A3792E">
              <w:rPr>
                <w:b/>
                <w:bCs/>
              </w:rPr>
              <w:t>Hyperparameter Name</w:t>
            </w:r>
            <w:r>
              <w:rPr>
                <w:b/>
                <w:bCs/>
              </w:rPr>
              <w:t xml:space="preserve"> in XGBoost</w:t>
            </w:r>
          </w:p>
        </w:tc>
        <w:tc>
          <w:tcPr>
            <w:tcW w:w="4678" w:type="dxa"/>
          </w:tcPr>
          <w:p w14:paraId="1802C393" w14:textId="77777777" w:rsidR="00F36830" w:rsidRPr="00A3792E" w:rsidRDefault="00F36830" w:rsidP="00A303B4">
            <w:pPr>
              <w:jc w:val="center"/>
              <w:rPr>
                <w:b/>
                <w:bCs/>
              </w:rPr>
            </w:pPr>
            <w:r>
              <w:rPr>
                <w:b/>
                <w:bCs/>
              </w:rPr>
              <w:t>Hyperparameter Function</w:t>
            </w:r>
          </w:p>
        </w:tc>
        <w:tc>
          <w:tcPr>
            <w:tcW w:w="1933" w:type="dxa"/>
          </w:tcPr>
          <w:p w14:paraId="3D15A270" w14:textId="77777777" w:rsidR="00F36830" w:rsidRPr="00A3792E" w:rsidRDefault="00F36830" w:rsidP="00A303B4">
            <w:pPr>
              <w:jc w:val="center"/>
              <w:rPr>
                <w:b/>
                <w:bCs/>
              </w:rPr>
            </w:pPr>
            <w:r w:rsidRPr="00A3792E">
              <w:rPr>
                <w:b/>
                <w:bCs/>
              </w:rPr>
              <w:t>Range of Potential Values</w:t>
            </w:r>
          </w:p>
        </w:tc>
      </w:tr>
      <w:tr w:rsidR="00F36830" w14:paraId="0D1D78EE" w14:textId="77777777" w:rsidTr="000E77FC">
        <w:tc>
          <w:tcPr>
            <w:tcW w:w="2405" w:type="dxa"/>
          </w:tcPr>
          <w:p w14:paraId="271F9D5F" w14:textId="77777777" w:rsidR="00F36830" w:rsidRDefault="00F36830" w:rsidP="00A303B4">
            <w:pPr>
              <w:jc w:val="center"/>
            </w:pPr>
            <w:proofErr w:type="spellStart"/>
            <w:r>
              <w:t>n_estimators</w:t>
            </w:r>
            <w:proofErr w:type="spellEnd"/>
          </w:p>
        </w:tc>
        <w:tc>
          <w:tcPr>
            <w:tcW w:w="4678" w:type="dxa"/>
          </w:tcPr>
          <w:p w14:paraId="02E519D0" w14:textId="640B7040" w:rsidR="00F36830" w:rsidRDefault="00F36830" w:rsidP="00A303B4">
            <w:pPr>
              <w:jc w:val="center"/>
            </w:pPr>
            <w:r>
              <w:t>Number of boosting iterations/number of trees in the final model.</w:t>
            </w:r>
          </w:p>
        </w:tc>
        <w:tc>
          <w:tcPr>
            <w:tcW w:w="1933" w:type="dxa"/>
          </w:tcPr>
          <w:p w14:paraId="2A1BF1F1" w14:textId="77777777" w:rsidR="00F36830" w:rsidRDefault="00F36830" w:rsidP="00A303B4">
            <w:pPr>
              <w:jc w:val="center"/>
            </w:pPr>
            <w:r>
              <w:t>10 to 300</w:t>
            </w:r>
          </w:p>
        </w:tc>
      </w:tr>
      <w:tr w:rsidR="00F36830" w14:paraId="52951721" w14:textId="77777777" w:rsidTr="000E77FC">
        <w:tc>
          <w:tcPr>
            <w:tcW w:w="2405" w:type="dxa"/>
          </w:tcPr>
          <w:p w14:paraId="3EB50CCA" w14:textId="77777777" w:rsidR="00F36830" w:rsidRDefault="00F36830" w:rsidP="00A303B4">
            <w:pPr>
              <w:jc w:val="center"/>
            </w:pPr>
            <w:proofErr w:type="spellStart"/>
            <w:r>
              <w:t>max_depth</w:t>
            </w:r>
            <w:proofErr w:type="spellEnd"/>
          </w:p>
        </w:tc>
        <w:tc>
          <w:tcPr>
            <w:tcW w:w="4678" w:type="dxa"/>
          </w:tcPr>
          <w:p w14:paraId="42B8826A" w14:textId="77777777" w:rsidR="00F36830" w:rsidRDefault="00F36830" w:rsidP="00A303B4">
            <w:pPr>
              <w:jc w:val="center"/>
            </w:pPr>
            <w:r>
              <w:t>The maximum depth of trees in the model.</w:t>
            </w:r>
          </w:p>
        </w:tc>
        <w:tc>
          <w:tcPr>
            <w:tcW w:w="1933" w:type="dxa"/>
          </w:tcPr>
          <w:p w14:paraId="3B6FFEF7" w14:textId="77777777" w:rsidR="00F36830" w:rsidRDefault="00F36830" w:rsidP="00A303B4">
            <w:pPr>
              <w:jc w:val="center"/>
            </w:pPr>
            <w:r>
              <w:t>3 to 25</w:t>
            </w:r>
          </w:p>
        </w:tc>
      </w:tr>
      <w:tr w:rsidR="00F36830" w14:paraId="2C5A6FA4" w14:textId="77777777" w:rsidTr="000E77FC">
        <w:tc>
          <w:tcPr>
            <w:tcW w:w="2405" w:type="dxa"/>
          </w:tcPr>
          <w:p w14:paraId="3CA53F2E" w14:textId="77777777" w:rsidR="00F36830" w:rsidRDefault="00F36830" w:rsidP="00A303B4">
            <w:pPr>
              <w:jc w:val="center"/>
            </w:pPr>
            <w:proofErr w:type="spellStart"/>
            <w:r>
              <w:lastRenderedPageBreak/>
              <w:t>learning_rate</w:t>
            </w:r>
            <w:proofErr w:type="spellEnd"/>
          </w:p>
        </w:tc>
        <w:tc>
          <w:tcPr>
            <w:tcW w:w="4678" w:type="dxa"/>
          </w:tcPr>
          <w:p w14:paraId="2A759AA8" w14:textId="77777777" w:rsidR="00F36830" w:rsidRDefault="00F36830" w:rsidP="00A303B4">
            <w:pPr>
              <w:jc w:val="center"/>
            </w:pPr>
            <w:r>
              <w:t>Controls the extent to which each new tree influences the model’s predictions.</w:t>
            </w:r>
          </w:p>
        </w:tc>
        <w:tc>
          <w:tcPr>
            <w:tcW w:w="1933" w:type="dxa"/>
          </w:tcPr>
          <w:p w14:paraId="7CBAFBCA" w14:textId="77777777" w:rsidR="00F36830" w:rsidRDefault="00F36830" w:rsidP="00A303B4">
            <w:pPr>
              <w:jc w:val="center"/>
            </w:pPr>
            <w:r>
              <w:t>0 to 1</w:t>
            </w:r>
          </w:p>
        </w:tc>
      </w:tr>
      <w:tr w:rsidR="00F36830" w14:paraId="76AAA114" w14:textId="77777777" w:rsidTr="000E77FC">
        <w:tc>
          <w:tcPr>
            <w:tcW w:w="2405" w:type="dxa"/>
          </w:tcPr>
          <w:p w14:paraId="2479B8C7" w14:textId="77777777" w:rsidR="00F36830" w:rsidRDefault="00F36830" w:rsidP="00A303B4">
            <w:pPr>
              <w:jc w:val="center"/>
            </w:pPr>
            <w:proofErr w:type="spellStart"/>
            <w:r>
              <w:t>reg_alpha</w:t>
            </w:r>
            <w:proofErr w:type="spellEnd"/>
          </w:p>
        </w:tc>
        <w:tc>
          <w:tcPr>
            <w:tcW w:w="4678" w:type="dxa"/>
          </w:tcPr>
          <w:p w14:paraId="6CB267BB" w14:textId="77777777" w:rsidR="00F36830" w:rsidRDefault="00F36830" w:rsidP="00A303B4">
            <w:pPr>
              <w:jc w:val="center"/>
            </w:pPr>
            <w:r>
              <w:t>Constant used for L1 regularisation.</w:t>
            </w:r>
          </w:p>
        </w:tc>
        <w:tc>
          <w:tcPr>
            <w:tcW w:w="1933" w:type="dxa"/>
          </w:tcPr>
          <w:p w14:paraId="13426F0A" w14:textId="77777777" w:rsidR="00F36830" w:rsidRDefault="00F36830" w:rsidP="00A303B4">
            <w:pPr>
              <w:jc w:val="center"/>
            </w:pPr>
            <w:r>
              <w:t>0 to 0.001</w:t>
            </w:r>
          </w:p>
        </w:tc>
      </w:tr>
      <w:tr w:rsidR="00F36830" w14:paraId="612FEC65" w14:textId="77777777" w:rsidTr="000E77FC">
        <w:tc>
          <w:tcPr>
            <w:tcW w:w="2405" w:type="dxa"/>
          </w:tcPr>
          <w:p w14:paraId="0AF2834A" w14:textId="77777777" w:rsidR="00F36830" w:rsidRDefault="00F36830" w:rsidP="00A303B4">
            <w:pPr>
              <w:jc w:val="center"/>
            </w:pPr>
            <w:proofErr w:type="spellStart"/>
            <w:r>
              <w:t>reg_lambda</w:t>
            </w:r>
            <w:proofErr w:type="spellEnd"/>
          </w:p>
        </w:tc>
        <w:tc>
          <w:tcPr>
            <w:tcW w:w="4678" w:type="dxa"/>
          </w:tcPr>
          <w:p w14:paraId="14A36D80" w14:textId="77777777" w:rsidR="00F36830" w:rsidRDefault="00F36830" w:rsidP="00A303B4">
            <w:pPr>
              <w:jc w:val="center"/>
            </w:pPr>
            <w:r>
              <w:t>Constant used for L2 regularisation.</w:t>
            </w:r>
          </w:p>
        </w:tc>
        <w:tc>
          <w:tcPr>
            <w:tcW w:w="1933" w:type="dxa"/>
          </w:tcPr>
          <w:p w14:paraId="5CAC8324" w14:textId="77777777" w:rsidR="00F36830" w:rsidRDefault="00F36830" w:rsidP="00A303B4">
            <w:pPr>
              <w:jc w:val="center"/>
            </w:pPr>
            <w:r>
              <w:t>0 to 0.001</w:t>
            </w:r>
          </w:p>
        </w:tc>
      </w:tr>
      <w:tr w:rsidR="00F36830" w14:paraId="36CFE341" w14:textId="77777777" w:rsidTr="000E77FC">
        <w:tc>
          <w:tcPr>
            <w:tcW w:w="2405" w:type="dxa"/>
          </w:tcPr>
          <w:p w14:paraId="068CC340" w14:textId="77777777" w:rsidR="00F36830" w:rsidRDefault="00F36830" w:rsidP="00A303B4">
            <w:pPr>
              <w:jc w:val="center"/>
            </w:pPr>
            <w:r>
              <w:t>booster</w:t>
            </w:r>
          </w:p>
        </w:tc>
        <w:tc>
          <w:tcPr>
            <w:tcW w:w="4678" w:type="dxa"/>
          </w:tcPr>
          <w:p w14:paraId="612B1895" w14:textId="45B39F7A" w:rsidR="00BD6780" w:rsidRDefault="00432D19" w:rsidP="009659A7">
            <w:pPr>
              <w:jc w:val="center"/>
            </w:pPr>
            <w:r>
              <w:t>‘</w:t>
            </w:r>
            <w:proofErr w:type="spellStart"/>
            <w:r>
              <w:t>gbtree</w:t>
            </w:r>
            <w:proofErr w:type="spellEnd"/>
            <w:r>
              <w:t xml:space="preserve">’ is the </w:t>
            </w:r>
            <w:r w:rsidR="003439EC">
              <w:t xml:space="preserve">XGBoost </w:t>
            </w:r>
            <w:r>
              <w:t>gradient boosting. ‘dart’ modifies ‘</w:t>
            </w:r>
            <w:proofErr w:type="spellStart"/>
            <w:r>
              <w:t>gbtree</w:t>
            </w:r>
            <w:proofErr w:type="spellEnd"/>
            <w:r>
              <w:t>’ to randomly drop trees to reduce overfitting.</w:t>
            </w:r>
          </w:p>
        </w:tc>
        <w:tc>
          <w:tcPr>
            <w:tcW w:w="1933" w:type="dxa"/>
          </w:tcPr>
          <w:p w14:paraId="4D5AFE05" w14:textId="77777777" w:rsidR="00F36830" w:rsidRDefault="00F36830" w:rsidP="00A303B4">
            <w:pPr>
              <w:jc w:val="center"/>
            </w:pPr>
            <w:r>
              <w:t>‘</w:t>
            </w:r>
            <w:proofErr w:type="spellStart"/>
            <w:r>
              <w:t>gbtree</w:t>
            </w:r>
            <w:proofErr w:type="spellEnd"/>
            <w:r>
              <w:t>’ or ‘dart’</w:t>
            </w:r>
          </w:p>
        </w:tc>
      </w:tr>
      <w:tr w:rsidR="00F36830" w14:paraId="764F4360" w14:textId="77777777" w:rsidTr="000E77FC">
        <w:tc>
          <w:tcPr>
            <w:tcW w:w="2405" w:type="dxa"/>
          </w:tcPr>
          <w:p w14:paraId="0369EF0D" w14:textId="77777777" w:rsidR="00F36830" w:rsidRDefault="00F36830" w:rsidP="00A303B4">
            <w:pPr>
              <w:jc w:val="center"/>
            </w:pPr>
            <w:r>
              <w:t>subsample</w:t>
            </w:r>
          </w:p>
        </w:tc>
        <w:tc>
          <w:tcPr>
            <w:tcW w:w="4678" w:type="dxa"/>
          </w:tcPr>
          <w:p w14:paraId="12046712" w14:textId="77777777" w:rsidR="00F36830" w:rsidRDefault="00F36830" w:rsidP="00A303B4">
            <w:pPr>
              <w:jc w:val="center"/>
            </w:pPr>
            <w:r>
              <w:t>The proportion of data randomly chosen for each boosting iteration during training.</w:t>
            </w:r>
          </w:p>
        </w:tc>
        <w:tc>
          <w:tcPr>
            <w:tcW w:w="1933" w:type="dxa"/>
          </w:tcPr>
          <w:p w14:paraId="4DF2CA7F" w14:textId="77777777" w:rsidR="00F36830" w:rsidRDefault="00F36830" w:rsidP="00A303B4">
            <w:pPr>
              <w:jc w:val="center"/>
            </w:pPr>
            <w:r>
              <w:t>0.1 to 1</w:t>
            </w:r>
          </w:p>
        </w:tc>
      </w:tr>
    </w:tbl>
    <w:p w14:paraId="59D8A087" w14:textId="77777777" w:rsidR="00F36830" w:rsidRDefault="00F36830" w:rsidP="00F36830">
      <w:pPr>
        <w:jc w:val="both"/>
      </w:pPr>
    </w:p>
    <w:p w14:paraId="66932F09" w14:textId="3E17290C" w:rsidR="00F36830" w:rsidRDefault="00F36830" w:rsidP="00F36830">
      <w:pPr>
        <w:jc w:val="center"/>
      </w:pPr>
      <w:r w:rsidRPr="007148D2">
        <w:rPr>
          <w:b/>
          <w:bCs/>
        </w:rPr>
        <w:t xml:space="preserve">Table </w:t>
      </w:r>
      <w:r w:rsidR="00D6736B">
        <w:rPr>
          <w:b/>
          <w:bCs/>
        </w:rPr>
        <w:t>9</w:t>
      </w:r>
      <w:r w:rsidRPr="007148D2">
        <w:rPr>
          <w:b/>
          <w:bCs/>
        </w:rPr>
        <w:t>:</w:t>
      </w:r>
      <w:r>
        <w:t xml:space="preserve"> Hyperparameter Tuning for </w:t>
      </w:r>
      <w:proofErr w:type="spellStart"/>
      <w:r>
        <w:t>LightGBM’s</w:t>
      </w:r>
      <w:proofErr w:type="spellEnd"/>
      <w:r>
        <w:t xml:space="preserve"> </w:t>
      </w:r>
      <w:proofErr w:type="spellStart"/>
      <w:r>
        <w:t>LGBMRegressor</w:t>
      </w:r>
      <w:proofErr w:type="spellEnd"/>
      <w:r>
        <w:t xml:space="preserve"> </w:t>
      </w:r>
      <w:r w:rsidR="00C56CF2">
        <w:t>[18]</w:t>
      </w:r>
    </w:p>
    <w:tbl>
      <w:tblPr>
        <w:tblStyle w:val="TableGrid"/>
        <w:tblW w:w="0" w:type="auto"/>
        <w:tblLook w:val="04A0" w:firstRow="1" w:lastRow="0" w:firstColumn="1" w:lastColumn="0" w:noHBand="0" w:noVBand="1"/>
      </w:tblPr>
      <w:tblGrid>
        <w:gridCol w:w="2405"/>
        <w:gridCol w:w="4678"/>
        <w:gridCol w:w="1933"/>
      </w:tblGrid>
      <w:tr w:rsidR="00F36830" w14:paraId="5107CA6C" w14:textId="77777777" w:rsidTr="000E77FC">
        <w:tc>
          <w:tcPr>
            <w:tcW w:w="2405" w:type="dxa"/>
          </w:tcPr>
          <w:p w14:paraId="37805DDD" w14:textId="77777777" w:rsidR="00F36830" w:rsidRPr="00A3792E" w:rsidRDefault="00F36830" w:rsidP="00A303B4">
            <w:pPr>
              <w:jc w:val="center"/>
              <w:rPr>
                <w:b/>
                <w:bCs/>
              </w:rPr>
            </w:pPr>
            <w:r w:rsidRPr="00A3792E">
              <w:rPr>
                <w:b/>
                <w:bCs/>
              </w:rPr>
              <w:t>Hyperparameter Name</w:t>
            </w:r>
            <w:r>
              <w:rPr>
                <w:b/>
                <w:bCs/>
              </w:rPr>
              <w:t xml:space="preserve"> in LightGBM</w:t>
            </w:r>
          </w:p>
        </w:tc>
        <w:tc>
          <w:tcPr>
            <w:tcW w:w="4678" w:type="dxa"/>
          </w:tcPr>
          <w:p w14:paraId="529DA8D9" w14:textId="77777777" w:rsidR="00F36830" w:rsidRPr="00A3792E" w:rsidRDefault="00F36830" w:rsidP="00A303B4">
            <w:pPr>
              <w:jc w:val="center"/>
              <w:rPr>
                <w:b/>
                <w:bCs/>
              </w:rPr>
            </w:pPr>
            <w:r>
              <w:rPr>
                <w:b/>
                <w:bCs/>
              </w:rPr>
              <w:t>Hyperparameter Function</w:t>
            </w:r>
          </w:p>
        </w:tc>
        <w:tc>
          <w:tcPr>
            <w:tcW w:w="1933" w:type="dxa"/>
          </w:tcPr>
          <w:p w14:paraId="05636434" w14:textId="77777777" w:rsidR="00F36830" w:rsidRPr="00A3792E" w:rsidRDefault="00F36830" w:rsidP="00A303B4">
            <w:pPr>
              <w:jc w:val="center"/>
              <w:rPr>
                <w:b/>
                <w:bCs/>
              </w:rPr>
            </w:pPr>
            <w:r w:rsidRPr="00A3792E">
              <w:rPr>
                <w:b/>
                <w:bCs/>
              </w:rPr>
              <w:t>Range of Potential Values</w:t>
            </w:r>
          </w:p>
        </w:tc>
      </w:tr>
      <w:tr w:rsidR="00F36830" w14:paraId="7981B253" w14:textId="77777777" w:rsidTr="000E77FC">
        <w:tc>
          <w:tcPr>
            <w:tcW w:w="2405" w:type="dxa"/>
          </w:tcPr>
          <w:p w14:paraId="32ED7F88" w14:textId="77777777" w:rsidR="00F36830" w:rsidRDefault="00F36830" w:rsidP="00A303B4">
            <w:pPr>
              <w:jc w:val="center"/>
            </w:pPr>
            <w:proofErr w:type="spellStart"/>
            <w:r>
              <w:t>n_estimators</w:t>
            </w:r>
            <w:proofErr w:type="spellEnd"/>
          </w:p>
        </w:tc>
        <w:tc>
          <w:tcPr>
            <w:tcW w:w="4678" w:type="dxa"/>
          </w:tcPr>
          <w:p w14:paraId="5C424644" w14:textId="4731FEDE" w:rsidR="00F36830" w:rsidRDefault="00F36830" w:rsidP="00A303B4">
            <w:pPr>
              <w:jc w:val="center"/>
            </w:pPr>
            <w:r>
              <w:t>Number of boosting iterations/number of trees in the final model.</w:t>
            </w:r>
          </w:p>
        </w:tc>
        <w:tc>
          <w:tcPr>
            <w:tcW w:w="1933" w:type="dxa"/>
          </w:tcPr>
          <w:p w14:paraId="758E91F1" w14:textId="77777777" w:rsidR="00F36830" w:rsidRDefault="00F36830" w:rsidP="00A303B4">
            <w:pPr>
              <w:jc w:val="center"/>
            </w:pPr>
            <w:r>
              <w:t>10 to 300</w:t>
            </w:r>
          </w:p>
        </w:tc>
      </w:tr>
      <w:tr w:rsidR="00F36830" w14:paraId="5D41D4EF" w14:textId="77777777" w:rsidTr="000E77FC">
        <w:tc>
          <w:tcPr>
            <w:tcW w:w="2405" w:type="dxa"/>
          </w:tcPr>
          <w:p w14:paraId="7FA30A04" w14:textId="77777777" w:rsidR="00F36830" w:rsidRDefault="00F36830" w:rsidP="00A303B4">
            <w:pPr>
              <w:jc w:val="center"/>
            </w:pPr>
            <w:proofErr w:type="spellStart"/>
            <w:r>
              <w:t>max_depth</w:t>
            </w:r>
            <w:proofErr w:type="spellEnd"/>
          </w:p>
        </w:tc>
        <w:tc>
          <w:tcPr>
            <w:tcW w:w="4678" w:type="dxa"/>
          </w:tcPr>
          <w:p w14:paraId="2CC44300" w14:textId="77777777" w:rsidR="00F36830" w:rsidRDefault="00F36830" w:rsidP="00A303B4">
            <w:pPr>
              <w:jc w:val="center"/>
            </w:pPr>
            <w:r>
              <w:t>The maximum depth of trees in the model.</w:t>
            </w:r>
          </w:p>
        </w:tc>
        <w:tc>
          <w:tcPr>
            <w:tcW w:w="1933" w:type="dxa"/>
          </w:tcPr>
          <w:p w14:paraId="004B211C" w14:textId="77777777" w:rsidR="00F36830" w:rsidRDefault="00F36830" w:rsidP="00A303B4">
            <w:pPr>
              <w:jc w:val="center"/>
            </w:pPr>
            <w:r>
              <w:t>3 to 25</w:t>
            </w:r>
          </w:p>
        </w:tc>
      </w:tr>
      <w:tr w:rsidR="00F36830" w14:paraId="74E498B3" w14:textId="77777777" w:rsidTr="000E77FC">
        <w:tc>
          <w:tcPr>
            <w:tcW w:w="2405" w:type="dxa"/>
          </w:tcPr>
          <w:p w14:paraId="4192C3A5" w14:textId="77777777" w:rsidR="00F36830" w:rsidRDefault="00F36830" w:rsidP="00A303B4">
            <w:pPr>
              <w:jc w:val="center"/>
            </w:pPr>
            <w:proofErr w:type="spellStart"/>
            <w:r>
              <w:t>learning_rate</w:t>
            </w:r>
            <w:proofErr w:type="spellEnd"/>
          </w:p>
        </w:tc>
        <w:tc>
          <w:tcPr>
            <w:tcW w:w="4678" w:type="dxa"/>
          </w:tcPr>
          <w:p w14:paraId="36686B9B" w14:textId="77777777" w:rsidR="00F36830" w:rsidRDefault="00F36830" w:rsidP="00A303B4">
            <w:pPr>
              <w:jc w:val="center"/>
            </w:pPr>
            <w:r>
              <w:t>Controls the extent to which each new tree influences the model’s predictions.</w:t>
            </w:r>
          </w:p>
        </w:tc>
        <w:tc>
          <w:tcPr>
            <w:tcW w:w="1933" w:type="dxa"/>
          </w:tcPr>
          <w:p w14:paraId="5EF4EAE7" w14:textId="77777777" w:rsidR="00F36830" w:rsidRDefault="00F36830" w:rsidP="00A303B4">
            <w:pPr>
              <w:jc w:val="center"/>
            </w:pPr>
            <w:r>
              <w:t>0 to 1</w:t>
            </w:r>
          </w:p>
        </w:tc>
      </w:tr>
      <w:tr w:rsidR="00F36830" w14:paraId="64DAACD4" w14:textId="77777777" w:rsidTr="000E77FC">
        <w:tc>
          <w:tcPr>
            <w:tcW w:w="2405" w:type="dxa"/>
          </w:tcPr>
          <w:p w14:paraId="00C303BE" w14:textId="77777777" w:rsidR="00F36830" w:rsidRDefault="00F36830" w:rsidP="00A303B4">
            <w:pPr>
              <w:jc w:val="center"/>
            </w:pPr>
            <w:proofErr w:type="spellStart"/>
            <w:r>
              <w:t>reg_alpha</w:t>
            </w:r>
            <w:proofErr w:type="spellEnd"/>
          </w:p>
        </w:tc>
        <w:tc>
          <w:tcPr>
            <w:tcW w:w="4678" w:type="dxa"/>
          </w:tcPr>
          <w:p w14:paraId="5473351D" w14:textId="77777777" w:rsidR="00F36830" w:rsidRDefault="00F36830" w:rsidP="00A303B4">
            <w:pPr>
              <w:jc w:val="center"/>
            </w:pPr>
            <w:r>
              <w:t>Constant used for L1 regularisation.</w:t>
            </w:r>
          </w:p>
        </w:tc>
        <w:tc>
          <w:tcPr>
            <w:tcW w:w="1933" w:type="dxa"/>
          </w:tcPr>
          <w:p w14:paraId="62C97000" w14:textId="77777777" w:rsidR="00F36830" w:rsidRDefault="00F36830" w:rsidP="00A303B4">
            <w:pPr>
              <w:jc w:val="center"/>
            </w:pPr>
            <w:r>
              <w:t>0 to 0.001</w:t>
            </w:r>
          </w:p>
        </w:tc>
      </w:tr>
      <w:tr w:rsidR="00F36830" w14:paraId="49FD398C" w14:textId="77777777" w:rsidTr="000E77FC">
        <w:tc>
          <w:tcPr>
            <w:tcW w:w="2405" w:type="dxa"/>
          </w:tcPr>
          <w:p w14:paraId="34253262" w14:textId="77777777" w:rsidR="00F36830" w:rsidRDefault="00F36830" w:rsidP="00A303B4">
            <w:pPr>
              <w:jc w:val="center"/>
            </w:pPr>
            <w:proofErr w:type="spellStart"/>
            <w:r>
              <w:t>reg_lambda</w:t>
            </w:r>
            <w:proofErr w:type="spellEnd"/>
          </w:p>
        </w:tc>
        <w:tc>
          <w:tcPr>
            <w:tcW w:w="4678" w:type="dxa"/>
          </w:tcPr>
          <w:p w14:paraId="120AACA0" w14:textId="77777777" w:rsidR="00F36830" w:rsidRDefault="00F36830" w:rsidP="00A303B4">
            <w:pPr>
              <w:jc w:val="center"/>
            </w:pPr>
            <w:r>
              <w:t>Constant used for L2 regularisation.</w:t>
            </w:r>
          </w:p>
        </w:tc>
        <w:tc>
          <w:tcPr>
            <w:tcW w:w="1933" w:type="dxa"/>
          </w:tcPr>
          <w:p w14:paraId="3E8D337E" w14:textId="77777777" w:rsidR="00F36830" w:rsidRDefault="00F36830" w:rsidP="00A303B4">
            <w:pPr>
              <w:jc w:val="center"/>
            </w:pPr>
            <w:r>
              <w:t>0 to 0.001</w:t>
            </w:r>
          </w:p>
        </w:tc>
      </w:tr>
      <w:tr w:rsidR="00F36830" w14:paraId="25FF103A" w14:textId="77777777" w:rsidTr="000E77FC">
        <w:tc>
          <w:tcPr>
            <w:tcW w:w="2405" w:type="dxa"/>
          </w:tcPr>
          <w:p w14:paraId="1295825C" w14:textId="77777777" w:rsidR="00F36830" w:rsidRDefault="00F36830" w:rsidP="00A303B4">
            <w:pPr>
              <w:jc w:val="center"/>
            </w:pPr>
            <w:r>
              <w:t>boosting</w:t>
            </w:r>
          </w:p>
        </w:tc>
        <w:tc>
          <w:tcPr>
            <w:tcW w:w="4678" w:type="dxa"/>
          </w:tcPr>
          <w:p w14:paraId="0CB6B660" w14:textId="39F6C4A5" w:rsidR="00F36830" w:rsidRDefault="009659A7" w:rsidP="00A303B4">
            <w:pPr>
              <w:jc w:val="center"/>
            </w:pPr>
            <w:r>
              <w:t xml:space="preserve"> </w:t>
            </w:r>
            <w:r w:rsidR="003439EC">
              <w:t>‘</w:t>
            </w:r>
            <w:proofErr w:type="spellStart"/>
            <w:r w:rsidR="003439EC">
              <w:t>gbtree</w:t>
            </w:r>
            <w:proofErr w:type="spellEnd"/>
            <w:r w:rsidR="003439EC">
              <w:t xml:space="preserve">’ is the XGBoost gradient boosting. </w:t>
            </w:r>
            <w:r w:rsidR="00F30CF0">
              <w:t xml:space="preserve"> </w:t>
            </w:r>
            <w:r>
              <w:t xml:space="preserve">‘dart’ </w:t>
            </w:r>
            <w:r w:rsidR="000338E5">
              <w:t>modifies</w:t>
            </w:r>
            <w:r w:rsidR="00F30CF0">
              <w:t xml:space="preserve"> ‘</w:t>
            </w:r>
            <w:proofErr w:type="spellStart"/>
            <w:r w:rsidR="00F30CF0">
              <w:t>gbdt</w:t>
            </w:r>
            <w:proofErr w:type="spellEnd"/>
            <w:r w:rsidR="00F30CF0">
              <w:t xml:space="preserve">’ </w:t>
            </w:r>
            <w:r w:rsidR="00FF2BB8">
              <w:t>to</w:t>
            </w:r>
            <w:r w:rsidR="00F30CF0">
              <w:t xml:space="preserve"> </w:t>
            </w:r>
            <w:r>
              <w:t>randomly drop trees to reduce overfitting.</w:t>
            </w:r>
          </w:p>
        </w:tc>
        <w:tc>
          <w:tcPr>
            <w:tcW w:w="1933" w:type="dxa"/>
          </w:tcPr>
          <w:p w14:paraId="587F4821" w14:textId="77777777" w:rsidR="00F36830" w:rsidRDefault="00F36830" w:rsidP="00A303B4">
            <w:pPr>
              <w:jc w:val="center"/>
            </w:pPr>
            <w:r>
              <w:t>‘</w:t>
            </w:r>
            <w:proofErr w:type="spellStart"/>
            <w:r>
              <w:t>gbdt</w:t>
            </w:r>
            <w:proofErr w:type="spellEnd"/>
            <w:r>
              <w:t>’ or ‘dart’</w:t>
            </w:r>
          </w:p>
        </w:tc>
      </w:tr>
      <w:tr w:rsidR="00F36830" w14:paraId="4E3283A0" w14:textId="77777777" w:rsidTr="000E77FC">
        <w:tc>
          <w:tcPr>
            <w:tcW w:w="2405" w:type="dxa"/>
          </w:tcPr>
          <w:p w14:paraId="451E4CAC" w14:textId="77777777" w:rsidR="00F36830" w:rsidRDefault="00F36830" w:rsidP="00A303B4">
            <w:pPr>
              <w:jc w:val="center"/>
            </w:pPr>
            <w:proofErr w:type="spellStart"/>
            <w:r>
              <w:t>bagging_freq</w:t>
            </w:r>
            <w:proofErr w:type="spellEnd"/>
          </w:p>
        </w:tc>
        <w:tc>
          <w:tcPr>
            <w:tcW w:w="4678" w:type="dxa"/>
          </w:tcPr>
          <w:p w14:paraId="367046E4" w14:textId="047C6552" w:rsidR="00F36830" w:rsidRDefault="00F36830" w:rsidP="00A303B4">
            <w:pPr>
              <w:jc w:val="center"/>
            </w:pPr>
            <w:r>
              <w:t>Every k-</w:t>
            </w:r>
            <w:proofErr w:type="spellStart"/>
            <w:r>
              <w:t>th</w:t>
            </w:r>
            <w:proofErr w:type="spellEnd"/>
            <w:r>
              <w:t xml:space="preserve"> iteration, the model select</w:t>
            </w:r>
            <w:r w:rsidR="00483310">
              <w:t>s</w:t>
            </w:r>
            <w:r>
              <w:t xml:space="preserve"> a random subset of data for use in training for the next k iterations.</w:t>
            </w:r>
          </w:p>
        </w:tc>
        <w:tc>
          <w:tcPr>
            <w:tcW w:w="1933" w:type="dxa"/>
          </w:tcPr>
          <w:p w14:paraId="0C5C5B98" w14:textId="77777777" w:rsidR="00F36830" w:rsidRDefault="00F36830" w:rsidP="00A303B4">
            <w:pPr>
              <w:jc w:val="center"/>
            </w:pPr>
            <w:r>
              <w:t>0 to 10</w:t>
            </w:r>
          </w:p>
        </w:tc>
      </w:tr>
      <w:tr w:rsidR="00F36830" w14:paraId="73594921" w14:textId="77777777" w:rsidTr="000E77FC">
        <w:tc>
          <w:tcPr>
            <w:tcW w:w="2405" w:type="dxa"/>
          </w:tcPr>
          <w:p w14:paraId="02F06DD1" w14:textId="77777777" w:rsidR="00F36830" w:rsidRDefault="00F36830" w:rsidP="00A303B4">
            <w:pPr>
              <w:jc w:val="center"/>
            </w:pPr>
            <w:proofErr w:type="spellStart"/>
            <w:r>
              <w:t>bagging_fraction</w:t>
            </w:r>
            <w:proofErr w:type="spellEnd"/>
          </w:p>
        </w:tc>
        <w:tc>
          <w:tcPr>
            <w:tcW w:w="4678" w:type="dxa"/>
          </w:tcPr>
          <w:p w14:paraId="5CB1927D" w14:textId="77777777" w:rsidR="00F36830" w:rsidRDefault="00F36830" w:rsidP="00A303B4">
            <w:pPr>
              <w:jc w:val="center"/>
            </w:pPr>
            <w:r>
              <w:t xml:space="preserve">The proportion of data randomly chosen for training. Used if </w:t>
            </w:r>
            <w:proofErr w:type="spellStart"/>
            <w:r>
              <w:t>bagging_frequency</w:t>
            </w:r>
            <w:proofErr w:type="spellEnd"/>
            <w:r>
              <w:t xml:space="preserve"> is not set to equal zero.</w:t>
            </w:r>
          </w:p>
        </w:tc>
        <w:tc>
          <w:tcPr>
            <w:tcW w:w="1933" w:type="dxa"/>
          </w:tcPr>
          <w:p w14:paraId="234D9BA8" w14:textId="77777777" w:rsidR="00F36830" w:rsidRDefault="00F36830" w:rsidP="00A303B4">
            <w:pPr>
              <w:jc w:val="center"/>
            </w:pPr>
            <w:r>
              <w:t>0.1 to 1.0</w:t>
            </w:r>
          </w:p>
        </w:tc>
      </w:tr>
    </w:tbl>
    <w:p w14:paraId="3C34A33A" w14:textId="2297122D" w:rsidR="00152405" w:rsidRDefault="00837562" w:rsidP="004774CF">
      <w:r>
        <w:t xml:space="preserve"> </w:t>
      </w:r>
    </w:p>
    <w:p w14:paraId="39070478" w14:textId="0D499E1B" w:rsidR="00E127B5" w:rsidRDefault="00E127B5" w:rsidP="00E127B5">
      <w:pPr>
        <w:pStyle w:val="Heading4"/>
      </w:pPr>
      <w:r>
        <w:t>4.412 Testing and Comparison</w:t>
      </w:r>
    </w:p>
    <w:p w14:paraId="6371ADCD" w14:textId="1BA2D2FE" w:rsidR="003B66E7" w:rsidRDefault="003B66E7" w:rsidP="00B54AA6">
      <w:pPr>
        <w:jc w:val="both"/>
      </w:pPr>
      <w:r>
        <w:t xml:space="preserve">The hyperparameters </w:t>
      </w:r>
      <w:r w:rsidR="0028593C">
        <w:t>for each fine-tuned model were saved</w:t>
      </w:r>
      <w:r w:rsidR="00C923CF">
        <w:t xml:space="preserve"> at the end of the Optuna fine-tuning process. When being evaluated, each model was re-trained </w:t>
      </w:r>
      <w:r w:rsidR="00B54AA6">
        <w:t xml:space="preserve">with these hyperparameter values </w:t>
      </w:r>
      <w:r w:rsidR="00C923CF">
        <w:t xml:space="preserve">on its associated training </w:t>
      </w:r>
      <w:r w:rsidR="00B54AA6">
        <w:t>data.</w:t>
      </w:r>
    </w:p>
    <w:p w14:paraId="3917DC78" w14:textId="77777777" w:rsidR="003B66E7" w:rsidRPr="003B66E7" w:rsidRDefault="003B66E7" w:rsidP="003B66E7"/>
    <w:p w14:paraId="1A252540" w14:textId="77777777" w:rsidR="008763BE" w:rsidRDefault="00AB0953" w:rsidP="00384315">
      <w:pPr>
        <w:jc w:val="both"/>
      </w:pPr>
      <w:r>
        <w:t xml:space="preserve">The </w:t>
      </w:r>
      <w:r w:rsidR="00384315">
        <w:t>3</w:t>
      </w:r>
      <w:r>
        <w:t xml:space="preserve">00 fine-tuned models </w:t>
      </w:r>
      <w:r w:rsidR="00384315">
        <w:t>for missing data analysis were</w:t>
      </w:r>
      <w:r>
        <w:t xml:space="preserve"> evaluated </w:t>
      </w:r>
      <w:r w:rsidR="00384315">
        <w:t xml:space="preserve">on the same test set, which had no </w:t>
      </w:r>
      <w:r w:rsidR="00B74460">
        <w:t xml:space="preserve">missing data removal </w:t>
      </w:r>
      <w:r w:rsidR="00384315">
        <w:t xml:space="preserve">applied to it. </w:t>
      </w:r>
      <w:r w:rsidR="00B74460">
        <w:t>The only difference between the test sets used for the various models is that model</w:t>
      </w:r>
      <w:r w:rsidR="00F52888">
        <w:t xml:space="preserve">s were evaluated on a version of the test set that contained on the features that were present in the model’s train dataset. </w:t>
      </w:r>
    </w:p>
    <w:p w14:paraId="1E2AF81D" w14:textId="77777777" w:rsidR="008763BE" w:rsidRDefault="008763BE" w:rsidP="00384315">
      <w:pPr>
        <w:jc w:val="both"/>
      </w:pPr>
    </w:p>
    <w:p w14:paraId="6505C4F2" w14:textId="38C86B54" w:rsidR="00892738" w:rsidRDefault="00460CF3" w:rsidP="00384315">
      <w:pPr>
        <w:jc w:val="both"/>
      </w:pPr>
      <w:r>
        <w:t xml:space="preserve">The fine-tuned models were evaluated based on the accuracy of their test set predictions. </w:t>
      </w:r>
      <w:r w:rsidR="00855D6A">
        <w:t>More specifically, the MSE, root mean-squared error (RMSE), mean absolute error (MAE), R</w:t>
      </w:r>
      <w:r w:rsidR="00855D6A">
        <w:rPr>
          <w:vertAlign w:val="superscript"/>
        </w:rPr>
        <w:t>2</w:t>
      </w:r>
      <w:r w:rsidR="00855D6A">
        <w:t xml:space="preserve">, and </w:t>
      </w:r>
      <w:r w:rsidR="004024BC">
        <w:t xml:space="preserve">mean relative error of its test set predictions were calculated. Using a wide range of </w:t>
      </w:r>
      <w:r w:rsidR="00A169B9">
        <w:t xml:space="preserve">metrics enabled a more nuanced evaluation of the model’s performance, as </w:t>
      </w:r>
      <w:r w:rsidR="005E6A7F">
        <w:t xml:space="preserve">the metrics placed different emphasis on outliers. </w:t>
      </w:r>
      <w:r w:rsidR="00F510C1">
        <w:t xml:space="preserve">The mean relative error </w:t>
      </w:r>
      <w:r w:rsidR="00083E9C">
        <w:t xml:space="preserve">was a symmetrical version of the mean absolute percentage error (MAPE) described in </w:t>
      </w:r>
      <w:r w:rsidR="00FB2B41">
        <w:t>S</w:t>
      </w:r>
      <w:r w:rsidR="00083E9C">
        <w:t xml:space="preserve">ection </w:t>
      </w:r>
      <w:r w:rsidR="00FB2B41">
        <w:t>2.3211.</w:t>
      </w:r>
      <w:r w:rsidR="00A05E15">
        <w:t xml:space="preserve"> The formula for the mean relative error is given in Equation 11, below, with the modification to the base MAPE score</w:t>
      </w:r>
      <w:r w:rsidR="006E7BC3">
        <w:t xml:space="preserve"> (Equation </w:t>
      </w:r>
      <w:r w:rsidR="00EA711E">
        <w:t>5)</w:t>
      </w:r>
      <w:r w:rsidR="00A05E15">
        <w:t xml:space="preserve"> adjusting for </w:t>
      </w:r>
      <w:r w:rsidR="00EA711E">
        <w:t>its asymmetrically.</w:t>
      </w:r>
    </w:p>
    <w:p w14:paraId="50177BF9" w14:textId="73A96763" w:rsidR="008763BE" w:rsidRDefault="00AF3FB8" w:rsidP="00384315">
      <w:pPr>
        <w:jc w:val="both"/>
      </w:pPr>
      <m:oMathPara>
        <m:oMath>
          <m:eqArr>
            <m:eqArrPr>
              <m:maxDist m:val="1"/>
              <m:ctrlPr>
                <w:rPr>
                  <w:rFonts w:ascii="Cambria Math" w:hAnsi="Cambria Math"/>
                  <w:i/>
                  <w:noProof/>
                </w:rPr>
              </m:ctrlPr>
            </m:eqArrPr>
            <m:e>
              <m:r>
                <w:rPr>
                  <w:rFonts w:ascii="Cambria Math" w:hAnsi="Cambria Math"/>
                </w:rPr>
                <m:t xml:space="preserve">Mean Relative Error= </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m:rPr>
                                      <m:sty m:val="p"/>
                                    </m:rPr>
                                    <w:rPr>
                                      <w:rFonts w:ascii="Cambria Math" w:hAnsi="Cambria Math"/>
                                      <w:noProof/>
                                    </w:rPr>
                                    <m:t>max⁡</m:t>
                                  </m:r>
                                  <m: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e>
                                  </m:d>
                                  <m:r>
                                    <w:rPr>
                                      <w:rFonts w:ascii="Cambria Math" w:hAnsi="Cambria Math"/>
                                      <w:noProof/>
                                    </w:rPr>
                                    <m:t>,</m:t>
                                  </m:r>
                                  <m:d>
                                    <m:dPr>
                                      <m:begChr m:val="|"/>
                                      <m:endChr m:val="|"/>
                                      <m:ctrlPr>
                                        <w:rPr>
                                          <w:rFonts w:ascii="Cambria Math" w:hAnsi="Cambria Math"/>
                                          <w:i/>
                                        </w:rPr>
                                      </m:ctrlPr>
                                    </m:dPr>
                                    <m:e>
                                      <m:r>
                                        <w:rPr>
                                          <w:rFonts w:ascii="Cambria Math" w:hAnsi="Cambria Math"/>
                                          <w:noProof/>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noProof/>
                                    </w:rPr>
                                    <m:t>)</m:t>
                                  </m:r>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r>
                <w:rPr>
                  <w:rFonts w:ascii="Cambria Math" w:hAnsi="Cambria Math"/>
                </w:rPr>
                <m:t>#</m:t>
              </m:r>
              <m:d>
                <m:dPr>
                  <m:ctrlPr>
                    <w:rPr>
                      <w:rFonts w:ascii="Cambria Math" w:hAnsi="Cambria Math"/>
                      <w:i/>
                      <w:noProof/>
                    </w:rPr>
                  </m:ctrlPr>
                </m:dPr>
                <m:e>
                  <m:r>
                    <w:rPr>
                      <w:rFonts w:ascii="Cambria Math" w:hAnsi="Cambria Math"/>
                      <w:noProof/>
                    </w:rPr>
                    <m:t>11</m:t>
                  </m:r>
                </m:e>
              </m:d>
              <m:ctrlPr>
                <w:rPr>
                  <w:rFonts w:ascii="Cambria Math" w:hAnsi="Cambria Math"/>
                  <w:i/>
                </w:rPr>
              </m:ctrlPr>
            </m:e>
          </m:eqArr>
        </m:oMath>
      </m:oMathPara>
    </w:p>
    <w:p w14:paraId="6E588CEC" w14:textId="77777777" w:rsidR="008763BE" w:rsidRDefault="008763BE" w:rsidP="00384315">
      <w:pPr>
        <w:jc w:val="both"/>
      </w:pPr>
    </w:p>
    <w:p w14:paraId="5BF49757" w14:textId="7C2FBBD8" w:rsidR="00D64FC3" w:rsidRDefault="00037F00" w:rsidP="00384315">
      <w:pPr>
        <w:jc w:val="both"/>
      </w:pPr>
      <w:r>
        <w:t xml:space="preserve">Each combination of </w:t>
      </w:r>
      <w:r w:rsidR="003B66E7">
        <w:t xml:space="preserve">model type, </w:t>
      </w:r>
      <w:r>
        <w:t xml:space="preserve">feature selection </w:t>
      </w:r>
      <w:r w:rsidR="00014088">
        <w:t xml:space="preserve">strategy </w:t>
      </w:r>
      <w:r>
        <w:t>and missing data removal strateg</w:t>
      </w:r>
      <w:r w:rsidR="00014088">
        <w:t>y</w:t>
      </w:r>
      <w:r>
        <w:t xml:space="preserve"> ha</w:t>
      </w:r>
      <w:r w:rsidR="00581369">
        <w:t>d</w:t>
      </w:r>
      <w:r>
        <w:t xml:space="preserve"> 5 associated </w:t>
      </w:r>
      <w:r w:rsidR="00581369">
        <w:t>training datasets</w:t>
      </w:r>
      <w:r>
        <w:t xml:space="preserve">. </w:t>
      </w:r>
      <w:r w:rsidR="00581369">
        <w:t xml:space="preserve">The performance of the strategy combination was the average test performance of the models trained on these folds. </w:t>
      </w:r>
      <w:r>
        <w:t>The performance</w:t>
      </w:r>
      <w:r w:rsidR="006A6AE2">
        <w:t>s</w:t>
      </w:r>
      <w:r>
        <w:t xml:space="preserve"> of different strategy combinations were</w:t>
      </w:r>
      <w:r w:rsidR="00B56964">
        <w:t xml:space="preserve"> then</w:t>
      </w:r>
      <w:r>
        <w:t xml:space="preserve"> compared</w:t>
      </w:r>
      <w:r w:rsidR="00014088">
        <w:t>.</w:t>
      </w:r>
    </w:p>
    <w:p w14:paraId="39EB1687" w14:textId="77777777" w:rsidR="00D64FC3" w:rsidRDefault="00D64FC3" w:rsidP="00384315">
      <w:pPr>
        <w:jc w:val="both"/>
      </w:pPr>
    </w:p>
    <w:p w14:paraId="1873C4F5" w14:textId="68F177FE" w:rsidR="000426AF" w:rsidRDefault="008763BE" w:rsidP="003B66E7">
      <w:pPr>
        <w:jc w:val="both"/>
      </w:pPr>
      <w:r>
        <w:t>The 300 fine-tuned models for predictive data analysis were similarly tested</w:t>
      </w:r>
      <w:r w:rsidR="00B56964">
        <w:t xml:space="preserve">, </w:t>
      </w:r>
      <w:r>
        <w:t>evaluated</w:t>
      </w:r>
      <w:r w:rsidR="00B56964">
        <w:t>, and compared</w:t>
      </w:r>
      <w:r>
        <w:t xml:space="preserve">. </w:t>
      </w:r>
    </w:p>
    <w:p w14:paraId="667F6BBC" w14:textId="77777777" w:rsidR="008D0E08" w:rsidRDefault="008D0E08" w:rsidP="003B66E7">
      <w:pPr>
        <w:jc w:val="both"/>
      </w:pPr>
    </w:p>
    <w:p w14:paraId="6DFD9B5E" w14:textId="789A43A3" w:rsidR="008D0E08" w:rsidRDefault="008D0E08" w:rsidP="008D0E08">
      <w:pPr>
        <w:pStyle w:val="Heading4"/>
      </w:pPr>
      <w:r>
        <w:t>4.413 Feature Importance Analysis</w:t>
      </w:r>
    </w:p>
    <w:p w14:paraId="1F71A2A1" w14:textId="77777777" w:rsidR="00AF3FB8" w:rsidRDefault="0025432D" w:rsidP="00AF3FB8">
      <w:pPr>
        <w:jc w:val="both"/>
      </w:pPr>
      <w:r>
        <w:t xml:space="preserve">One of the primary aims of this research was to </w:t>
      </w:r>
      <w:r w:rsidR="005D4A7C">
        <w:t xml:space="preserve">identify the socio-economic and health-related variables that have the highest predictive power for MMR. </w:t>
      </w:r>
      <w:r w:rsidR="00D244BA">
        <w:t xml:space="preserve">Using </w:t>
      </w:r>
      <w:r w:rsidR="00235195">
        <w:t xml:space="preserve">in-built methods implemented by the models’ platform, </w:t>
      </w:r>
      <w:r w:rsidR="001C307D">
        <w:t xml:space="preserve">a </w:t>
      </w:r>
      <w:r w:rsidR="00235195">
        <w:t>feature</w:t>
      </w:r>
      <w:r w:rsidR="001C307D">
        <w:t>’s</w:t>
      </w:r>
      <w:r w:rsidR="00235195">
        <w:t xml:space="preserve"> </w:t>
      </w:r>
      <w:r w:rsidR="00780BEA">
        <w:t xml:space="preserve">importance </w:t>
      </w:r>
      <w:r w:rsidR="004D13AE">
        <w:t>can be</w:t>
      </w:r>
      <w:r w:rsidR="00780BEA">
        <w:t xml:space="preserve"> </w:t>
      </w:r>
      <w:r w:rsidR="00D640DC">
        <w:t xml:space="preserve">calculated </w:t>
      </w:r>
      <w:r w:rsidR="00B86C92">
        <w:t>using</w:t>
      </w:r>
      <w:r w:rsidR="00D640DC">
        <w:t xml:space="preserve"> the </w:t>
      </w:r>
      <w:r w:rsidR="00D244BA">
        <w:t xml:space="preserve">mean decrease </w:t>
      </w:r>
      <w:r w:rsidR="00B86C92">
        <w:t xml:space="preserve">in impurity/MSE </w:t>
      </w:r>
      <w:r w:rsidR="004F2F45">
        <w:t>across splits</w:t>
      </w:r>
      <w:r w:rsidR="001C307D">
        <w:t xml:space="preserve"> the feature is involved in</w:t>
      </w:r>
      <w:r w:rsidR="004F2F45">
        <w:t xml:space="preserve"> </w:t>
      </w:r>
      <w:r w:rsidR="00D244BA">
        <w:t>(Scikit Learn Random Forest Regressor)</w:t>
      </w:r>
      <w:r w:rsidR="00B86C92">
        <w:t xml:space="preserve"> or</w:t>
      </w:r>
      <w:r w:rsidR="00DB207C">
        <w:t xml:space="preserve"> </w:t>
      </w:r>
      <w:r w:rsidR="001612EA">
        <w:t xml:space="preserve">mean decrease in loss across the </w:t>
      </w:r>
      <w:r w:rsidR="002076DF">
        <w:t>f</w:t>
      </w:r>
      <w:r w:rsidR="001612EA">
        <w:t>eature’</w:t>
      </w:r>
      <w:r w:rsidR="004D13AE">
        <w:t>s</w:t>
      </w:r>
      <w:r w:rsidR="001612EA">
        <w:t xml:space="preserve"> splits </w:t>
      </w:r>
      <w:proofErr w:type="gramStart"/>
      <w:r w:rsidR="001612EA">
        <w:t>taking into account</w:t>
      </w:r>
      <w:proofErr w:type="gramEnd"/>
      <w:r w:rsidR="001612EA">
        <w:t xml:space="preserve"> </w:t>
      </w:r>
      <w:r w:rsidR="000820C2">
        <w:t>information from the loss function’s derivatives (XGBoost)</w:t>
      </w:r>
      <w:r w:rsidR="002076DF">
        <w:t xml:space="preserve">. Feature importance in LightGBM is calculated in </w:t>
      </w:r>
      <w:proofErr w:type="gramStart"/>
      <w:r w:rsidR="002076DF">
        <w:t xml:space="preserve">a similar </w:t>
      </w:r>
      <w:proofErr w:type="spellStart"/>
      <w:r w:rsidR="002076DF">
        <w:t>to</w:t>
      </w:r>
      <w:proofErr w:type="spellEnd"/>
      <w:proofErr w:type="gramEnd"/>
      <w:r w:rsidR="002076DF">
        <w:t xml:space="preserve"> way to </w:t>
      </w:r>
      <w:r w:rsidR="00F26FCB">
        <w:t>feature importance</w:t>
      </w:r>
      <w:r w:rsidR="002076DF">
        <w:t xml:space="preserve"> in XGBoost, but LightGBM uses the total decrease in loss rather than the average decrease [</w:t>
      </w:r>
      <w:r w:rsidR="00572190">
        <w:t>16, 17</w:t>
      </w:r>
      <w:r w:rsidR="002076DF">
        <w:t xml:space="preserve">]. </w:t>
      </w:r>
      <w:r w:rsidR="00F26FCB">
        <w:t>These feature importances were used to provide information about the variables with the highest predictive power for MMR</w:t>
      </w:r>
      <w:r w:rsidR="00572190">
        <w:t xml:space="preserve"> [18]</w:t>
      </w:r>
      <w:r w:rsidR="00F26FCB">
        <w:t xml:space="preserve">. Additionally, </w:t>
      </w:r>
      <w:r w:rsidR="006A5F8A">
        <w:t>variation</w:t>
      </w:r>
      <w:r w:rsidR="00F26FCB">
        <w:t xml:space="preserve"> in feature importance across the </w:t>
      </w:r>
      <w:r w:rsidR="006A5F8A">
        <w:t xml:space="preserve">different models was used to investigate differences in the models’ performance. </w:t>
      </w:r>
    </w:p>
    <w:p w14:paraId="628884F6" w14:textId="77777777" w:rsidR="00AF3FB8" w:rsidRDefault="00AF3FB8" w:rsidP="00AF3FB8">
      <w:pPr>
        <w:jc w:val="both"/>
      </w:pPr>
    </w:p>
    <w:p w14:paraId="624D868A" w14:textId="6578B36F" w:rsidR="009B1754" w:rsidRDefault="0026260E" w:rsidP="00AF3FB8">
      <w:pPr>
        <w:pStyle w:val="Heading3"/>
      </w:pPr>
      <w:r>
        <w:lastRenderedPageBreak/>
        <w:t>4.</w:t>
      </w:r>
      <w:r w:rsidR="00A47253">
        <w:t>42 Ensemble Models</w:t>
      </w:r>
      <w:r>
        <w:t xml:space="preserve"> </w:t>
      </w:r>
      <w:r w:rsidR="00A47253">
        <w:t>Training and Fine-Tuning</w:t>
      </w:r>
    </w:p>
    <w:p w14:paraId="3E6BEEE1" w14:textId="25EF8A2B" w:rsidR="00A47253" w:rsidRDefault="0043629A" w:rsidP="00EF08C6">
      <w:pPr>
        <w:jc w:val="center"/>
      </w:pPr>
      <w:r w:rsidRPr="0043629A">
        <w:rPr>
          <w:noProof/>
        </w:rPr>
        <w:drawing>
          <wp:inline distT="0" distB="0" distL="0" distR="0" wp14:anchorId="71946C55" wp14:editId="17E44514">
            <wp:extent cx="4652478" cy="5500914"/>
            <wp:effectExtent l="0" t="0" r="0" b="2540"/>
            <wp:docPr id="141546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6454" name=""/>
                    <pic:cNvPicPr/>
                  </pic:nvPicPr>
                  <pic:blipFill>
                    <a:blip r:embed="rId20"/>
                    <a:stretch>
                      <a:fillRect/>
                    </a:stretch>
                  </pic:blipFill>
                  <pic:spPr>
                    <a:xfrm>
                      <a:off x="0" y="0"/>
                      <a:ext cx="4652478" cy="5500914"/>
                    </a:xfrm>
                    <a:prstGeom prst="rect">
                      <a:avLst/>
                    </a:prstGeom>
                  </pic:spPr>
                </pic:pic>
              </a:graphicData>
            </a:graphic>
          </wp:inline>
        </w:drawing>
      </w:r>
    </w:p>
    <w:p w14:paraId="1C36875F" w14:textId="6A3B57D3" w:rsidR="00926A55" w:rsidRDefault="00926A55" w:rsidP="00EF08C6">
      <w:pPr>
        <w:jc w:val="center"/>
      </w:pPr>
      <w:r w:rsidRPr="00411984">
        <w:rPr>
          <w:b/>
          <w:bCs/>
        </w:rPr>
        <w:t xml:space="preserve">Figure </w:t>
      </w:r>
      <w:r w:rsidR="00AF3FB8">
        <w:rPr>
          <w:b/>
          <w:bCs/>
        </w:rPr>
        <w:t>9</w:t>
      </w:r>
      <w:r w:rsidRPr="00411984">
        <w:rPr>
          <w:b/>
          <w:bCs/>
        </w:rPr>
        <w:t>:</w:t>
      </w:r>
      <w:r>
        <w:t xml:space="preserve"> </w:t>
      </w:r>
      <w:r w:rsidR="00FC6BAF">
        <w:t xml:space="preserve">Visualisation of </w:t>
      </w:r>
      <w:r w:rsidR="00D31BCD">
        <w:t xml:space="preserve">the source of the 300 base estimators </w:t>
      </w:r>
      <w:r w:rsidR="00AD6A79">
        <w:t>used as in</w:t>
      </w:r>
      <w:r w:rsidR="0067195E">
        <w:t>put into</w:t>
      </w:r>
      <w:r w:rsidR="00AD6A79">
        <w:t xml:space="preserve"> the ensemble model. The purple boxes give the pre-processing method </w:t>
      </w:r>
      <w:r w:rsidR="00411984">
        <w:t xml:space="preserve">used to generate a version of the train dataset or </w:t>
      </w:r>
      <w:r w:rsidR="0067195E">
        <w:t xml:space="preserve">the </w:t>
      </w:r>
      <w:r w:rsidR="00094F3C">
        <w:t xml:space="preserve">base estimator </w:t>
      </w:r>
      <w:r w:rsidR="0067195E">
        <w:t xml:space="preserve">model used to </w:t>
      </w:r>
      <w:r w:rsidR="00411984">
        <w:t xml:space="preserve">produce </w:t>
      </w:r>
      <w:r w:rsidR="00094F3C">
        <w:t>an MMR</w:t>
      </w:r>
      <w:r w:rsidR="00411984">
        <w:t xml:space="preserve"> </w:t>
      </w:r>
      <w:r w:rsidR="00094F3C">
        <w:t>estimate</w:t>
      </w:r>
      <w:r w:rsidR="00411984">
        <w:t xml:space="preserve">. The grey boxes give the number of base estimators trained per method. For example, </w:t>
      </w:r>
      <w:r w:rsidR="00094F3C">
        <w:t>the 300 base estimator predictions consisted of 100 predictions each from Random Forest, XGBoost, and LightGBM mo</w:t>
      </w:r>
      <w:r w:rsidR="005573E4">
        <w:t>d</w:t>
      </w:r>
      <w:r w:rsidR="00094F3C">
        <w:t xml:space="preserve">els. 20 </w:t>
      </w:r>
      <w:r w:rsidR="005573E4">
        <w:t>model-specific</w:t>
      </w:r>
      <w:r w:rsidR="00094F3C">
        <w:t xml:space="preserve"> predictions </w:t>
      </w:r>
      <w:r w:rsidR="005573E4">
        <w:t>were made on each cross-validation fold, with these</w:t>
      </w:r>
      <w:r w:rsidR="00094F3C">
        <w:t xml:space="preserve"> </w:t>
      </w:r>
      <w:r w:rsidR="005573E4">
        <w:t xml:space="preserve">predictions </w:t>
      </w:r>
      <w:r w:rsidR="00FF1B4F">
        <w:t>consisting of 4 estimates for each feature selection method</w:t>
      </w:r>
      <w:r w:rsidR="008455DB">
        <w:t>, each of which came from a dataset with a different missing data removal threshold</w:t>
      </w:r>
      <w:r w:rsidR="00FF1B4F">
        <w:t xml:space="preserve">. </w:t>
      </w:r>
    </w:p>
    <w:p w14:paraId="52D3B052" w14:textId="77777777" w:rsidR="00926A55" w:rsidRDefault="00926A55" w:rsidP="00926A55"/>
    <w:p w14:paraId="296FB4F2" w14:textId="18E065ED" w:rsidR="004922D3" w:rsidRDefault="00304766" w:rsidP="006B21B0">
      <w:pPr>
        <w:pStyle w:val="Heading4"/>
        <w:jc w:val="both"/>
      </w:pPr>
      <w:r>
        <w:t xml:space="preserve">4.421 Using all Base Predictors in Different Types of Ensemble Models </w:t>
      </w:r>
    </w:p>
    <w:p w14:paraId="20E69674" w14:textId="52C58E08" w:rsidR="006B21B0" w:rsidRDefault="00E96D93" w:rsidP="006B21B0">
      <w:pPr>
        <w:jc w:val="both"/>
      </w:pPr>
      <w:r>
        <w:t xml:space="preserve">Having </w:t>
      </w:r>
      <w:r w:rsidR="00CE69D3">
        <w:t>hundreds of</w:t>
      </w:r>
      <w:r>
        <w:t xml:space="preserve"> fine-tuned models </w:t>
      </w:r>
      <w:r w:rsidR="00463EC0">
        <w:t xml:space="preserve">creates the opportunity to use ensemble methods to combine predictions from multiple models, as described in Section </w:t>
      </w:r>
      <w:r w:rsidR="006C47D9">
        <w:t xml:space="preserve">3.325. </w:t>
      </w:r>
      <w:r w:rsidR="006B21B0">
        <w:t>The ensemble modelling process detailed below was performed for both the missing data analysis and predictive analysis.</w:t>
      </w:r>
      <w:r w:rsidR="00074AA6">
        <w:t xml:space="preserve"> </w:t>
      </w:r>
    </w:p>
    <w:p w14:paraId="682CA70C" w14:textId="77777777" w:rsidR="00CE69D3" w:rsidRDefault="00CE69D3" w:rsidP="006B21B0">
      <w:pPr>
        <w:jc w:val="both"/>
      </w:pPr>
    </w:p>
    <w:p w14:paraId="7831F32D" w14:textId="77777777" w:rsidR="00530E7D" w:rsidRDefault="003C1FCA" w:rsidP="00B205D5">
      <w:pPr>
        <w:jc w:val="both"/>
      </w:pPr>
      <w:r>
        <w:t xml:space="preserve">Predictions from </w:t>
      </w:r>
      <w:r w:rsidR="00CE69D3">
        <w:t xml:space="preserve">300 fine-tuned models </w:t>
      </w:r>
      <w:r w:rsidR="005F6BDB">
        <w:t>were used as input</w:t>
      </w:r>
      <w:r w:rsidR="000269B5">
        <w:t xml:space="preserve"> data</w:t>
      </w:r>
      <w:r w:rsidR="005F6BDB">
        <w:t xml:space="preserve"> into an ensemble model, which learned how to best combine the</w:t>
      </w:r>
      <w:r w:rsidR="003E22DB">
        <w:t>ir</w:t>
      </w:r>
      <w:r w:rsidR="005F6BDB">
        <w:t xml:space="preserve"> predictions to produce an accurate, final MMR predictions. </w:t>
      </w:r>
      <w:r w:rsidR="00074AA6">
        <w:lastRenderedPageBreak/>
        <w:t xml:space="preserve">For the remainder of the thesis, the component fine-tuned models used as inputs to the ensemble will be referred to as “base estimators”. </w:t>
      </w:r>
    </w:p>
    <w:p w14:paraId="6977828B" w14:textId="77777777" w:rsidR="00530E7D" w:rsidRDefault="00530E7D" w:rsidP="00B205D5">
      <w:pPr>
        <w:jc w:val="both"/>
      </w:pPr>
    </w:p>
    <w:p w14:paraId="29B9F806" w14:textId="6103C69A" w:rsidR="00A957AE" w:rsidRDefault="00530E7D" w:rsidP="00B205D5">
      <w:pPr>
        <w:jc w:val="both"/>
      </w:pPr>
      <w:r>
        <w:t>More specifically, t</w:t>
      </w:r>
      <w:r w:rsidR="00A957AE">
        <w:t xml:space="preserve">he base estimators were </w:t>
      </w:r>
      <w:r>
        <w:t>fit</w:t>
      </w:r>
      <w:r w:rsidR="00A957AE">
        <w:t xml:space="preserve"> </w:t>
      </w:r>
      <w:r w:rsidR="003F1D13">
        <w:t xml:space="preserve">on their associated training data using their best hyperparameter settings, which were determined through the fine-tuning process described </w:t>
      </w:r>
      <w:r w:rsidR="0046694F">
        <w:t>above</w:t>
      </w:r>
      <w:r w:rsidR="003F1D13">
        <w:t>.</w:t>
      </w:r>
      <w:r w:rsidR="00A957AE">
        <w:t xml:space="preserve"> </w:t>
      </w:r>
      <w:r w:rsidR="00312526">
        <w:t>Then, each of the</w:t>
      </w:r>
      <w:r w:rsidR="0046694F">
        <w:t xml:space="preserve"> trained,</w:t>
      </w:r>
      <w:r w:rsidR="00312526">
        <w:t xml:space="preserve"> fine-tuned models predicted </w:t>
      </w:r>
      <w:r w:rsidR="0046694F">
        <w:t>the MMR for the</w:t>
      </w:r>
      <w:r w:rsidR="00312526">
        <w:t xml:space="preserve"> </w:t>
      </w:r>
      <w:proofErr w:type="spellStart"/>
      <w:r w:rsidR="00312526">
        <w:t>the</w:t>
      </w:r>
      <w:proofErr w:type="spellEnd"/>
      <w:r w:rsidR="00312526">
        <w:t xml:space="preserve"> full, concatenated training and validation sets. In other words</w:t>
      </w:r>
      <w:r w:rsidR="00697A7F">
        <w:t xml:space="preserve">, the trained, fine-tuned models predicted on </w:t>
      </w:r>
      <w:r w:rsidR="007805D3">
        <w:t xml:space="preserve">the training </w:t>
      </w:r>
      <w:r w:rsidR="00697A7F">
        <w:t xml:space="preserve">data </w:t>
      </w:r>
      <w:r w:rsidR="00B1562E">
        <w:t>before it was exposed to cross-fold validation, feature selection, and missing data removal.</w:t>
      </w:r>
      <w:r w:rsidR="007805D3">
        <w:t xml:space="preserve"> These predictions served as the training dataset for the ensemble models.</w:t>
      </w:r>
      <w:r w:rsidR="00104107">
        <w:t xml:space="preserve"> </w:t>
      </w:r>
    </w:p>
    <w:p w14:paraId="0C219D9C" w14:textId="77777777" w:rsidR="00A957AE" w:rsidRDefault="00A957AE" w:rsidP="00B205D5">
      <w:pPr>
        <w:jc w:val="both"/>
      </w:pPr>
    </w:p>
    <w:p w14:paraId="259F973C" w14:textId="5E6CB9D2" w:rsidR="006E334C" w:rsidRDefault="00541E10" w:rsidP="00B205D5">
      <w:pPr>
        <w:jc w:val="both"/>
      </w:pPr>
      <w:r>
        <w:t xml:space="preserve">I used voting and stacking ensemble models to combine the </w:t>
      </w:r>
      <w:r w:rsidR="00A82A91">
        <w:t>base estimators’</w:t>
      </w:r>
      <w:r>
        <w:t xml:space="preserve"> predictions</w:t>
      </w:r>
      <w:r w:rsidR="00DB43A7">
        <w:t xml:space="preserve">, </w:t>
      </w:r>
      <w:r w:rsidR="00AA3975">
        <w:t>as</w:t>
      </w:r>
      <w:r w:rsidR="00DB43A7">
        <w:t xml:space="preserve"> </w:t>
      </w:r>
      <w:r w:rsidR="00EF33F5">
        <w:t xml:space="preserve">a review of ensemble methods given in Section </w:t>
      </w:r>
      <w:r w:rsidR="00AA3975">
        <w:t>3.31 found th</w:t>
      </w:r>
      <w:r w:rsidR="00191E47">
        <w:t>at</w:t>
      </w:r>
      <w:r w:rsidR="00B205D5">
        <w:t>, of all models tested within a study,</w:t>
      </w:r>
      <w:r w:rsidR="00191E47">
        <w:t xml:space="preserve"> voting and stacking ensemble</w:t>
      </w:r>
      <w:r w:rsidR="00B205D5">
        <w:t>s</w:t>
      </w:r>
      <w:r w:rsidR="00191E47">
        <w:t xml:space="preserve"> frequently produced the highest </w:t>
      </w:r>
      <w:r w:rsidR="00B205D5">
        <w:t>performance</w:t>
      </w:r>
      <w:r w:rsidR="00191E47">
        <w:t xml:space="preserve"> [20].</w:t>
      </w:r>
    </w:p>
    <w:p w14:paraId="288D7B0B" w14:textId="77777777" w:rsidR="00AB7B7E" w:rsidRDefault="00AB7B7E" w:rsidP="00B205D5">
      <w:pPr>
        <w:jc w:val="both"/>
      </w:pPr>
    </w:p>
    <w:p w14:paraId="5529403C" w14:textId="1D323096" w:rsidR="003157E5" w:rsidRDefault="003157E5" w:rsidP="007805D3">
      <w:pPr>
        <w:pStyle w:val="Heading4"/>
        <w:jc w:val="both"/>
      </w:pPr>
      <w:r>
        <w:t>4.4211 Voting Ensemble</w:t>
      </w:r>
    </w:p>
    <w:p w14:paraId="23415B2C" w14:textId="69B34B93" w:rsidR="00AB7B7E" w:rsidRDefault="00A82A91" w:rsidP="00B205D5">
      <w:pPr>
        <w:jc w:val="both"/>
      </w:pPr>
      <w:r>
        <w:t xml:space="preserve">For each country, year sample, </w:t>
      </w:r>
      <w:r w:rsidR="009770BE">
        <w:t xml:space="preserve">the </w:t>
      </w:r>
      <w:r>
        <w:t>v</w:t>
      </w:r>
      <w:r w:rsidR="003E22DB">
        <w:t xml:space="preserve">oting ensemble model produced a weighted average of the </w:t>
      </w:r>
      <w:r w:rsidR="007C485E">
        <w:t>base estimators</w:t>
      </w:r>
      <w:r w:rsidR="007805D3">
        <w:t>’ predictions</w:t>
      </w:r>
      <w:r w:rsidR="007C485E">
        <w:t xml:space="preserve">. </w:t>
      </w:r>
      <w:r w:rsidR="009770BE">
        <w:t>The weight</w:t>
      </w:r>
      <w:r w:rsidR="002A0B93">
        <w:t xml:space="preserve">ing given to </w:t>
      </w:r>
      <w:r w:rsidR="009770BE">
        <w:t xml:space="preserve">each </w:t>
      </w:r>
      <w:r w:rsidR="002A0B93">
        <w:t xml:space="preserve">base </w:t>
      </w:r>
      <w:r w:rsidR="009770BE">
        <w:t xml:space="preserve">model </w:t>
      </w:r>
      <w:r w:rsidR="002A0B93">
        <w:t>was</w:t>
      </w:r>
      <w:r w:rsidR="009770BE">
        <w:t xml:space="preserve"> determined </w:t>
      </w:r>
      <w:r w:rsidR="002A0B93">
        <w:t>through 1,000 Optuna fine-tuning trials</w:t>
      </w:r>
      <w:r w:rsidR="008041CB">
        <w:t>, with weights ranging from 0 to 1</w:t>
      </w:r>
      <w:r w:rsidR="00E119BD">
        <w:t>. The</w:t>
      </w:r>
      <w:r w:rsidR="00125450">
        <w:t xml:space="preserve"> weightings used in the voting ensemble that had the </w:t>
      </w:r>
      <w:r w:rsidR="009410F8">
        <w:t>lowest MSE on the train dataset were chosen as the optimal hyperparameters.</w:t>
      </w:r>
      <w:r w:rsidR="00125450">
        <w:t xml:space="preserve"> </w:t>
      </w:r>
      <w:r w:rsidR="00DE009A">
        <w:t xml:space="preserve">No validation set was used because the voting ensemble was not ‘trained’, it was simply given different sets of weights to use to combine the various base estimators. Thus, the ‘training data’ </w:t>
      </w:r>
      <w:r w:rsidR="00B42FCE">
        <w:t>served the same function as ‘out of sample validation data’.</w:t>
      </w:r>
    </w:p>
    <w:p w14:paraId="37F6B06F" w14:textId="77777777" w:rsidR="00122895" w:rsidRDefault="00122895" w:rsidP="00122895"/>
    <w:p w14:paraId="03CA4246" w14:textId="6AEDBF6F" w:rsidR="00B116AA" w:rsidRDefault="00B42FCE" w:rsidP="00BE21E2">
      <w:pPr>
        <w:pStyle w:val="Heading4"/>
        <w:jc w:val="both"/>
      </w:pPr>
      <w:r>
        <w:t>4.4212 Stacking Ensemble</w:t>
      </w:r>
    </w:p>
    <w:p w14:paraId="21FC8842" w14:textId="47DD1B87" w:rsidR="00B116AA" w:rsidRDefault="00542E24" w:rsidP="00F97625">
      <w:pPr>
        <w:jc w:val="both"/>
      </w:pPr>
      <w:r>
        <w:t>The stacking ensemble method use</w:t>
      </w:r>
      <w:r w:rsidR="001E0BD2">
        <w:t>d</w:t>
      </w:r>
      <w:r>
        <w:t xml:space="preserve"> a meta-learner that </w:t>
      </w:r>
      <w:r w:rsidR="001E0BD2">
        <w:t>took</w:t>
      </w:r>
      <w:r>
        <w:t xml:space="preserve"> predictions from the 300 base estimators as </w:t>
      </w:r>
      <w:r w:rsidR="001E0BD2">
        <w:t>input and</w:t>
      </w:r>
      <w:r>
        <w:t xml:space="preserve"> learn</w:t>
      </w:r>
      <w:r w:rsidR="001E0BD2">
        <w:t>ed</w:t>
      </w:r>
      <w:r>
        <w:t xml:space="preserve"> how to combine them to produce the lowest predictive error. </w:t>
      </w:r>
      <w:r w:rsidR="001E0BD2">
        <w:t xml:space="preserve">Given that stacking ensemble models had internal parameters to tune, rather than simply hyperparameters like in the case of the voting ensemble, the training dataset had to be split into train and validation sets. This allowed the stacking ensemble models to fit their internal parameters on the train </w:t>
      </w:r>
      <w:r w:rsidR="00E14EEB">
        <w:t>set and</w:t>
      </w:r>
      <w:r w:rsidR="001E0BD2">
        <w:t xml:space="preserve"> fine-tune their hyperparameters on the validation set</w:t>
      </w:r>
      <w:r w:rsidR="00E14EEB">
        <w:t xml:space="preserve"> over 1,000 Optuna trials</w:t>
      </w:r>
      <w:r w:rsidR="001E0BD2">
        <w:t xml:space="preserve">. </w:t>
      </w:r>
      <w:r w:rsidR="00E14EEB">
        <w:t>The ensemble training data was sp</w:t>
      </w:r>
      <w:r w:rsidR="009D7E1A">
        <w:t>l</w:t>
      </w:r>
      <w:r w:rsidR="00E14EEB">
        <w:t>it into train</w:t>
      </w:r>
      <w:r w:rsidR="009D7E1A">
        <w:t>/</w:t>
      </w:r>
      <w:r w:rsidR="00E14EEB">
        <w:t xml:space="preserve">validation sets </w:t>
      </w:r>
      <w:r w:rsidR="009D7E1A">
        <w:t xml:space="preserve">in an 80:20 ratio </w:t>
      </w:r>
      <w:r w:rsidR="00E14EEB">
        <w:t xml:space="preserve">using Scikit Learn’s </w:t>
      </w:r>
      <w:r w:rsidR="009D7E1A">
        <w:t>‘train_test_split’ method [21].</w:t>
      </w:r>
      <w:r w:rsidR="00F97625">
        <w:t xml:space="preserve"> The set of hyperparameter</w:t>
      </w:r>
      <w:r w:rsidR="00DB7C9A">
        <w:t xml:space="preserve"> value</w:t>
      </w:r>
      <w:r w:rsidR="00F97625">
        <w:t xml:space="preserve">s that produced the lowest MSE on the validation </w:t>
      </w:r>
      <w:r w:rsidR="00DB7C9A">
        <w:t>set</w:t>
      </w:r>
      <w:r w:rsidR="00F97625">
        <w:t xml:space="preserve"> were used in the final, fine-tuned ensemble models. </w:t>
      </w:r>
    </w:p>
    <w:p w14:paraId="33ABA162" w14:textId="77777777" w:rsidR="00117CEE" w:rsidRDefault="00117CEE" w:rsidP="00117CEE">
      <w:pPr>
        <w:jc w:val="both"/>
      </w:pPr>
    </w:p>
    <w:p w14:paraId="7DE8114E" w14:textId="2E4916C2" w:rsidR="00781321" w:rsidRDefault="008D1781" w:rsidP="009F6E5F">
      <w:pPr>
        <w:jc w:val="both"/>
      </w:pPr>
      <w:r>
        <w:t xml:space="preserve">I </w:t>
      </w:r>
      <w:r w:rsidR="00ED54BF">
        <w:t>created three versions of the stacking ensemble to compare</w:t>
      </w:r>
      <w:r>
        <w:t xml:space="preserve"> the performance of using </w:t>
      </w:r>
      <w:r w:rsidR="006A6FB6">
        <w:t xml:space="preserve">the Elastic Net linear regression model, Random Forest regressor, and </w:t>
      </w:r>
      <w:r w:rsidR="00A3067C">
        <w:t xml:space="preserve">Support Vector Regressor as the stacking meta-learners. All models were used with the Scikit Learn’s implementation [22, 16, </w:t>
      </w:r>
      <w:r w:rsidR="00247BFC">
        <w:t>23</w:t>
      </w:r>
      <w:r w:rsidR="00A3067C">
        <w:t>]</w:t>
      </w:r>
      <w:r w:rsidR="00556EA7">
        <w:t xml:space="preserve">. </w:t>
      </w:r>
      <w:r w:rsidR="007623D3">
        <w:t>Elastic Net was used as a progression of the voting ensemble model, where the combination of L1 and L2 regression can both perform feature selection and reduce the possibility of overfitting, as described in the background [</w:t>
      </w:r>
      <w:r w:rsidR="00AA6A6E">
        <w:t>24</w:t>
      </w:r>
      <w:r w:rsidR="007623D3">
        <w:t>]. Additionally, as</w:t>
      </w:r>
      <w:r w:rsidR="00556EA7">
        <w:t xml:space="preserve"> described in the literature review, </w:t>
      </w:r>
      <w:r w:rsidR="00F81D07">
        <w:t xml:space="preserve">decision-tree based stacking ensembles outperform base estimators solely based on bagging and boosting, thus motivating </w:t>
      </w:r>
      <w:r w:rsidR="00013B21">
        <w:t>use of the Random Forest regressor as a meta-learner [</w:t>
      </w:r>
      <w:r w:rsidR="00781321">
        <w:t>26</w:t>
      </w:r>
      <w:r w:rsidR="00013B21">
        <w:t xml:space="preserve">]. </w:t>
      </w:r>
      <w:r w:rsidR="005550D6">
        <w:t xml:space="preserve">Support vector regression was used as a meta-learner because </w:t>
      </w:r>
      <w:r w:rsidR="008C5B53">
        <w:t xml:space="preserve">its approach of </w:t>
      </w:r>
      <w:r w:rsidR="00C64BF7">
        <w:t xml:space="preserve">only using datapoints outside its error tolerance margin could have interesting effects on how it uses </w:t>
      </w:r>
      <w:r w:rsidR="00587753">
        <w:t>the predictions from different base learners</w:t>
      </w:r>
      <w:r w:rsidR="00AA6A6E">
        <w:t xml:space="preserve"> [25]</w:t>
      </w:r>
      <w:r w:rsidR="00587753">
        <w:t xml:space="preserve">. </w:t>
      </w:r>
    </w:p>
    <w:p w14:paraId="187F33BB" w14:textId="77777777" w:rsidR="009F6E5F" w:rsidRDefault="009F6E5F" w:rsidP="009F6E5F">
      <w:pPr>
        <w:jc w:val="both"/>
      </w:pPr>
    </w:p>
    <w:p w14:paraId="7CE00D04" w14:textId="3F7B3859" w:rsidR="00731A80" w:rsidRDefault="00731A80" w:rsidP="00731A80">
      <w:pPr>
        <w:jc w:val="center"/>
      </w:pPr>
      <w:r w:rsidRPr="007148D2">
        <w:rPr>
          <w:b/>
          <w:bCs/>
        </w:rPr>
        <w:t xml:space="preserve">Table </w:t>
      </w:r>
      <w:r>
        <w:rPr>
          <w:b/>
          <w:bCs/>
        </w:rPr>
        <w:t>10</w:t>
      </w:r>
      <w:r w:rsidRPr="007148D2">
        <w:rPr>
          <w:b/>
          <w:bCs/>
        </w:rPr>
        <w:t>:</w:t>
      </w:r>
      <w:r>
        <w:t xml:space="preserve"> Hyperparameter Tuning for </w:t>
      </w:r>
      <w:r w:rsidR="008041CB">
        <w:t xml:space="preserve">Stacking </w:t>
      </w:r>
      <w:r>
        <w:t>Ensemble Models</w:t>
      </w:r>
    </w:p>
    <w:tbl>
      <w:tblPr>
        <w:tblStyle w:val="TableGrid"/>
        <w:tblW w:w="0" w:type="auto"/>
        <w:tblLook w:val="04A0" w:firstRow="1" w:lastRow="0" w:firstColumn="1" w:lastColumn="0" w:noHBand="0" w:noVBand="1"/>
      </w:tblPr>
      <w:tblGrid>
        <w:gridCol w:w="1938"/>
        <w:gridCol w:w="1949"/>
        <w:gridCol w:w="3338"/>
        <w:gridCol w:w="1791"/>
      </w:tblGrid>
      <w:tr w:rsidR="00BE21E2" w14:paraId="49466DA6" w14:textId="77777777" w:rsidTr="00BE21E2">
        <w:tc>
          <w:tcPr>
            <w:tcW w:w="1938" w:type="dxa"/>
          </w:tcPr>
          <w:p w14:paraId="196A03E0" w14:textId="375C7766" w:rsidR="00731A80" w:rsidRPr="00A3792E" w:rsidRDefault="00731A80" w:rsidP="00A303B4">
            <w:pPr>
              <w:jc w:val="center"/>
              <w:rPr>
                <w:b/>
                <w:bCs/>
              </w:rPr>
            </w:pPr>
            <w:r>
              <w:rPr>
                <w:b/>
                <w:bCs/>
              </w:rPr>
              <w:lastRenderedPageBreak/>
              <w:t xml:space="preserve">Ensemble </w:t>
            </w:r>
            <w:r w:rsidR="009808A1">
              <w:rPr>
                <w:b/>
                <w:bCs/>
              </w:rPr>
              <w:t>Model</w:t>
            </w:r>
          </w:p>
        </w:tc>
        <w:tc>
          <w:tcPr>
            <w:tcW w:w="1949" w:type="dxa"/>
          </w:tcPr>
          <w:p w14:paraId="3A603F06" w14:textId="4D56E3B2" w:rsidR="00731A80" w:rsidRPr="00A3792E" w:rsidRDefault="00731A80" w:rsidP="00A303B4">
            <w:pPr>
              <w:jc w:val="center"/>
              <w:rPr>
                <w:b/>
                <w:bCs/>
              </w:rPr>
            </w:pPr>
            <w:r w:rsidRPr="00A3792E">
              <w:rPr>
                <w:b/>
                <w:bCs/>
              </w:rPr>
              <w:t>Hyperparameter Name</w:t>
            </w:r>
            <w:r>
              <w:rPr>
                <w:b/>
                <w:bCs/>
              </w:rPr>
              <w:t xml:space="preserve"> </w:t>
            </w:r>
          </w:p>
        </w:tc>
        <w:tc>
          <w:tcPr>
            <w:tcW w:w="3338" w:type="dxa"/>
          </w:tcPr>
          <w:p w14:paraId="195EAAAA" w14:textId="77777777" w:rsidR="00731A80" w:rsidRPr="00A3792E" w:rsidRDefault="00731A80" w:rsidP="00A303B4">
            <w:pPr>
              <w:jc w:val="center"/>
              <w:rPr>
                <w:b/>
                <w:bCs/>
              </w:rPr>
            </w:pPr>
            <w:r>
              <w:rPr>
                <w:b/>
                <w:bCs/>
              </w:rPr>
              <w:t>Hyperparameter Function</w:t>
            </w:r>
          </w:p>
        </w:tc>
        <w:tc>
          <w:tcPr>
            <w:tcW w:w="1791" w:type="dxa"/>
          </w:tcPr>
          <w:p w14:paraId="5FC5FB4C" w14:textId="77777777" w:rsidR="00731A80" w:rsidRPr="00A3792E" w:rsidRDefault="00731A80" w:rsidP="00A303B4">
            <w:pPr>
              <w:jc w:val="center"/>
              <w:rPr>
                <w:b/>
                <w:bCs/>
              </w:rPr>
            </w:pPr>
            <w:r w:rsidRPr="00A3792E">
              <w:rPr>
                <w:b/>
                <w:bCs/>
              </w:rPr>
              <w:t>Range of Potential Values</w:t>
            </w:r>
          </w:p>
        </w:tc>
      </w:tr>
      <w:tr w:rsidR="002B5DA3" w14:paraId="159F5D84" w14:textId="77777777" w:rsidTr="00BE21E2">
        <w:tc>
          <w:tcPr>
            <w:tcW w:w="1938" w:type="dxa"/>
            <w:vMerge w:val="restart"/>
          </w:tcPr>
          <w:p w14:paraId="6801326C" w14:textId="77777777" w:rsidR="002B5DA3" w:rsidRDefault="002B5DA3" w:rsidP="008041CB"/>
          <w:p w14:paraId="5E80D79C" w14:textId="77777777" w:rsidR="00B401FA" w:rsidRDefault="00B401FA" w:rsidP="008041CB"/>
          <w:p w14:paraId="2F49575F" w14:textId="5F5F1A4D" w:rsidR="002B5DA3" w:rsidRDefault="002B5DA3" w:rsidP="00A303B4">
            <w:pPr>
              <w:jc w:val="center"/>
            </w:pPr>
            <w:r>
              <w:t>Elastic Net Stacking Ensemble</w:t>
            </w:r>
          </w:p>
        </w:tc>
        <w:tc>
          <w:tcPr>
            <w:tcW w:w="1949" w:type="dxa"/>
          </w:tcPr>
          <w:p w14:paraId="2EC64C7A" w14:textId="65597C50" w:rsidR="002B5DA3" w:rsidRDefault="002B5DA3" w:rsidP="001C4AF5">
            <w:pPr>
              <w:jc w:val="center"/>
            </w:pPr>
            <w:r>
              <w:t>Alpha</w:t>
            </w:r>
          </w:p>
          <w:p w14:paraId="5AC0FDF9" w14:textId="27F2F5A4" w:rsidR="002B5DA3" w:rsidRDefault="002B5DA3" w:rsidP="00A303B4">
            <w:pPr>
              <w:jc w:val="center"/>
            </w:pPr>
          </w:p>
        </w:tc>
        <w:tc>
          <w:tcPr>
            <w:tcW w:w="3338" w:type="dxa"/>
          </w:tcPr>
          <w:p w14:paraId="38DC11F3" w14:textId="703648BF" w:rsidR="002B5DA3" w:rsidRDefault="002B5DA3" w:rsidP="00A303B4">
            <w:pPr>
              <w:jc w:val="center"/>
            </w:pPr>
            <w:r>
              <w:t>Specifies the overall extent of regularisation.</w:t>
            </w:r>
          </w:p>
        </w:tc>
        <w:tc>
          <w:tcPr>
            <w:tcW w:w="1791" w:type="dxa"/>
          </w:tcPr>
          <w:p w14:paraId="6DA95E9B" w14:textId="38F61F75" w:rsidR="002B5DA3" w:rsidRDefault="002B5DA3" w:rsidP="00A303B4">
            <w:pPr>
              <w:jc w:val="center"/>
            </w:pPr>
            <w:r>
              <w:t>0.1 to 1</w:t>
            </w:r>
          </w:p>
        </w:tc>
      </w:tr>
      <w:tr w:rsidR="002B5DA3" w14:paraId="7B517816" w14:textId="77777777" w:rsidTr="00BE21E2">
        <w:tc>
          <w:tcPr>
            <w:tcW w:w="1938" w:type="dxa"/>
            <w:vMerge/>
          </w:tcPr>
          <w:p w14:paraId="7BA480A9" w14:textId="77777777" w:rsidR="002B5DA3" w:rsidRDefault="002B5DA3" w:rsidP="00A303B4">
            <w:pPr>
              <w:jc w:val="center"/>
            </w:pPr>
          </w:p>
        </w:tc>
        <w:tc>
          <w:tcPr>
            <w:tcW w:w="1949" w:type="dxa"/>
          </w:tcPr>
          <w:p w14:paraId="1DD35883" w14:textId="2BD1AAED" w:rsidR="002B5DA3" w:rsidRDefault="002B5DA3" w:rsidP="00A303B4">
            <w:pPr>
              <w:jc w:val="center"/>
            </w:pPr>
            <w:r>
              <w:t>L1_ratio</w:t>
            </w:r>
          </w:p>
        </w:tc>
        <w:tc>
          <w:tcPr>
            <w:tcW w:w="3338" w:type="dxa"/>
          </w:tcPr>
          <w:p w14:paraId="4FF75EF9" w14:textId="486E92A8" w:rsidR="002B5DA3" w:rsidRDefault="002B5DA3" w:rsidP="00A303B4">
            <w:pPr>
              <w:jc w:val="center"/>
            </w:pPr>
            <w:r>
              <w:t xml:space="preserve">Controls the weighting of the L1 norm versus the L2 norm. High value </w:t>
            </w:r>
            <w:r w:rsidR="00846510">
              <w:t>makes the regularisation term closer to the L1 norm.</w:t>
            </w:r>
          </w:p>
        </w:tc>
        <w:tc>
          <w:tcPr>
            <w:tcW w:w="1791" w:type="dxa"/>
          </w:tcPr>
          <w:p w14:paraId="600357F0" w14:textId="77777777" w:rsidR="002B5DA3" w:rsidRDefault="002B5DA3" w:rsidP="00A303B4">
            <w:pPr>
              <w:jc w:val="center"/>
            </w:pPr>
            <w:r>
              <w:t>0 to 1</w:t>
            </w:r>
          </w:p>
        </w:tc>
      </w:tr>
      <w:tr w:rsidR="00846510" w14:paraId="56150D95" w14:textId="77777777" w:rsidTr="00BE21E2">
        <w:tc>
          <w:tcPr>
            <w:tcW w:w="1938" w:type="dxa"/>
          </w:tcPr>
          <w:p w14:paraId="5208EE77" w14:textId="4AF6BF78" w:rsidR="00846510" w:rsidRDefault="00846510" w:rsidP="00A303B4">
            <w:pPr>
              <w:jc w:val="center"/>
            </w:pPr>
            <w:r>
              <w:t>Random Forest Stacking Ensemble</w:t>
            </w:r>
          </w:p>
        </w:tc>
        <w:tc>
          <w:tcPr>
            <w:tcW w:w="7078" w:type="dxa"/>
            <w:gridSpan w:val="3"/>
          </w:tcPr>
          <w:p w14:paraId="4BF02054" w14:textId="19B62A3C" w:rsidR="00846510" w:rsidRDefault="00846510" w:rsidP="00B401FA">
            <w:pPr>
              <w:jc w:val="center"/>
            </w:pPr>
            <w:r>
              <w:t>Same parameters are described in Table 7.</w:t>
            </w:r>
          </w:p>
        </w:tc>
      </w:tr>
      <w:tr w:rsidR="00C51347" w14:paraId="2CBC30D7" w14:textId="77777777" w:rsidTr="00BE21E2">
        <w:tc>
          <w:tcPr>
            <w:tcW w:w="1938" w:type="dxa"/>
            <w:vMerge w:val="restart"/>
          </w:tcPr>
          <w:p w14:paraId="38F25FB1" w14:textId="77777777" w:rsidR="00BE21E2" w:rsidRDefault="00BE21E2" w:rsidP="00B45BEB">
            <w:pPr>
              <w:jc w:val="center"/>
            </w:pPr>
          </w:p>
          <w:p w14:paraId="587CE8D6" w14:textId="77777777" w:rsidR="00BE21E2" w:rsidRDefault="00BE21E2" w:rsidP="00B45BEB">
            <w:pPr>
              <w:jc w:val="center"/>
            </w:pPr>
          </w:p>
          <w:p w14:paraId="33B89BA0" w14:textId="454DE5FD" w:rsidR="00C51347" w:rsidRDefault="00C51347" w:rsidP="00B45BEB">
            <w:pPr>
              <w:jc w:val="center"/>
            </w:pPr>
            <w:r>
              <w:t>Support Vector Machine Stacking Ensemble</w:t>
            </w:r>
          </w:p>
        </w:tc>
        <w:tc>
          <w:tcPr>
            <w:tcW w:w="1949" w:type="dxa"/>
          </w:tcPr>
          <w:p w14:paraId="00B6E985" w14:textId="4071D6A1" w:rsidR="00C51347" w:rsidRDefault="00C51347" w:rsidP="00A303B4">
            <w:pPr>
              <w:jc w:val="center"/>
            </w:pPr>
            <w:r>
              <w:t>kernel</w:t>
            </w:r>
          </w:p>
        </w:tc>
        <w:tc>
          <w:tcPr>
            <w:tcW w:w="3338" w:type="dxa"/>
          </w:tcPr>
          <w:p w14:paraId="0429455F" w14:textId="606CBECF" w:rsidR="00C51347" w:rsidRDefault="00B45BEB" w:rsidP="00BE21E2">
            <w:pPr>
              <w:jc w:val="center"/>
            </w:pPr>
            <w:r>
              <w:t xml:space="preserve">Type of kernel used </w:t>
            </w:r>
            <w:r w:rsidR="00B401FA">
              <w:t xml:space="preserve">to </w:t>
            </w:r>
            <w:r w:rsidR="00125E3F">
              <w:t xml:space="preserve">transform input into a non-linear space. If ‘poly’, </w:t>
            </w:r>
            <w:r w:rsidR="004C084E">
              <w:t>degrees tested were 2-5.</w:t>
            </w:r>
          </w:p>
        </w:tc>
        <w:tc>
          <w:tcPr>
            <w:tcW w:w="1791" w:type="dxa"/>
          </w:tcPr>
          <w:p w14:paraId="3E570DE0" w14:textId="7338ADB4" w:rsidR="00C51347" w:rsidRDefault="00C51347" w:rsidP="00A303B4">
            <w:pPr>
              <w:jc w:val="center"/>
            </w:pPr>
            <w:r>
              <w:t xml:space="preserve">‘poly’ </w:t>
            </w:r>
            <w:r w:rsidR="004C084E">
              <w:t xml:space="preserve">(polynomial) </w:t>
            </w:r>
            <w:r>
              <w:t>or ‘</w:t>
            </w:r>
            <w:proofErr w:type="spellStart"/>
            <w:r>
              <w:t>rbf</w:t>
            </w:r>
            <w:proofErr w:type="spellEnd"/>
            <w:r>
              <w:t>’</w:t>
            </w:r>
            <w:r w:rsidR="00E71FFF">
              <w:t xml:space="preserve"> (radial basis function)</w:t>
            </w:r>
          </w:p>
        </w:tc>
      </w:tr>
      <w:tr w:rsidR="00C51347" w14:paraId="4163EA61" w14:textId="77777777" w:rsidTr="00BE21E2">
        <w:tc>
          <w:tcPr>
            <w:tcW w:w="1938" w:type="dxa"/>
            <w:vMerge/>
          </w:tcPr>
          <w:p w14:paraId="5817B37E" w14:textId="77777777" w:rsidR="00C51347" w:rsidRDefault="00C51347" w:rsidP="00A303B4">
            <w:pPr>
              <w:jc w:val="center"/>
            </w:pPr>
          </w:p>
        </w:tc>
        <w:tc>
          <w:tcPr>
            <w:tcW w:w="1949" w:type="dxa"/>
          </w:tcPr>
          <w:p w14:paraId="4AAA7DE6" w14:textId="02C15612" w:rsidR="00C51347" w:rsidRDefault="00C51347" w:rsidP="00A303B4">
            <w:pPr>
              <w:jc w:val="center"/>
            </w:pPr>
            <w:r>
              <w:t>C</w:t>
            </w:r>
          </w:p>
        </w:tc>
        <w:tc>
          <w:tcPr>
            <w:tcW w:w="3338" w:type="dxa"/>
          </w:tcPr>
          <w:p w14:paraId="09ACB993" w14:textId="08A11973" w:rsidR="00C51347" w:rsidRDefault="00C51347" w:rsidP="00A303B4">
            <w:pPr>
              <w:jc w:val="center"/>
            </w:pPr>
            <w:r>
              <w:t xml:space="preserve"> </w:t>
            </w:r>
            <w:r w:rsidR="00B45BEB">
              <w:t>Strength of regularisation term</w:t>
            </w:r>
          </w:p>
        </w:tc>
        <w:tc>
          <w:tcPr>
            <w:tcW w:w="1791" w:type="dxa"/>
          </w:tcPr>
          <w:p w14:paraId="4257E7C9" w14:textId="79D03DAD" w:rsidR="00C51347" w:rsidRDefault="00B45BEB" w:rsidP="00A303B4">
            <w:pPr>
              <w:jc w:val="center"/>
            </w:pPr>
            <w:r>
              <w:t>0.1 to 1</w:t>
            </w:r>
          </w:p>
        </w:tc>
      </w:tr>
      <w:tr w:rsidR="00C51347" w14:paraId="7DB80A68" w14:textId="77777777" w:rsidTr="00BE21E2">
        <w:tc>
          <w:tcPr>
            <w:tcW w:w="1938" w:type="dxa"/>
            <w:vMerge/>
          </w:tcPr>
          <w:p w14:paraId="00256FEF" w14:textId="77777777" w:rsidR="00C51347" w:rsidRDefault="00C51347" w:rsidP="00A303B4">
            <w:pPr>
              <w:jc w:val="center"/>
            </w:pPr>
          </w:p>
        </w:tc>
        <w:tc>
          <w:tcPr>
            <w:tcW w:w="1949" w:type="dxa"/>
          </w:tcPr>
          <w:p w14:paraId="31235558" w14:textId="0FAF13DA" w:rsidR="00C51347" w:rsidRDefault="00C51347" w:rsidP="00A303B4">
            <w:pPr>
              <w:jc w:val="center"/>
            </w:pPr>
            <w:r>
              <w:t>epsilon</w:t>
            </w:r>
          </w:p>
        </w:tc>
        <w:tc>
          <w:tcPr>
            <w:tcW w:w="3338" w:type="dxa"/>
          </w:tcPr>
          <w:p w14:paraId="338DDD19" w14:textId="4B964ED3" w:rsidR="00C51347" w:rsidRDefault="00EC7C59" w:rsidP="00A303B4">
            <w:pPr>
              <w:jc w:val="center"/>
            </w:pPr>
            <w:r>
              <w:t xml:space="preserve">Error tolerance, used to determine support vectors and decide which support vectors to include in loss. </w:t>
            </w:r>
          </w:p>
        </w:tc>
        <w:tc>
          <w:tcPr>
            <w:tcW w:w="1791" w:type="dxa"/>
          </w:tcPr>
          <w:p w14:paraId="6467D089" w14:textId="1D3C58A6" w:rsidR="00C51347" w:rsidRDefault="00C51347" w:rsidP="00A303B4">
            <w:pPr>
              <w:jc w:val="center"/>
            </w:pPr>
            <w:r>
              <w:t>0</w:t>
            </w:r>
            <w:r w:rsidR="00B45BEB">
              <w:t>.05</w:t>
            </w:r>
            <w:r>
              <w:t xml:space="preserve"> to 1</w:t>
            </w:r>
          </w:p>
        </w:tc>
      </w:tr>
    </w:tbl>
    <w:p w14:paraId="06E59AA2" w14:textId="77777777" w:rsidR="004E61EF" w:rsidRDefault="004E61EF" w:rsidP="00926A55"/>
    <w:p w14:paraId="7CEC0FC8" w14:textId="097ED344" w:rsidR="00716503" w:rsidRDefault="00716503" w:rsidP="00304766">
      <w:pPr>
        <w:pStyle w:val="Heading4"/>
        <w:jc w:val="both"/>
      </w:pPr>
      <w:r>
        <w:t>4.422 Evaluating the Ensemble Models</w:t>
      </w:r>
    </w:p>
    <w:p w14:paraId="6E745A2A" w14:textId="17D5B8D4" w:rsidR="00477899" w:rsidRDefault="009E7F5E" w:rsidP="00FE14C5">
      <w:pPr>
        <w:jc w:val="both"/>
      </w:pPr>
      <w:r>
        <w:t>A test set was generated to be able to</w:t>
      </w:r>
      <w:r w:rsidR="00F77D14">
        <w:t xml:space="preserve"> compare the ensemble models</w:t>
      </w:r>
      <w:r w:rsidR="00F3780D">
        <w:t>’</w:t>
      </w:r>
      <w:r w:rsidR="00F77D14">
        <w:t xml:space="preserve"> predictive performance on out-of-sample data</w:t>
      </w:r>
      <w:r w:rsidR="00477899">
        <w:t>.</w:t>
      </w:r>
      <w:r w:rsidR="00736F3E">
        <w:t xml:space="preserve"> </w:t>
      </w:r>
      <w:r w:rsidR="00477899">
        <w:t>The</w:t>
      </w:r>
      <w:r w:rsidR="00E73A7C">
        <w:t xml:space="preserve"> ensembles’</w:t>
      </w:r>
      <w:r w:rsidR="00477899">
        <w:t xml:space="preserve"> input test data </w:t>
      </w:r>
      <w:r w:rsidR="00FE14C5">
        <w:t>consisted of</w:t>
      </w:r>
      <w:r w:rsidR="00477899">
        <w:t xml:space="preserve"> the base estimators</w:t>
      </w:r>
      <w:r w:rsidR="00FE14C5">
        <w:t xml:space="preserve">’ predictions on their test sets. The ensemble models </w:t>
      </w:r>
      <w:r w:rsidR="00E73A7C">
        <w:t xml:space="preserve">then </w:t>
      </w:r>
      <w:r w:rsidR="00FE14C5">
        <w:t xml:space="preserve">used these predictions to estimate MMR values, which were compared to the test ground truth. </w:t>
      </w:r>
      <w:r w:rsidR="00F46F82">
        <w:t>The ensemble models’ predictive performance on this test</w:t>
      </w:r>
      <w:r w:rsidR="002B1FA7">
        <w:t xml:space="preserve"> set</w:t>
      </w:r>
      <w:r w:rsidR="00F46F82">
        <w:t xml:space="preserve"> was used to </w:t>
      </w:r>
      <w:r w:rsidR="00D9764B">
        <w:t>assess the</w:t>
      </w:r>
      <w:r w:rsidR="002B1FA7">
        <w:t>ir</w:t>
      </w:r>
      <w:r w:rsidR="00D9764B">
        <w:t xml:space="preserve"> generalisability and determine the best ensemble model.</w:t>
      </w:r>
    </w:p>
    <w:p w14:paraId="4392E767" w14:textId="77777777" w:rsidR="00716503" w:rsidRPr="00716503" w:rsidRDefault="00716503" w:rsidP="00716503"/>
    <w:p w14:paraId="13675F4A" w14:textId="62271997" w:rsidR="006C47D9" w:rsidRDefault="006C47D9" w:rsidP="00304766">
      <w:pPr>
        <w:pStyle w:val="Heading4"/>
        <w:jc w:val="both"/>
      </w:pPr>
      <w:r>
        <w:t>4.</w:t>
      </w:r>
      <w:r w:rsidR="00304766">
        <w:t>42</w:t>
      </w:r>
      <w:r w:rsidR="00716503">
        <w:t>3</w:t>
      </w:r>
      <w:r>
        <w:t xml:space="preserve"> </w:t>
      </w:r>
      <w:r w:rsidR="00820C27">
        <w:t xml:space="preserve">Using the Best Performing Ensemble to Test Different Combinations of Base </w:t>
      </w:r>
      <w:r w:rsidR="007470BB">
        <w:t>Estimators</w:t>
      </w:r>
    </w:p>
    <w:p w14:paraId="519434A5" w14:textId="466C4C86" w:rsidR="00263CF2" w:rsidRDefault="007470BB" w:rsidP="007470BB">
      <w:pPr>
        <w:jc w:val="both"/>
      </w:pPr>
      <w:r>
        <w:t xml:space="preserve">After establishing the best performing type of ensemble model, I tested whether I could improve the ensemble’s predictive performance by using different combinations of base estimators. More specifically, I determined </w:t>
      </w:r>
      <w:r w:rsidR="00263CF2">
        <w:t>which of the following combination of base estimators produced the highest predictive performance</w:t>
      </w:r>
      <w:r w:rsidR="00921B0A">
        <w:t xml:space="preserve"> when combined by the previously established best performing ensemble</w:t>
      </w:r>
      <w:r w:rsidR="00263CF2">
        <w:t>:</w:t>
      </w:r>
    </w:p>
    <w:p w14:paraId="55E10D1F" w14:textId="77777777" w:rsidR="009D39B0" w:rsidRDefault="009D39B0" w:rsidP="007470BB">
      <w:pPr>
        <w:jc w:val="both"/>
      </w:pPr>
    </w:p>
    <w:p w14:paraId="100B0FBC" w14:textId="3161598E" w:rsidR="006C47D9" w:rsidRDefault="009D39B0" w:rsidP="00263CF2">
      <w:pPr>
        <w:pStyle w:val="ListParagraph"/>
        <w:numPr>
          <w:ilvl w:val="0"/>
          <w:numId w:val="6"/>
        </w:numPr>
        <w:jc w:val="both"/>
      </w:pPr>
      <w:r>
        <w:t>300 base estimators consisting of XGBoost, LightGBM, and Random Forest regressors.</w:t>
      </w:r>
    </w:p>
    <w:p w14:paraId="10E3986A" w14:textId="205610A0" w:rsidR="009D39B0" w:rsidRDefault="009D39B0" w:rsidP="00263CF2">
      <w:pPr>
        <w:pStyle w:val="ListParagraph"/>
        <w:numPr>
          <w:ilvl w:val="0"/>
          <w:numId w:val="6"/>
        </w:numPr>
        <w:jc w:val="both"/>
      </w:pPr>
      <w:r>
        <w:t>100 base estimators consisting of just XGBoost regressors.</w:t>
      </w:r>
    </w:p>
    <w:p w14:paraId="0CFB28FA" w14:textId="380CF7FF" w:rsidR="009D39B0" w:rsidRDefault="009D39B0" w:rsidP="009D39B0">
      <w:pPr>
        <w:pStyle w:val="ListParagraph"/>
        <w:numPr>
          <w:ilvl w:val="0"/>
          <w:numId w:val="6"/>
        </w:numPr>
        <w:jc w:val="both"/>
      </w:pPr>
      <w:r>
        <w:t>100 base estimators consisting of just LightGBM regressors.</w:t>
      </w:r>
    </w:p>
    <w:p w14:paraId="628E6D12" w14:textId="30736747" w:rsidR="009D39B0" w:rsidRDefault="009D39B0" w:rsidP="009D39B0">
      <w:pPr>
        <w:pStyle w:val="ListParagraph"/>
        <w:numPr>
          <w:ilvl w:val="0"/>
          <w:numId w:val="6"/>
        </w:numPr>
        <w:jc w:val="both"/>
      </w:pPr>
      <w:r>
        <w:t>100 base estimators consisting of just Random Forest regressors.</w:t>
      </w:r>
    </w:p>
    <w:p w14:paraId="60DEC441" w14:textId="77777777" w:rsidR="009D39B0" w:rsidRDefault="009D39B0" w:rsidP="00263CF2">
      <w:pPr>
        <w:jc w:val="both"/>
      </w:pPr>
    </w:p>
    <w:p w14:paraId="48D4AFDF" w14:textId="4F7C389D" w:rsidR="009D39B0" w:rsidRDefault="009D39B0" w:rsidP="00263CF2">
      <w:pPr>
        <w:jc w:val="both"/>
      </w:pPr>
      <w:r>
        <w:t xml:space="preserve">The </w:t>
      </w:r>
      <w:r w:rsidR="00921B0A">
        <w:t xml:space="preserve">predictive </w:t>
      </w:r>
      <w:r>
        <w:t xml:space="preserve">performance </w:t>
      </w:r>
      <w:r w:rsidR="00921B0A">
        <w:t xml:space="preserve">of the different versions of the ensemble model </w:t>
      </w:r>
      <w:r w:rsidR="008D0E08">
        <w:t>was</w:t>
      </w:r>
      <w:r w:rsidR="00D03118">
        <w:t xml:space="preserve"> evaluated and compared using the same method as described in Section 4.422. </w:t>
      </w:r>
    </w:p>
    <w:p w14:paraId="1CDA682A" w14:textId="77777777" w:rsidR="009D39B0" w:rsidRDefault="009D39B0" w:rsidP="00263CF2">
      <w:pPr>
        <w:jc w:val="both"/>
      </w:pPr>
    </w:p>
    <w:p w14:paraId="4FD09E07" w14:textId="3940D38C" w:rsidR="00263CF2" w:rsidRDefault="00263CF2" w:rsidP="00263CF2">
      <w:pPr>
        <w:jc w:val="both"/>
      </w:pPr>
      <w:r>
        <w:t xml:space="preserve">This investigation was </w:t>
      </w:r>
      <w:r w:rsidR="004F77DA">
        <w:t>made</w:t>
      </w:r>
      <w:r>
        <w:t xml:space="preserve"> for </w:t>
      </w:r>
      <w:r w:rsidR="004F77DA">
        <w:t>both the</w:t>
      </w:r>
      <w:r>
        <w:t xml:space="preserve"> missing data and predictive performance analyses. </w:t>
      </w:r>
    </w:p>
    <w:p w14:paraId="39A1E134" w14:textId="77777777" w:rsidR="00820C27" w:rsidRDefault="00820C27" w:rsidP="00926A55"/>
    <w:p w14:paraId="7092F17A" w14:textId="1E2100DC" w:rsidR="008D0E08" w:rsidRDefault="008D0E08" w:rsidP="008D0E08">
      <w:pPr>
        <w:pStyle w:val="Heading4"/>
      </w:pPr>
      <w:r>
        <w:lastRenderedPageBreak/>
        <w:t xml:space="preserve">4.424 </w:t>
      </w:r>
      <w:r w:rsidR="00556B32">
        <w:t>Analysis of</w:t>
      </w:r>
      <w:r w:rsidR="00851D89">
        <w:t xml:space="preserve"> Base Estimator Importance</w:t>
      </w:r>
      <w:r>
        <w:t xml:space="preserve"> </w:t>
      </w:r>
    </w:p>
    <w:p w14:paraId="510771C3" w14:textId="77777777" w:rsidR="000745B7" w:rsidRDefault="00D1001F" w:rsidP="00A96C0C">
      <w:pPr>
        <w:jc w:val="both"/>
      </w:pPr>
      <w:r>
        <w:t xml:space="preserve">To better understand </w:t>
      </w:r>
      <w:r w:rsidR="008A6202">
        <w:t xml:space="preserve">the </w:t>
      </w:r>
      <w:r>
        <w:t xml:space="preserve">variation in the </w:t>
      </w:r>
      <w:r w:rsidR="00B35FA4">
        <w:t xml:space="preserve">ensemble models’ </w:t>
      </w:r>
      <w:r w:rsidR="008D0E08">
        <w:t>predicti</w:t>
      </w:r>
      <w:r w:rsidR="00851D89">
        <w:t>ve</w:t>
      </w:r>
      <w:r w:rsidR="008D0E08">
        <w:t xml:space="preserve"> performance</w:t>
      </w:r>
      <w:r w:rsidR="00851D89">
        <w:t xml:space="preserve">, </w:t>
      </w:r>
      <w:r w:rsidR="00946144">
        <w:t xml:space="preserve">I explored </w:t>
      </w:r>
      <w:r w:rsidR="00B35FA4">
        <w:t>how each ensemble valued the contribution of the various</w:t>
      </w:r>
      <w:r w:rsidR="00AB373F">
        <w:t xml:space="preserve"> base estimators</w:t>
      </w:r>
      <w:r w:rsidR="00B35FA4">
        <w:t xml:space="preserve">. </w:t>
      </w:r>
      <w:r w:rsidR="002104B3">
        <w:t>More specifically</w:t>
      </w:r>
      <w:r w:rsidR="00FA73DB">
        <w:t>, I investigated whether different ensemble models plac</w:t>
      </w:r>
      <w:r w:rsidR="00612B50">
        <w:t>ed</w:t>
      </w:r>
      <w:r w:rsidR="00FA73DB">
        <w:t xml:space="preserve"> </w:t>
      </w:r>
      <w:r w:rsidR="00F9787A">
        <w:t>the most importance</w:t>
      </w:r>
      <w:r w:rsidR="00FA73DB">
        <w:t xml:space="preserve"> on predictions </w:t>
      </w:r>
      <w:r w:rsidR="003C3775">
        <w:t>from the same set of base estimators</w:t>
      </w:r>
      <w:r w:rsidR="00F9787A">
        <w:t xml:space="preserve"> or if they placed the most importance on different base estimators.</w:t>
      </w:r>
      <w:r w:rsidR="00DF66E5">
        <w:t xml:space="preserve"> </w:t>
      </w:r>
    </w:p>
    <w:p w14:paraId="28487AE1" w14:textId="77777777" w:rsidR="000745B7" w:rsidRDefault="000745B7" w:rsidP="00A96C0C">
      <w:pPr>
        <w:jc w:val="both"/>
      </w:pPr>
    </w:p>
    <w:p w14:paraId="5015F83F" w14:textId="1F37CBB2" w:rsidR="00052869" w:rsidRPr="00052869" w:rsidRDefault="00A96C0C" w:rsidP="00E3117A">
      <w:pPr>
        <w:jc w:val="both"/>
      </w:pPr>
      <w:r>
        <w:t>Since</w:t>
      </w:r>
      <w:r w:rsidR="006E25E0">
        <w:t xml:space="preserve"> the base estimators’ predictions</w:t>
      </w:r>
      <w:r w:rsidR="009F2FBD">
        <w:t xml:space="preserve"> </w:t>
      </w:r>
      <w:r w:rsidR="006E25E0">
        <w:t>are the input to the ensemble</w:t>
      </w:r>
      <w:r>
        <w:t xml:space="preserve"> models</w:t>
      </w:r>
      <w:r w:rsidR="006E25E0">
        <w:t>, the different base estimators can be thought of as “features”. Thus,</w:t>
      </w:r>
      <w:r w:rsidR="009F2FBD">
        <w:t xml:space="preserve"> </w:t>
      </w:r>
      <w:r w:rsidR="006E25E0">
        <w:t>the</w:t>
      </w:r>
      <w:r w:rsidR="00DF66E5">
        <w:t xml:space="preserve"> importance </w:t>
      </w:r>
      <w:r w:rsidR="005E004E">
        <w:t xml:space="preserve">placed on each base estimator by the Random Forest ensemble </w:t>
      </w:r>
      <w:r w:rsidR="00DF66E5">
        <w:t xml:space="preserve">was quantified using the same </w:t>
      </w:r>
      <w:r w:rsidR="00B75606">
        <w:t xml:space="preserve">Scikit Learn </w:t>
      </w:r>
      <w:r w:rsidR="00DF66E5">
        <w:t xml:space="preserve">feature importance </w:t>
      </w:r>
      <w:r w:rsidR="00E9619B">
        <w:t>calculation described in Section 4.413</w:t>
      </w:r>
      <w:r w:rsidR="00B75606">
        <w:t xml:space="preserve"> [16]</w:t>
      </w:r>
      <w:r w:rsidR="00E9619B">
        <w:t xml:space="preserve">. </w:t>
      </w:r>
      <w:r w:rsidR="002819F0">
        <w:t>In contrast, the weighting of each b</w:t>
      </w:r>
      <w:r w:rsidR="00B75606">
        <w:t>ase estimator</w:t>
      </w:r>
      <w:r w:rsidR="002819F0">
        <w:t xml:space="preserve"> in the voting ensemble’s final prediction </w:t>
      </w:r>
      <w:r w:rsidR="003E7168">
        <w:t>was used as a proxy for model importance. Similarly,</w:t>
      </w:r>
      <w:r w:rsidR="00B75606">
        <w:t xml:space="preserve"> </w:t>
      </w:r>
      <w:r w:rsidR="00FE6504">
        <w:t xml:space="preserve">base estimator importance in the Elastic Net model was determined using </w:t>
      </w:r>
      <w:r w:rsidR="00FF0F57">
        <w:t>the coefficient attached to each base estimator’s predictions.</w:t>
      </w:r>
      <w:r w:rsidR="00FE6504">
        <w:t xml:space="preserve"> </w:t>
      </w:r>
    </w:p>
    <w:p w14:paraId="4464543E" w14:textId="77777777" w:rsidR="004B3641" w:rsidRDefault="004B3641" w:rsidP="002F766B"/>
    <w:p w14:paraId="512E6FDE" w14:textId="4B167747" w:rsidR="00D1126F" w:rsidRDefault="00D1126F" w:rsidP="00D1126F">
      <w:pPr>
        <w:pStyle w:val="Heading4"/>
      </w:pPr>
      <w:r>
        <w:t>4.425 Uncertainty</w:t>
      </w:r>
      <w:r w:rsidR="00507CBA">
        <w:t xml:space="preserve"> Analysis</w:t>
      </w:r>
    </w:p>
    <w:p w14:paraId="039E96E8" w14:textId="2F0847DC" w:rsidR="00EC5B8E" w:rsidRDefault="006A2674" w:rsidP="009E4B05">
      <w:pPr>
        <w:jc w:val="both"/>
      </w:pPr>
      <w:r>
        <w:t xml:space="preserve">I explored </w:t>
      </w:r>
      <w:r w:rsidR="00507CBA">
        <w:t xml:space="preserve">the variation in </w:t>
      </w:r>
      <w:r>
        <w:t>base estimators’ predictions for the same sample</w:t>
      </w:r>
      <w:r w:rsidR="00B666D4">
        <w:t xml:space="preserve"> to provide a measure of uncertainty in the </w:t>
      </w:r>
      <w:r w:rsidR="00F977A2">
        <w:t xml:space="preserve">predictions </w:t>
      </w:r>
      <w:r w:rsidR="006C62BD">
        <w:t>of</w:t>
      </w:r>
      <w:r w:rsidR="00F977A2">
        <w:t xml:space="preserve"> the </w:t>
      </w:r>
      <w:r w:rsidR="00B666D4">
        <w:t>best performing ensemble</w:t>
      </w:r>
      <w:r w:rsidR="00F977A2">
        <w:t>.</w:t>
      </w:r>
      <w:r w:rsidR="00F46CDE">
        <w:t xml:space="preserve"> More specifically, there were 300 base estimator predictions for each </w:t>
      </w:r>
      <w:r w:rsidR="00414ADD">
        <w:t xml:space="preserve">ground truth MMR estimate. I calculated the standard deviation </w:t>
      </w:r>
      <w:r w:rsidR="00EC5B8E">
        <w:t>among</w:t>
      </w:r>
      <w:r w:rsidR="00414ADD">
        <w:t xml:space="preserve"> </w:t>
      </w:r>
      <w:r w:rsidR="00EC5B8E">
        <w:t>the</w:t>
      </w:r>
      <w:r w:rsidR="00414ADD">
        <w:t xml:space="preserve"> 300 predictions</w:t>
      </w:r>
      <w:r w:rsidR="009C0811">
        <w:t xml:space="preserve"> for every datapoint in the test set</w:t>
      </w:r>
      <w:r w:rsidR="007C01F7">
        <w:t xml:space="preserve"> to explore the base estimators’ certainty in the true MMR prediction</w:t>
      </w:r>
      <w:r w:rsidR="009C0811">
        <w:t xml:space="preserve">. </w:t>
      </w:r>
      <w:r w:rsidR="00272349">
        <w:t xml:space="preserve">Lack of consensus among the base predictors would likely make the ensemble’s prediction less stable. </w:t>
      </w:r>
      <w:r w:rsidR="009E4B05">
        <w:t>As a result</w:t>
      </w:r>
      <w:r w:rsidR="00272349">
        <w:t xml:space="preserve">, </w:t>
      </w:r>
      <w:r w:rsidR="009E4B05">
        <w:t xml:space="preserve">this analysis provides an approximation for uncertainty in the ensemble’s predictions. </w:t>
      </w:r>
      <w:r w:rsidR="00EC5B8E">
        <w:t xml:space="preserve"> </w:t>
      </w:r>
    </w:p>
    <w:p w14:paraId="208324B5" w14:textId="77777777" w:rsidR="009E4B05" w:rsidRDefault="009E4B05" w:rsidP="009E4B05">
      <w:pPr>
        <w:jc w:val="both"/>
      </w:pPr>
    </w:p>
    <w:p w14:paraId="5091C41A" w14:textId="380D4D7E" w:rsidR="00FE4955" w:rsidRDefault="00F66ED8" w:rsidP="00A244D8">
      <w:pPr>
        <w:pStyle w:val="Heading2"/>
      </w:pPr>
      <w:r>
        <w:t>4.</w:t>
      </w:r>
      <w:r w:rsidR="00D1126F">
        <w:t>5</w:t>
      </w:r>
      <w:r>
        <w:t xml:space="preserve"> Sensitivity Analysis</w:t>
      </w:r>
    </w:p>
    <w:p w14:paraId="72E5BAA3" w14:textId="17209A2A" w:rsidR="00A244D8" w:rsidRDefault="000761C5" w:rsidP="00C46515">
      <w:pPr>
        <w:jc w:val="both"/>
      </w:pPr>
      <w:r>
        <w:t>I conducted a sensitivity analysis to gain a deeper understanding o</w:t>
      </w:r>
      <w:r w:rsidR="00C46515">
        <w:t>f</w:t>
      </w:r>
      <w:r w:rsidR="00AE1F91">
        <w:t xml:space="preserve"> how the input dataset affected the </w:t>
      </w:r>
      <w:r w:rsidR="00A57E81">
        <w:t xml:space="preserve">quality of the </w:t>
      </w:r>
      <w:r w:rsidR="00FA67DD">
        <w:t xml:space="preserve">best performing ensemble’s </w:t>
      </w:r>
      <w:r w:rsidR="00A57E81">
        <w:t xml:space="preserve">predictions. </w:t>
      </w:r>
      <w:r w:rsidR="00DE4CD6">
        <w:t xml:space="preserve">The sensitivity analysis was </w:t>
      </w:r>
      <w:r w:rsidR="00112256">
        <w:t>conducted</w:t>
      </w:r>
      <w:r w:rsidR="00DE4CD6">
        <w:t xml:space="preserve"> </w:t>
      </w:r>
      <w:r w:rsidR="00112256">
        <w:t>using</w:t>
      </w:r>
      <w:r w:rsidR="00785F2D">
        <w:t xml:space="preserve"> the same procedure for</w:t>
      </w:r>
      <w:r w:rsidR="00DE4CD6">
        <w:t xml:space="preserve"> the missing data analysis and predictive analysis models</w:t>
      </w:r>
      <w:r w:rsidR="00785F2D">
        <w:t>.</w:t>
      </w:r>
      <w:r w:rsidR="00112256">
        <w:t xml:space="preserve"> See Figure 9 for a summary for the sensitivity analysis procedure. </w:t>
      </w:r>
    </w:p>
    <w:p w14:paraId="63224D10" w14:textId="77777777" w:rsidR="00112256" w:rsidRDefault="00112256" w:rsidP="00C46515">
      <w:pPr>
        <w:jc w:val="both"/>
      </w:pPr>
    </w:p>
    <w:p w14:paraId="7107E082" w14:textId="3D3A3A2A" w:rsidR="00112256" w:rsidRDefault="00112256" w:rsidP="00112256">
      <w:pPr>
        <w:jc w:val="center"/>
      </w:pPr>
      <w:r w:rsidRPr="00112256">
        <w:rPr>
          <w:noProof/>
        </w:rPr>
        <w:drawing>
          <wp:inline distT="0" distB="0" distL="0" distR="0" wp14:anchorId="7DD6354C" wp14:editId="595E8388">
            <wp:extent cx="5155510" cy="1922035"/>
            <wp:effectExtent l="0" t="0" r="1270" b="0"/>
            <wp:docPr id="34859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2834" name=""/>
                    <pic:cNvPicPr/>
                  </pic:nvPicPr>
                  <pic:blipFill>
                    <a:blip r:embed="rId21"/>
                    <a:stretch>
                      <a:fillRect/>
                    </a:stretch>
                  </pic:blipFill>
                  <pic:spPr>
                    <a:xfrm>
                      <a:off x="0" y="0"/>
                      <a:ext cx="5170879" cy="1927765"/>
                    </a:xfrm>
                    <a:prstGeom prst="rect">
                      <a:avLst/>
                    </a:prstGeom>
                  </pic:spPr>
                </pic:pic>
              </a:graphicData>
            </a:graphic>
          </wp:inline>
        </w:drawing>
      </w:r>
    </w:p>
    <w:p w14:paraId="502D00B1" w14:textId="1909999B" w:rsidR="00112256" w:rsidRDefault="00112256" w:rsidP="00C46515">
      <w:pPr>
        <w:jc w:val="both"/>
      </w:pPr>
      <w:r w:rsidRPr="00112256">
        <w:rPr>
          <w:b/>
          <w:bCs/>
        </w:rPr>
        <w:t xml:space="preserve">Figure </w:t>
      </w:r>
      <w:r w:rsidR="00AF3FB8">
        <w:rPr>
          <w:b/>
          <w:bCs/>
        </w:rPr>
        <w:t>10</w:t>
      </w:r>
      <w:r w:rsidRPr="00112256">
        <w:rPr>
          <w:b/>
          <w:bCs/>
        </w:rPr>
        <w:t>:</w:t>
      </w:r>
      <w:r>
        <w:t xml:space="preserve"> Visualisation of the sensitivity analysis procedure, where the predictions used to train the ensemble model </w:t>
      </w:r>
      <w:r w:rsidR="00365B11">
        <w:t>were</w:t>
      </w:r>
      <w:r>
        <w:t xml:space="preserve"> only fit on </w:t>
      </w:r>
      <w:r w:rsidR="00365B11">
        <w:t>high</w:t>
      </w:r>
      <w:r>
        <w:t xml:space="preserve">-income data. As described in Section </w:t>
      </w:r>
      <w:r w:rsidR="0095410F">
        <w:t xml:space="preserve">4.42, the ensemble </w:t>
      </w:r>
      <w:r w:rsidR="00365B11">
        <w:t>was</w:t>
      </w:r>
      <w:r w:rsidR="0095410F">
        <w:t xml:space="preserve"> trained on the predictions from the 300 base estimators, which were trained on different versions of the</w:t>
      </w:r>
      <w:r w:rsidR="00E300CE">
        <w:t xml:space="preserve"> high-</w:t>
      </w:r>
      <w:r w:rsidR="0095410F">
        <w:t xml:space="preserve">income data. </w:t>
      </w:r>
      <w:r w:rsidR="00E300CE">
        <w:t xml:space="preserve">The sensitivity analysis created a separate </w:t>
      </w:r>
      <w:r w:rsidR="00D4052F">
        <w:t>ensemble model for each income-specific version of</w:t>
      </w:r>
      <w:r w:rsidR="00E300CE">
        <w:t xml:space="preserve"> the input </w:t>
      </w:r>
      <w:r w:rsidR="00D4052F">
        <w:t>dataset.</w:t>
      </w:r>
    </w:p>
    <w:p w14:paraId="435CD72C" w14:textId="77777777" w:rsidR="007770BC" w:rsidRDefault="007770BC" w:rsidP="00C46515">
      <w:pPr>
        <w:jc w:val="both"/>
      </w:pPr>
    </w:p>
    <w:p w14:paraId="292CC8A6" w14:textId="5775217A" w:rsidR="007770BC" w:rsidRDefault="007770BC" w:rsidP="00C46515">
      <w:pPr>
        <w:jc w:val="both"/>
      </w:pPr>
      <w:r>
        <w:lastRenderedPageBreak/>
        <w:t>To perform the sensitivity analysis, I created 4 new versions of</w:t>
      </w:r>
      <w:r w:rsidR="00714F4D">
        <w:t xml:space="preserve"> each fold/feature subset datasets</w:t>
      </w:r>
      <w:r w:rsidR="005A6301">
        <w:t xml:space="preserve"> by </w:t>
      </w:r>
      <w:r w:rsidR="003418AD">
        <w:t>filtering the input dataset by income level.</w:t>
      </w:r>
      <w:r w:rsidR="005A6301">
        <w:t xml:space="preserve"> </w:t>
      </w:r>
      <w:r w:rsidR="005476B4">
        <w:t xml:space="preserve">I then conducted missing data thresholding on each filtered dataset, as above. The filtered datasets will be referred to as </w:t>
      </w:r>
      <w:r w:rsidR="005A7A20">
        <w:t>“</w:t>
      </w:r>
      <w:r w:rsidR="005476B4">
        <w:t>sensitivity datasets</w:t>
      </w:r>
      <w:r w:rsidR="005A7A20">
        <w:t>”</w:t>
      </w:r>
      <w:r w:rsidR="005476B4">
        <w:t xml:space="preserve"> from this point forward</w:t>
      </w:r>
      <w:r w:rsidR="008C6575">
        <w:t>, with the four filtered datasets characterised in the following list</w:t>
      </w:r>
      <w:r w:rsidR="005476B4">
        <w:t>.</w:t>
      </w:r>
      <w:r w:rsidR="006A756F" w:rsidRPr="006A756F">
        <w:t xml:space="preserve"> </w:t>
      </w:r>
      <w:r w:rsidR="006A756F">
        <w:t>This process generated 300 base estimators trained on each sensitivity dataset.</w:t>
      </w:r>
    </w:p>
    <w:p w14:paraId="68FC5EC9" w14:textId="77777777" w:rsidR="003418AD" w:rsidRDefault="003418AD" w:rsidP="00C46515">
      <w:pPr>
        <w:jc w:val="both"/>
      </w:pPr>
    </w:p>
    <w:p w14:paraId="445FC4D8" w14:textId="05BD727B" w:rsidR="000E67A6" w:rsidRDefault="005A6301" w:rsidP="000E67A6">
      <w:pPr>
        <w:pStyle w:val="ListParagraph"/>
        <w:numPr>
          <w:ilvl w:val="0"/>
          <w:numId w:val="6"/>
        </w:numPr>
        <w:jc w:val="both"/>
      </w:pPr>
      <w:r>
        <w:t>Data from l</w:t>
      </w:r>
      <w:r w:rsidR="000E67A6">
        <w:t>ow</w:t>
      </w:r>
      <w:r>
        <w:t>-</w:t>
      </w:r>
      <w:r w:rsidR="000E67A6">
        <w:t xml:space="preserve">income </w:t>
      </w:r>
      <w:r>
        <w:t>countries only.</w:t>
      </w:r>
      <w:r w:rsidR="000E67A6">
        <w:t xml:space="preserve"> </w:t>
      </w:r>
    </w:p>
    <w:p w14:paraId="341A750C" w14:textId="7A60AE58" w:rsidR="005A6301" w:rsidRDefault="005A6301" w:rsidP="005A6301">
      <w:pPr>
        <w:pStyle w:val="ListParagraph"/>
        <w:numPr>
          <w:ilvl w:val="0"/>
          <w:numId w:val="6"/>
        </w:numPr>
        <w:jc w:val="both"/>
      </w:pPr>
      <w:r>
        <w:t xml:space="preserve">Data from lower-middle income countries only. </w:t>
      </w:r>
    </w:p>
    <w:p w14:paraId="589BFC6A" w14:textId="7709C4C5" w:rsidR="005A6301" w:rsidRDefault="005A6301" w:rsidP="005A6301">
      <w:pPr>
        <w:pStyle w:val="ListParagraph"/>
        <w:numPr>
          <w:ilvl w:val="0"/>
          <w:numId w:val="6"/>
        </w:numPr>
        <w:jc w:val="both"/>
      </w:pPr>
      <w:r>
        <w:t xml:space="preserve">Data from upper-middle income countries only. </w:t>
      </w:r>
    </w:p>
    <w:p w14:paraId="229AF563" w14:textId="784D0B27" w:rsidR="00E65634" w:rsidRDefault="005A6301" w:rsidP="00C46515">
      <w:pPr>
        <w:pStyle w:val="ListParagraph"/>
        <w:numPr>
          <w:ilvl w:val="0"/>
          <w:numId w:val="6"/>
        </w:numPr>
        <w:jc w:val="both"/>
      </w:pPr>
      <w:r>
        <w:t xml:space="preserve">Data from high-income countries only. </w:t>
      </w:r>
    </w:p>
    <w:p w14:paraId="5B71B430" w14:textId="77777777" w:rsidR="005A6301" w:rsidRDefault="005A6301" w:rsidP="00C46515">
      <w:pPr>
        <w:jc w:val="both"/>
      </w:pPr>
    </w:p>
    <w:p w14:paraId="6F9ABD82" w14:textId="02B39260" w:rsidR="00026390" w:rsidRDefault="00346644" w:rsidP="00C46515">
      <w:pPr>
        <w:jc w:val="both"/>
      </w:pPr>
      <w:r>
        <w:t>A separate ensemble model was created for each set of 300 base estimators using the architecture and hyperparameters of the best performing ensemble model.</w:t>
      </w:r>
      <w:r w:rsidR="00321671">
        <w:t xml:space="preserve"> </w:t>
      </w:r>
      <w:r w:rsidR="00C77120">
        <w:t>The</w:t>
      </w:r>
      <w:r w:rsidR="005304C5">
        <w:t xml:space="preserve"> training data </w:t>
      </w:r>
      <w:r w:rsidR="00B35843">
        <w:t xml:space="preserve">for each </w:t>
      </w:r>
      <w:r w:rsidR="00C77120">
        <w:t>sensitivity</w:t>
      </w:r>
      <w:r w:rsidR="007F7D51">
        <w:t xml:space="preserve"> analysis</w:t>
      </w:r>
      <w:r w:rsidR="00C77120">
        <w:t xml:space="preserve"> </w:t>
      </w:r>
      <w:r w:rsidR="00B35843">
        <w:t xml:space="preserve">ensemble </w:t>
      </w:r>
      <w:r w:rsidR="005304C5">
        <w:t xml:space="preserve">consisted of </w:t>
      </w:r>
      <w:r w:rsidR="00B35843">
        <w:t xml:space="preserve">the trained base estimators’ </w:t>
      </w:r>
      <w:r w:rsidR="00C77120">
        <w:t xml:space="preserve">predictions </w:t>
      </w:r>
      <w:r w:rsidR="00B35843">
        <w:t>on a filtered version of the concatenated train, validation data</w:t>
      </w:r>
      <w:r w:rsidR="007F7D51">
        <w:t xml:space="preserve">, which only contained data from the relevant income level. </w:t>
      </w:r>
      <w:r w:rsidR="003052FB">
        <w:t xml:space="preserve">The remainder of process followed the same procedure described in Section 4.411. </w:t>
      </w:r>
    </w:p>
    <w:p w14:paraId="262584E3" w14:textId="77777777" w:rsidR="00026390" w:rsidRDefault="00026390" w:rsidP="00C46515">
      <w:pPr>
        <w:jc w:val="both"/>
      </w:pPr>
    </w:p>
    <w:p w14:paraId="6D7203FF" w14:textId="33B344CC" w:rsidR="00E65634" w:rsidRDefault="00437DD7" w:rsidP="003B4810">
      <w:pPr>
        <w:jc w:val="both"/>
      </w:pPr>
      <w:r>
        <w:t xml:space="preserve">The sensitivity analysis ensemble models were then </w:t>
      </w:r>
      <w:r w:rsidR="008A572E">
        <w:t xml:space="preserve">evaluated </w:t>
      </w:r>
      <w:r w:rsidR="003052FB">
        <w:t xml:space="preserve">using a version of the test </w:t>
      </w:r>
      <w:r w:rsidR="00FE3045">
        <w:t>data</w:t>
      </w:r>
      <w:r w:rsidR="003052FB">
        <w:t xml:space="preserve">set filtered </w:t>
      </w:r>
      <w:r w:rsidR="008A572E">
        <w:t>to only contain data from the relevant income level.</w:t>
      </w:r>
      <w:r w:rsidR="003052FB">
        <w:t xml:space="preserve"> </w:t>
      </w:r>
      <w:r w:rsidR="007A7725">
        <w:t>Each sensitivity analysis ensemble was compared to the</w:t>
      </w:r>
      <w:r w:rsidR="000B28C8">
        <w:t xml:space="preserve"> original best performing ensemble, which was trained on data from all income levels</w:t>
      </w:r>
      <w:r w:rsidR="00BB7DE4">
        <w:t xml:space="preserve"> but only used to predict on the filtered test set</w:t>
      </w:r>
      <w:r w:rsidR="007A7725">
        <w:t xml:space="preserve">. </w:t>
      </w:r>
      <w:r w:rsidR="00BB7DE4">
        <w:t xml:space="preserve">For example, the </w:t>
      </w:r>
      <w:r w:rsidR="007713B0">
        <w:t>sensitivity analysis</w:t>
      </w:r>
      <w:r w:rsidR="00BB7DE4">
        <w:t xml:space="preserve"> </w:t>
      </w:r>
      <w:r w:rsidR="007713B0">
        <w:t>ensemble</w:t>
      </w:r>
      <w:r w:rsidR="00BB7DE4">
        <w:t xml:space="preserve"> trained and tested on data from low-income countries </w:t>
      </w:r>
      <w:r w:rsidR="009C3725">
        <w:t>was</w:t>
      </w:r>
      <w:r w:rsidR="00BB7DE4">
        <w:t xml:space="preserve"> compared to the original ensemble trained on all data but tested on </w:t>
      </w:r>
      <w:r w:rsidR="003B4810">
        <w:t xml:space="preserve">data from only low-income countries. </w:t>
      </w:r>
      <w:r w:rsidR="0095149F">
        <w:t xml:space="preserve">Using the same test set ensured </w:t>
      </w:r>
      <w:r w:rsidR="009C3725">
        <w:t xml:space="preserve">comparable </w:t>
      </w:r>
      <w:r w:rsidR="0095149F">
        <w:t>performance between the original and sensitivity analysis models.</w:t>
      </w:r>
    </w:p>
    <w:p w14:paraId="1DC871E7" w14:textId="77777777" w:rsidR="00537880" w:rsidRPr="00631F53" w:rsidRDefault="00537880" w:rsidP="00631F53"/>
    <w:p w14:paraId="5181B73B" w14:textId="368819D8" w:rsidR="00631F53" w:rsidRDefault="00631F53" w:rsidP="002F766B">
      <w:pPr>
        <w:pStyle w:val="Heading2"/>
      </w:pPr>
      <w:r>
        <w:t>4.</w:t>
      </w:r>
      <w:r w:rsidR="00D1126F">
        <w:t>6</w:t>
      </w:r>
      <w:r>
        <w:t xml:space="preserve"> Comparison to Literature</w:t>
      </w:r>
    </w:p>
    <w:p w14:paraId="3FF931B5" w14:textId="5F652BC9" w:rsidR="00431B83" w:rsidRDefault="00BB49C3" w:rsidP="00261FD5">
      <w:pPr>
        <w:jc w:val="both"/>
      </w:pPr>
      <w:r>
        <w:t xml:space="preserve">I compared my best performing ensemble, trained on data </w:t>
      </w:r>
      <w:proofErr w:type="gramStart"/>
      <w:r>
        <w:t>from all income levels,</w:t>
      </w:r>
      <w:proofErr w:type="gramEnd"/>
      <w:r>
        <w:t xml:space="preserve"> to the </w:t>
      </w:r>
      <w:r w:rsidR="00971842">
        <w:t xml:space="preserve">latest versions of the </w:t>
      </w:r>
      <w:r>
        <w:t>UN MMEIG</w:t>
      </w:r>
      <w:r w:rsidR="00261FD5">
        <w:t>’s</w:t>
      </w:r>
      <w:r>
        <w:t xml:space="preserve"> </w:t>
      </w:r>
      <w:proofErr w:type="spellStart"/>
      <w:r>
        <w:t>BMat</w:t>
      </w:r>
      <w:proofErr w:type="spellEnd"/>
      <w:r w:rsidR="00261FD5">
        <w:t xml:space="preserve"> model, GBD Study’s CODEm model, and the GMatH simulation model. More specifically, I explored the difference</w:t>
      </w:r>
      <w:r w:rsidR="00CB0583">
        <w:t xml:space="preserve">s between my model’s MMR predictions for each country/year sample to the predictions made by models </w:t>
      </w:r>
      <w:r w:rsidR="00F54787">
        <w:t>described in the literature</w:t>
      </w:r>
      <w:r w:rsidR="00172D8B">
        <w:t xml:space="preserve"> [</w:t>
      </w:r>
      <w:r w:rsidR="0045380B">
        <w:t>27, 28, 29</w:t>
      </w:r>
      <w:r w:rsidR="00172D8B">
        <w:t>]</w:t>
      </w:r>
      <w:r w:rsidR="00F54787">
        <w:t xml:space="preserve">. </w:t>
      </w:r>
      <w:r w:rsidR="006E624A">
        <w:t xml:space="preserve">The MMR estimates from the literature </w:t>
      </w:r>
      <w:r w:rsidR="002D2825">
        <w:t xml:space="preserve">were </w:t>
      </w:r>
      <w:r w:rsidR="00AB6EC7">
        <w:t xml:space="preserve">given with their 95% confidence intervals. </w:t>
      </w:r>
    </w:p>
    <w:p w14:paraId="610BE4BC" w14:textId="77777777" w:rsidR="00AB6EC7" w:rsidRDefault="00AB6EC7" w:rsidP="00261FD5">
      <w:pPr>
        <w:jc w:val="both"/>
      </w:pPr>
    </w:p>
    <w:p w14:paraId="27CBE844" w14:textId="0A2C626B" w:rsidR="00AB6EC7" w:rsidRDefault="00AB6EC7" w:rsidP="00261FD5">
      <w:pPr>
        <w:jc w:val="both"/>
      </w:pPr>
      <w:r>
        <w:t>Fi</w:t>
      </w:r>
      <w:r w:rsidR="002A1AF3">
        <w:t xml:space="preserve">rst, I </w:t>
      </w:r>
      <w:r w:rsidR="00966B4C">
        <w:t>calculated</w:t>
      </w:r>
      <w:r w:rsidR="002A1AF3">
        <w:t xml:space="preserve"> the </w:t>
      </w:r>
      <w:r w:rsidR="00966B4C">
        <w:t>percentage difference between my</w:t>
      </w:r>
      <w:r w:rsidR="00C0402E">
        <w:t xml:space="preserve"> test set</w:t>
      </w:r>
      <w:r w:rsidR="00966B4C">
        <w:t xml:space="preserve"> </w:t>
      </w:r>
      <w:r w:rsidR="002F3367">
        <w:t xml:space="preserve">MMR </w:t>
      </w:r>
      <w:r w:rsidR="00966B4C">
        <w:t xml:space="preserve">estimates and the </w:t>
      </w:r>
      <w:r w:rsidR="00C0402E">
        <w:t xml:space="preserve">corresponding </w:t>
      </w:r>
      <w:r w:rsidR="00966B4C">
        <w:t>estimates from each literature model using Equation 12, below.</w:t>
      </w:r>
      <w:r w:rsidR="00C93E92">
        <w:t xml:space="preserve"> This gave an indication of the similarity betwe</w:t>
      </w:r>
      <w:r w:rsidR="002F3367">
        <w:t xml:space="preserve">en my estimates and the literature’s predictions. </w:t>
      </w:r>
    </w:p>
    <w:p w14:paraId="48BD137C" w14:textId="77777777" w:rsidR="0045380B" w:rsidRDefault="0045380B" w:rsidP="00261FD5">
      <w:pPr>
        <w:jc w:val="both"/>
      </w:pPr>
    </w:p>
    <w:p w14:paraId="0065D745" w14:textId="6FFBC99E" w:rsidR="0045380B" w:rsidRPr="00966B4C" w:rsidRDefault="00AF3FB8" w:rsidP="00261FD5">
      <w:pPr>
        <w:jc w:val="both"/>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percentage difference= 100*</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estimate</m:t>
                          </m:r>
                        </m:sub>
                      </m:sSub>
                      <m:r>
                        <w:rPr>
                          <w:rFonts w:ascii="Cambria Math" w:hAnsi="Cambria Math"/>
                          <w:color w:val="000000" w:themeColor="text1"/>
                        </w:rPr>
                        <m:t xml:space="preserve">-literature_estimate </m:t>
                      </m:r>
                    </m:num>
                    <m:den>
                      <m:r>
                        <w:rPr>
                          <w:rFonts w:ascii="Cambria Math" w:hAnsi="Cambria Math"/>
                          <w:color w:val="000000" w:themeColor="text1"/>
                        </w:rPr>
                        <m:t>literature_estimate</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12</m:t>
                  </m:r>
                </m:e>
              </m:d>
            </m:e>
          </m:eqArr>
        </m:oMath>
      </m:oMathPara>
    </w:p>
    <w:p w14:paraId="1987DFA8" w14:textId="77777777" w:rsidR="00966B4C" w:rsidRPr="00966B4C" w:rsidRDefault="00966B4C" w:rsidP="00261FD5">
      <w:pPr>
        <w:jc w:val="both"/>
      </w:pPr>
    </w:p>
    <w:p w14:paraId="3D3427E5" w14:textId="1073C9C7" w:rsidR="002F766B" w:rsidRDefault="009E2831" w:rsidP="00144E59">
      <w:pPr>
        <w:jc w:val="both"/>
      </w:pPr>
      <w:r>
        <w:t xml:space="preserve">Then, I determined the percentage of test set MMR estimates </w:t>
      </w:r>
      <w:r w:rsidR="00144E59">
        <w:t xml:space="preserve">from my best performing ensemble that fell in the 95% confidence interval of </w:t>
      </w:r>
      <w:r w:rsidR="00081998">
        <w:t>the corresponding estimates from the literature.</w:t>
      </w:r>
      <w:r w:rsidR="00AA5C09">
        <w:t xml:space="preserve"> This analysis was performed for </w:t>
      </w:r>
      <w:r w:rsidR="00806138">
        <w:t xml:space="preserve">all </w:t>
      </w:r>
      <w:proofErr w:type="gramStart"/>
      <w:r w:rsidR="00806138">
        <w:t>test</w:t>
      </w:r>
      <w:proofErr w:type="gramEnd"/>
      <w:r w:rsidR="00806138">
        <w:t xml:space="preserve"> set estimates</w:t>
      </w:r>
      <w:r w:rsidR="00A000CB">
        <w:t xml:space="preserve"> and per income level, where I calculated the proportion of test set estimates for countries from a particular income </w:t>
      </w:r>
      <w:r w:rsidR="00181D44">
        <w:t xml:space="preserve">that fell within the 95% confidence intervals of the associated estimates from the literature. I also calculated the </w:t>
      </w:r>
      <w:r w:rsidR="00121C7F">
        <w:t>proportion</w:t>
      </w:r>
      <w:r w:rsidR="00181D44">
        <w:t xml:space="preserve"> of </w:t>
      </w:r>
      <w:r w:rsidR="0008529A">
        <w:t>ground truth MMR estimates used to test my model that fell within the 95% confidence interval of the literature models</w:t>
      </w:r>
      <w:r w:rsidR="006C278C">
        <w:t>’</w:t>
      </w:r>
      <w:r w:rsidR="0008529A">
        <w:t xml:space="preserve"> </w:t>
      </w:r>
      <w:r w:rsidR="006C278C">
        <w:t>estimates</w:t>
      </w:r>
      <w:r w:rsidR="0037476B">
        <w:t xml:space="preserve">. This compared the MMR </w:t>
      </w:r>
      <w:r w:rsidR="0037476B">
        <w:lastRenderedPageBreak/>
        <w:t xml:space="preserve">estimates that my model was trained to predict with the literature’s MMR estimates to </w:t>
      </w:r>
      <w:r w:rsidR="006C278C">
        <w:t>provide more information about</w:t>
      </w:r>
      <w:r w:rsidR="0037476B">
        <w:t xml:space="preserve"> </w:t>
      </w:r>
      <w:r w:rsidR="006C278C">
        <w:t>whether differences between my model and the literature were due to poor performance or training data.</w:t>
      </w:r>
    </w:p>
    <w:p w14:paraId="14703960" w14:textId="77777777" w:rsidR="001A0562" w:rsidRDefault="001A0562" w:rsidP="00144E59">
      <w:pPr>
        <w:jc w:val="both"/>
      </w:pPr>
    </w:p>
    <w:p w14:paraId="7EFAB07A" w14:textId="4B012200" w:rsidR="00FC36AD" w:rsidRDefault="001A0562" w:rsidP="002F766B">
      <w:pPr>
        <w:jc w:val="both"/>
      </w:pPr>
      <w:r>
        <w:t xml:space="preserve">Finally, I visualised </w:t>
      </w:r>
      <w:r w:rsidR="00581F09">
        <w:t>the difference between my model’s MMR estimates and the literature’s estimates</w:t>
      </w:r>
      <w:r>
        <w:t xml:space="preserve"> </w:t>
      </w:r>
      <w:r w:rsidR="00BD34DB">
        <w:t xml:space="preserve">for an exemplar country from each income level. I visualised the model’s estimates from the train set and test set separately to explore any possible difference. </w:t>
      </w:r>
      <w:r w:rsidR="00936840">
        <w:t xml:space="preserve">I attempted to maximise geographic coverage by comparing estimates for at least one country in </w:t>
      </w:r>
      <w:r w:rsidR="002A59D6">
        <w:t>the Americas, Africa, Europe, Oceania, and Asia.</w:t>
      </w:r>
    </w:p>
    <w:p w14:paraId="5FF11C78" w14:textId="77777777" w:rsidR="002F766B" w:rsidRDefault="002F766B" w:rsidP="002F766B">
      <w:pPr>
        <w:jc w:val="both"/>
        <w:rPr>
          <w:lang w:eastAsia="en-US"/>
        </w:rPr>
      </w:pPr>
    </w:p>
    <w:p w14:paraId="387C20EF" w14:textId="77777777" w:rsidR="006F6E1B" w:rsidRDefault="00FD7FBF" w:rsidP="006F6E1B">
      <w:pPr>
        <w:rPr>
          <w:color w:val="EE0000"/>
        </w:rPr>
      </w:pPr>
      <w:r>
        <w:rPr>
          <w:color w:val="EE0000"/>
        </w:rPr>
        <w:t>Citations</w:t>
      </w:r>
    </w:p>
    <w:p w14:paraId="0BA05DDD" w14:textId="1952498C" w:rsidR="006F6E1B" w:rsidRPr="006F6E1B" w:rsidRDefault="00FD7FBF" w:rsidP="0068246C">
      <w:pPr>
        <w:pStyle w:val="ListParagraph"/>
        <w:numPr>
          <w:ilvl w:val="0"/>
          <w:numId w:val="5"/>
        </w:numPr>
        <w:rPr>
          <w:color w:val="EE0000"/>
        </w:r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23D8F86" w14:textId="77777777" w:rsidR="006F6E1B" w:rsidRDefault="006F6E1B" w:rsidP="0068246C">
      <w:pPr>
        <w:pStyle w:val="ListParagraph"/>
        <w:numPr>
          <w:ilvl w:val="0"/>
          <w:numId w:val="5"/>
        </w:numPr>
      </w:pPr>
      <w:hyperlink r:id="rId22" w:history="1">
        <w:r w:rsidRPr="00610F4A">
          <w:rPr>
            <w:rStyle w:val="Hyperlink"/>
          </w:rPr>
          <w:t>https://link.springer.com/article/10.1186/s40537-021-00516-9</w:t>
        </w:r>
      </w:hyperlink>
    </w:p>
    <w:p w14:paraId="2EB7CFE9" w14:textId="77777777" w:rsidR="006F6E1B" w:rsidRDefault="006F6E1B" w:rsidP="0068246C">
      <w:pPr>
        <w:pStyle w:val="ListParagraph"/>
        <w:numPr>
          <w:ilvl w:val="1"/>
          <w:numId w:val="5"/>
        </w:numPr>
      </w:pPr>
      <w:r>
        <w:t xml:space="preserve">Journal of big data </w:t>
      </w:r>
    </w:p>
    <w:p w14:paraId="5CAFFB61" w14:textId="584D9079" w:rsidR="006F6E1B" w:rsidRDefault="006F6E1B" w:rsidP="0068246C">
      <w:pPr>
        <w:pStyle w:val="ListParagraph"/>
        <w:numPr>
          <w:ilvl w:val="1"/>
          <w:numId w:val="5"/>
        </w:numPr>
      </w:pPr>
      <w:r>
        <w:t>Missing data mechanisms</w:t>
      </w:r>
    </w:p>
    <w:p w14:paraId="1BD31384" w14:textId="7A1B46A1" w:rsidR="006F6E1B" w:rsidRDefault="006F6E1B" w:rsidP="0068246C">
      <w:pPr>
        <w:pStyle w:val="ListParagraph"/>
        <w:numPr>
          <w:ilvl w:val="0"/>
          <w:numId w:val="5"/>
        </w:numPr>
      </w:pPr>
      <w:hyperlink r:id="rId23" w:anchor="Sec2" w:history="1">
        <w:r w:rsidRPr="00610F4A">
          <w:rPr>
            <w:rStyle w:val="Hyperlink"/>
          </w:rPr>
          <w:t>https://link.springer.com/article/10.1007/s40273-023-01297-0#Sec2</w:t>
        </w:r>
      </w:hyperlink>
    </w:p>
    <w:p w14:paraId="142B8E4E" w14:textId="33721172" w:rsidR="006F6E1B" w:rsidRDefault="006F6E1B" w:rsidP="0068246C">
      <w:pPr>
        <w:pStyle w:val="ListParagraph"/>
        <w:numPr>
          <w:ilvl w:val="1"/>
          <w:numId w:val="5"/>
        </w:numPr>
      </w:pPr>
      <w:r>
        <w:t>More about missing data mechanisms</w:t>
      </w:r>
    </w:p>
    <w:p w14:paraId="6FC9612F" w14:textId="77777777" w:rsidR="00FF1AAC" w:rsidRDefault="00FF1AAC" w:rsidP="0068246C">
      <w:pPr>
        <w:pStyle w:val="ListParagraph"/>
        <w:numPr>
          <w:ilvl w:val="0"/>
          <w:numId w:val="5"/>
        </w:numPr>
        <w:jc w:val="both"/>
      </w:pPr>
      <w:hyperlink r:id="rId24" w:history="1">
        <w:r w:rsidRPr="00610F4A">
          <w:rPr>
            <w:rStyle w:val="Hyperlink"/>
          </w:rPr>
          <w:t>https://scikit-learn.org/stable/modules/generated/sklearn.impute.KNNImputer.html</w:t>
        </w:r>
      </w:hyperlink>
    </w:p>
    <w:p w14:paraId="1BA246EE" w14:textId="77777777" w:rsidR="00FF1AAC" w:rsidRDefault="00FF1AAC" w:rsidP="0068246C">
      <w:pPr>
        <w:pStyle w:val="ListParagraph"/>
        <w:numPr>
          <w:ilvl w:val="0"/>
          <w:numId w:val="5"/>
        </w:numPr>
        <w:jc w:val="both"/>
      </w:pPr>
      <w:hyperlink r:id="rId25" w:history="1">
        <w:r w:rsidRPr="00610F4A">
          <w:rPr>
            <w:rStyle w:val="Hyperlink"/>
          </w:rPr>
          <w:t>https://scikit-learn.org/stable/modules/generated/sklearn.decomposition.PCA.html</w:t>
        </w:r>
      </w:hyperlink>
    </w:p>
    <w:p w14:paraId="391A72F7" w14:textId="2C8721A8" w:rsidR="007116AA" w:rsidRDefault="007116AA" w:rsidP="0068246C">
      <w:pPr>
        <w:pStyle w:val="ListParagraph"/>
        <w:numPr>
          <w:ilvl w:val="0"/>
          <w:numId w:val="5"/>
        </w:numPr>
      </w:pPr>
      <w:hyperlink r:id="rId26" w:history="1">
        <w:r w:rsidRPr="001569B1">
          <w:rPr>
            <w:rStyle w:val="Hyperlink"/>
          </w:rPr>
          <w:t>https://www.nature.com/articles/s41592-018-0019-x</w:t>
        </w:r>
      </w:hyperlink>
      <w:r>
        <w:t xml:space="preserve"> </w:t>
      </w:r>
    </w:p>
    <w:p w14:paraId="473A94B9" w14:textId="3949336F" w:rsidR="007116AA" w:rsidRDefault="007116AA" w:rsidP="0068246C">
      <w:pPr>
        <w:pStyle w:val="ListParagraph"/>
        <w:numPr>
          <w:ilvl w:val="1"/>
          <w:numId w:val="5"/>
        </w:numPr>
      </w:pPr>
      <w:r>
        <w:t xml:space="preserve">Curse of dimensionality </w:t>
      </w:r>
    </w:p>
    <w:p w14:paraId="298B2D35" w14:textId="77777777" w:rsidR="00056B6D" w:rsidRDefault="00056B6D" w:rsidP="0068246C">
      <w:pPr>
        <w:pStyle w:val="ListParagraph"/>
        <w:numPr>
          <w:ilvl w:val="0"/>
          <w:numId w:val="5"/>
        </w:numPr>
      </w:pPr>
      <w:hyperlink r:id="rId27" w:history="1">
        <w:r w:rsidRPr="0074014C">
          <w:rPr>
            <w:rStyle w:val="Hyperlink"/>
          </w:rPr>
          <w:t>https://jmai.amegroups.org/article/view/8590/html</w:t>
        </w:r>
      </w:hyperlink>
      <w:r>
        <w:t xml:space="preserve"> </w:t>
      </w:r>
    </w:p>
    <w:p w14:paraId="5B5215EE" w14:textId="77777777" w:rsidR="00056B6D" w:rsidRPr="00103078" w:rsidRDefault="00056B6D" w:rsidP="0068246C">
      <w:pPr>
        <w:pStyle w:val="ListParagraph"/>
        <w:numPr>
          <w:ilvl w:val="0"/>
          <w:numId w:val="5"/>
        </w:numPr>
        <w:shd w:val="clear" w:color="auto" w:fill="FFFFFF"/>
        <w:spacing w:line="270" w:lineRule="atLeast"/>
        <w:rPr>
          <w:rFonts w:ascii="Menlo" w:hAnsi="Menlo" w:cs="Menlo"/>
          <w:color w:val="000000"/>
          <w:sz w:val="18"/>
          <w:szCs w:val="18"/>
        </w:rPr>
      </w:pPr>
      <w:hyperlink r:id="rId28" w:history="1">
        <w:r w:rsidRPr="0074014C">
          <w:rPr>
            <w:rStyle w:val="Hyperlink"/>
            <w:rFonts w:ascii="Menlo" w:hAnsi="Menlo" w:cs="Menlo"/>
            <w:sz w:val="18"/>
            <w:szCs w:val="18"/>
          </w:rPr>
          <w:t>https://www.sciencedirect.com/science/article/pii/S0169023X23000587?pes=vor&amp;utm_source=scopus&amp;getft_integrator=scopus</w:t>
        </w:r>
      </w:hyperlink>
      <w:r>
        <w:rPr>
          <w:rFonts w:ascii="Menlo" w:hAnsi="Menlo" w:cs="Menlo"/>
          <w:color w:val="000000"/>
          <w:sz w:val="18"/>
          <w:szCs w:val="18"/>
        </w:rPr>
        <w:t xml:space="preserve">  </w:t>
      </w:r>
    </w:p>
    <w:p w14:paraId="08974F62" w14:textId="4F8E9C3E" w:rsidR="00CF6EB3" w:rsidRPr="00CF6EB3" w:rsidRDefault="00056B6D" w:rsidP="0068246C">
      <w:pPr>
        <w:pStyle w:val="ListParagraph"/>
        <w:numPr>
          <w:ilvl w:val="0"/>
          <w:numId w:val="5"/>
        </w:numPr>
        <w:shd w:val="clear" w:color="auto" w:fill="FFFFFF"/>
        <w:spacing w:line="270" w:lineRule="atLeast"/>
        <w:rPr>
          <w:rFonts w:ascii="Menlo" w:hAnsi="Menlo" w:cs="Menlo"/>
          <w:color w:val="000000"/>
          <w:sz w:val="18"/>
          <w:szCs w:val="18"/>
        </w:rPr>
      </w:pPr>
      <w:hyperlink r:id="rId29" w:history="1">
        <w:r w:rsidRPr="0074014C">
          <w:rPr>
            <w:rStyle w:val="Hyperlink"/>
            <w:rFonts w:ascii="Menlo" w:hAnsi="Menlo" w:cs="Menlo"/>
            <w:sz w:val="18"/>
            <w:szCs w:val="18"/>
          </w:rPr>
          <w:t>https://iris.who.int/bitstream/handle/10665/381012/9789240108462-eng.pdf?sequence=1</w:t>
        </w:r>
      </w:hyperlink>
      <w:r>
        <w:rPr>
          <w:rFonts w:ascii="Menlo" w:hAnsi="Menlo" w:cs="Menlo"/>
          <w:color w:val="000000"/>
          <w:sz w:val="18"/>
          <w:szCs w:val="18"/>
        </w:rPr>
        <w:t xml:space="preserve"> </w:t>
      </w:r>
    </w:p>
    <w:p w14:paraId="2FCD1DA5" w14:textId="77777777" w:rsidR="00CF6EB3" w:rsidRDefault="00CF6EB3" w:rsidP="0068246C">
      <w:pPr>
        <w:pStyle w:val="ListParagraph"/>
        <w:numPr>
          <w:ilvl w:val="0"/>
          <w:numId w:val="5"/>
        </w:numPr>
      </w:pPr>
      <w:hyperlink r:id="rId30" w:history="1">
        <w:r w:rsidRPr="00610F4A">
          <w:rPr>
            <w:rStyle w:val="Hyperlink"/>
          </w:rPr>
          <w:t>https://onlinelibrary.wiley.com/doi/10.5694/mja2.52452</w:t>
        </w:r>
      </w:hyperlink>
      <w:r>
        <w:t xml:space="preserve"> </w:t>
      </w:r>
    </w:p>
    <w:p w14:paraId="6AF721E0" w14:textId="77777777" w:rsidR="00CF6EB3" w:rsidRDefault="00CF6EB3" w:rsidP="0068246C">
      <w:pPr>
        <w:pStyle w:val="ListParagraph"/>
        <w:numPr>
          <w:ilvl w:val="1"/>
          <w:numId w:val="5"/>
        </w:numPr>
      </w:pPr>
      <w:r>
        <w:t>Non-communicable disease and pregnancy</w:t>
      </w:r>
    </w:p>
    <w:p w14:paraId="25DB6D89" w14:textId="77777777" w:rsidR="00CF6EB3" w:rsidRDefault="00CF6EB3" w:rsidP="0068246C">
      <w:pPr>
        <w:pStyle w:val="ListParagraph"/>
        <w:numPr>
          <w:ilvl w:val="1"/>
          <w:numId w:val="5"/>
        </w:numPr>
      </w:pPr>
      <w:r>
        <w:t>Ramson et al., 2024</w:t>
      </w:r>
    </w:p>
    <w:p w14:paraId="6E05EE78" w14:textId="77777777" w:rsidR="00CF6EB3" w:rsidRDefault="00CF6EB3" w:rsidP="0068246C">
      <w:pPr>
        <w:pStyle w:val="ListParagraph"/>
        <w:numPr>
          <w:ilvl w:val="0"/>
          <w:numId w:val="5"/>
        </w:numPr>
      </w:pPr>
      <w:r>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749A594B" w14:textId="77777777" w:rsidR="00CF6EB3" w:rsidRPr="009D3537" w:rsidRDefault="00CF6EB3" w:rsidP="0068246C">
      <w:pPr>
        <w:pStyle w:val="ListParagraph"/>
        <w:numPr>
          <w:ilvl w:val="0"/>
          <w:numId w:val="5"/>
        </w:numPr>
        <w:rPr>
          <w:b/>
          <w:bCs/>
        </w:rPr>
      </w:pPr>
      <w:hyperlink r:id="rId31" w:history="1">
        <w:r w:rsidRPr="00610F4A">
          <w:rPr>
            <w:rStyle w:val="Hyperlink"/>
            <w:b/>
            <w:bCs/>
          </w:rPr>
          <w:t>https://pubmed.ncbi.nlm.nih.gov/27642018/</w:t>
        </w:r>
      </w:hyperlink>
    </w:p>
    <w:p w14:paraId="60607B12" w14:textId="77777777" w:rsidR="00CF6EB3" w:rsidRDefault="00CF6EB3" w:rsidP="0068246C">
      <w:pPr>
        <w:pStyle w:val="ListParagraph"/>
        <w:numPr>
          <w:ilvl w:val="0"/>
          <w:numId w:val="5"/>
        </w:numPr>
        <w:rPr>
          <w:b/>
          <w:bCs/>
        </w:rPr>
      </w:pPr>
      <w:hyperlink r:id="rId32" w:history="1">
        <w:r w:rsidRPr="00610F4A">
          <w:rPr>
            <w:rStyle w:val="Hyperlink"/>
            <w:b/>
            <w:bCs/>
          </w:rPr>
          <w:t>https://pmc.ncbi.nlm.nih.gov/articles/PMC11117177/pdf/jogh-14-04128.pdf</w:t>
        </w:r>
      </w:hyperlink>
    </w:p>
    <w:p w14:paraId="46620955" w14:textId="77777777" w:rsidR="00451DC0" w:rsidRPr="00451DC0" w:rsidRDefault="00CF6EB3" w:rsidP="0068246C">
      <w:pPr>
        <w:pStyle w:val="ListParagraph"/>
        <w:numPr>
          <w:ilvl w:val="0"/>
          <w:numId w:val="5"/>
        </w:numPr>
        <w:rPr>
          <w:b/>
          <w:bCs/>
        </w:rPr>
      </w:pPr>
      <w:hyperlink r:id="rId33" w:history="1">
        <w:r w:rsidRPr="00610F4A">
          <w:rPr>
            <w:rStyle w:val="Hyperlink"/>
            <w:b/>
            <w:bCs/>
          </w:rPr>
          <w:t>https://www.sciencedirect.com/science/article/pii/S2589537024002323</w:t>
        </w:r>
      </w:hyperlink>
    </w:p>
    <w:p w14:paraId="1CD6F6AE" w14:textId="4FEAFF9E" w:rsidR="00451DC0" w:rsidRPr="00451DC0" w:rsidRDefault="00451DC0" w:rsidP="0068246C">
      <w:pPr>
        <w:pStyle w:val="ListParagraph"/>
        <w:numPr>
          <w:ilvl w:val="0"/>
          <w:numId w:val="5"/>
        </w:numPr>
        <w:rPr>
          <w:b/>
          <w:bCs/>
        </w:rPr>
      </w:pPr>
      <w:hyperlink r:id="rId34" w:history="1">
        <w:r w:rsidRPr="00610F4A">
          <w:rPr>
            <w:rStyle w:val="Hyperlink"/>
          </w:rPr>
          <w:t>https://scikit-learn.org/stable/modules/generated/sklearn.model_selection.GroupKFold.html</w:t>
        </w:r>
      </w:hyperlink>
    </w:p>
    <w:p w14:paraId="43741A61" w14:textId="3A0CEC6D" w:rsidR="002D7DBC" w:rsidRPr="0051287E" w:rsidRDefault="002D7DBC" w:rsidP="0068246C">
      <w:pPr>
        <w:pStyle w:val="ListParagraph"/>
        <w:numPr>
          <w:ilvl w:val="1"/>
          <w:numId w:val="5"/>
        </w:numPr>
        <w:rPr>
          <w:b/>
          <w:bCs/>
        </w:rPr>
      </w:pPr>
      <w:r>
        <w:t>K-fold cross validation mechanism</w:t>
      </w:r>
    </w:p>
    <w:p w14:paraId="2D97EDF5" w14:textId="77777777" w:rsidR="0051287E" w:rsidRDefault="0051287E" w:rsidP="0068246C">
      <w:pPr>
        <w:pStyle w:val="ListParagraph"/>
        <w:numPr>
          <w:ilvl w:val="0"/>
          <w:numId w:val="5"/>
        </w:numPr>
      </w:pPr>
      <w:hyperlink r:id="rId35" w:anchor="sklearn.ensemble.RandomForestRegressor" w:history="1">
        <w:r w:rsidRPr="00DF6901">
          <w:rPr>
            <w:rStyle w:val="Hyperlink"/>
          </w:rPr>
          <w:t>https://scikit-learn.org/stable/modules/generated/sklearn.ensemble.RandomForestRegressor.html#sklearn.ensemble.RandomForestRegressor</w:t>
        </w:r>
      </w:hyperlink>
      <w:r>
        <w:t xml:space="preserve"> </w:t>
      </w:r>
    </w:p>
    <w:p w14:paraId="4D436574" w14:textId="60C0421A" w:rsidR="0051287E" w:rsidRPr="0051287E" w:rsidRDefault="0051287E" w:rsidP="0068246C">
      <w:pPr>
        <w:pStyle w:val="ListParagraph"/>
        <w:numPr>
          <w:ilvl w:val="1"/>
          <w:numId w:val="5"/>
        </w:numPr>
        <w:rPr>
          <w:b/>
          <w:bCs/>
        </w:rPr>
      </w:pPr>
      <w:r>
        <w:t xml:space="preserve">Scikit learn random forest </w:t>
      </w:r>
    </w:p>
    <w:p w14:paraId="0DB9BC5A" w14:textId="77777777" w:rsidR="0051287E" w:rsidRDefault="0051287E" w:rsidP="0068246C">
      <w:pPr>
        <w:pStyle w:val="ListParagraph"/>
        <w:numPr>
          <w:ilvl w:val="0"/>
          <w:numId w:val="5"/>
        </w:numPr>
      </w:pPr>
      <w:hyperlink r:id="rId36" w:history="1">
        <w:r w:rsidRPr="00DF6901">
          <w:rPr>
            <w:rStyle w:val="Hyperlink"/>
          </w:rPr>
          <w:t>https://xgboost.readthedocs.io/en/stable/parameter.html</w:t>
        </w:r>
      </w:hyperlink>
      <w:r>
        <w:t xml:space="preserve"> </w:t>
      </w:r>
    </w:p>
    <w:p w14:paraId="6D3B0EF5" w14:textId="358938B3" w:rsidR="0051287E" w:rsidRPr="00C56CF2" w:rsidRDefault="0051287E" w:rsidP="0068246C">
      <w:pPr>
        <w:pStyle w:val="ListParagraph"/>
        <w:numPr>
          <w:ilvl w:val="1"/>
          <w:numId w:val="5"/>
        </w:numPr>
        <w:rPr>
          <w:b/>
          <w:bCs/>
        </w:rPr>
      </w:pPr>
      <w:proofErr w:type="spellStart"/>
      <w:r>
        <w:t>Xgboost</w:t>
      </w:r>
      <w:proofErr w:type="spellEnd"/>
      <w:r>
        <w:t xml:space="preserve"> </w:t>
      </w:r>
    </w:p>
    <w:p w14:paraId="050047B7" w14:textId="77777777" w:rsidR="00C56CF2" w:rsidRDefault="00C56CF2" w:rsidP="0068246C">
      <w:pPr>
        <w:pStyle w:val="ListParagraph"/>
        <w:numPr>
          <w:ilvl w:val="0"/>
          <w:numId w:val="5"/>
        </w:numPr>
      </w:pPr>
      <w:hyperlink r:id="rId37" w:history="1">
        <w:r w:rsidRPr="00DF6901">
          <w:rPr>
            <w:rStyle w:val="Hyperlink"/>
          </w:rPr>
          <w:t>https://lightgbm.readthedocs.io/en/latest/Parameters.html</w:t>
        </w:r>
      </w:hyperlink>
      <w:r>
        <w:t xml:space="preserve"> </w:t>
      </w:r>
    </w:p>
    <w:p w14:paraId="54C0D6E1" w14:textId="1E6F48F3" w:rsidR="00C56CF2" w:rsidRPr="0051287E" w:rsidRDefault="0051287E" w:rsidP="0068246C">
      <w:pPr>
        <w:pStyle w:val="ListParagraph"/>
        <w:numPr>
          <w:ilvl w:val="1"/>
          <w:numId w:val="5"/>
        </w:numPr>
      </w:pPr>
      <w:proofErr w:type="spellStart"/>
      <w:r>
        <w:t>Lightgbm</w:t>
      </w:r>
      <w:proofErr w:type="spellEnd"/>
      <w:r>
        <w:t xml:space="preserve"> </w:t>
      </w:r>
    </w:p>
    <w:p w14:paraId="7014EC56" w14:textId="4D95481E" w:rsidR="00EA6390" w:rsidRDefault="00A57307" w:rsidP="0068246C">
      <w:pPr>
        <w:pStyle w:val="ListParagraph"/>
        <w:numPr>
          <w:ilvl w:val="0"/>
          <w:numId w:val="5"/>
        </w:numPr>
        <w:rPr>
          <w:b/>
          <w:bCs/>
        </w:rPr>
      </w:pPr>
      <w:hyperlink r:id="rId38" w:history="1">
        <w:r w:rsidRPr="00610F4A">
          <w:rPr>
            <w:rStyle w:val="Hyperlink"/>
            <w:b/>
            <w:bCs/>
          </w:rPr>
          <w:t>https://dl.acm.org/doi/10.1145/3292500.3330701</w:t>
        </w:r>
      </w:hyperlink>
    </w:p>
    <w:p w14:paraId="6538ED0A" w14:textId="20FE315F" w:rsidR="00A57307" w:rsidRDefault="00A57307" w:rsidP="0068246C">
      <w:pPr>
        <w:pStyle w:val="ListParagraph"/>
        <w:numPr>
          <w:ilvl w:val="1"/>
          <w:numId w:val="5"/>
        </w:numPr>
      </w:pPr>
      <w:r w:rsidRPr="00A57307">
        <w:t xml:space="preserve">Optuna </w:t>
      </w:r>
    </w:p>
    <w:p w14:paraId="4D673907" w14:textId="77777777" w:rsidR="00B205D5" w:rsidRDefault="00B205D5" w:rsidP="0068246C">
      <w:pPr>
        <w:pStyle w:val="ListParagraph"/>
        <w:numPr>
          <w:ilvl w:val="0"/>
          <w:numId w:val="5"/>
        </w:numPr>
      </w:pPr>
      <w:hyperlink r:id="rId39" w:history="1">
        <w:r w:rsidRPr="00610F4A">
          <w:rPr>
            <w:rStyle w:val="Hyperlink"/>
          </w:rPr>
          <w:t>https://pmc.ncbi.nlm.nih.gov/articles/PMC10298658/</w:t>
        </w:r>
      </w:hyperlink>
      <w:r>
        <w:t xml:space="preserve"> </w:t>
      </w:r>
    </w:p>
    <w:p w14:paraId="163F502D" w14:textId="42ED1964" w:rsidR="00A57307" w:rsidRDefault="00B205D5" w:rsidP="0068246C">
      <w:pPr>
        <w:pStyle w:val="ListParagraph"/>
        <w:numPr>
          <w:ilvl w:val="1"/>
          <w:numId w:val="5"/>
        </w:numPr>
      </w:pPr>
      <w:r>
        <w:t xml:space="preserve">Ensemble methods review </w:t>
      </w:r>
    </w:p>
    <w:p w14:paraId="4AE409A4" w14:textId="299780DA" w:rsidR="009D7E1A" w:rsidRDefault="009D7E1A" w:rsidP="0068246C">
      <w:pPr>
        <w:pStyle w:val="ListParagraph"/>
        <w:numPr>
          <w:ilvl w:val="0"/>
          <w:numId w:val="5"/>
        </w:numPr>
      </w:pPr>
      <w:hyperlink r:id="rId40" w:history="1">
        <w:r w:rsidRPr="00610F4A">
          <w:rPr>
            <w:rStyle w:val="Hyperlink"/>
          </w:rPr>
          <w:t>https://scikit-learn.org/stable/modules/generated/sklearn.model_selection.train_test_split.html</w:t>
        </w:r>
      </w:hyperlink>
    </w:p>
    <w:p w14:paraId="0CE3C404" w14:textId="17FC30DB" w:rsidR="009D7E1A" w:rsidRDefault="009D7E1A" w:rsidP="0068246C">
      <w:pPr>
        <w:pStyle w:val="ListParagraph"/>
        <w:numPr>
          <w:ilvl w:val="1"/>
          <w:numId w:val="5"/>
        </w:numPr>
      </w:pPr>
      <w:r>
        <w:t>Train test split method</w:t>
      </w:r>
    </w:p>
    <w:p w14:paraId="32DA2557" w14:textId="36F01F5D" w:rsidR="00F01156" w:rsidRDefault="00F01156" w:rsidP="0068246C">
      <w:pPr>
        <w:pStyle w:val="ListParagraph"/>
        <w:numPr>
          <w:ilvl w:val="0"/>
          <w:numId w:val="5"/>
        </w:numPr>
      </w:pPr>
      <w:hyperlink r:id="rId41" w:history="1">
        <w:r w:rsidRPr="00610F4A">
          <w:rPr>
            <w:rStyle w:val="Hyperlink"/>
          </w:rPr>
          <w:t>https://scikit-learn.org/stable/modules/generated/sklearn.linear_model.ElasticNet.html</w:t>
        </w:r>
      </w:hyperlink>
    </w:p>
    <w:p w14:paraId="3971CC03" w14:textId="41ADD8BF" w:rsidR="00F01156" w:rsidRDefault="00F01156" w:rsidP="0068246C">
      <w:pPr>
        <w:pStyle w:val="ListParagraph"/>
        <w:numPr>
          <w:ilvl w:val="1"/>
          <w:numId w:val="5"/>
        </w:numPr>
      </w:pPr>
      <w:r>
        <w:t xml:space="preserve">Elastic net </w:t>
      </w:r>
    </w:p>
    <w:p w14:paraId="304D0FB0" w14:textId="5E1A91A2" w:rsidR="00F01156" w:rsidRDefault="00F01156" w:rsidP="0068246C">
      <w:pPr>
        <w:pStyle w:val="ListParagraph"/>
        <w:numPr>
          <w:ilvl w:val="0"/>
          <w:numId w:val="5"/>
        </w:numPr>
      </w:pPr>
      <w:hyperlink r:id="rId42" w:anchor="sklearn.svm.SVR" w:history="1">
        <w:r w:rsidRPr="00610F4A">
          <w:rPr>
            <w:rStyle w:val="Hyperlink"/>
          </w:rPr>
          <w:t>https://scikit-learn.org/stable/modules/generated/sklearn.svm.SVR.html#sklearn.svm.SVR</w:t>
        </w:r>
      </w:hyperlink>
    </w:p>
    <w:p w14:paraId="006650C3" w14:textId="4178545B" w:rsidR="00F01156" w:rsidRDefault="00F01156" w:rsidP="0068246C">
      <w:pPr>
        <w:pStyle w:val="ListParagraph"/>
        <w:numPr>
          <w:ilvl w:val="1"/>
          <w:numId w:val="5"/>
        </w:numPr>
      </w:pPr>
      <w:r>
        <w:t>Support vector regressor</w:t>
      </w:r>
    </w:p>
    <w:p w14:paraId="7F60AB1D" w14:textId="77777777" w:rsidR="00AA6A6E" w:rsidRDefault="00AA6A6E" w:rsidP="0068246C">
      <w:pPr>
        <w:pStyle w:val="ListParagraph"/>
        <w:numPr>
          <w:ilvl w:val="0"/>
          <w:numId w:val="5"/>
        </w:numPr>
      </w:pPr>
      <w:hyperlink r:id="rId43" w:history="1">
        <w:r w:rsidRPr="00610F4A">
          <w:rPr>
            <w:rStyle w:val="Hyperlink"/>
          </w:rPr>
          <w:t>https://academic.oup.com/jrsssb/article/67/2/301/7109482</w:t>
        </w:r>
      </w:hyperlink>
    </w:p>
    <w:p w14:paraId="3A91835A" w14:textId="77777777" w:rsidR="00AA6A6E" w:rsidRDefault="00AA6A6E" w:rsidP="0068246C">
      <w:pPr>
        <w:pStyle w:val="ListParagraph"/>
        <w:numPr>
          <w:ilvl w:val="1"/>
          <w:numId w:val="5"/>
        </w:numPr>
      </w:pPr>
      <w:r>
        <w:t xml:space="preserve">Elastic net </w:t>
      </w:r>
    </w:p>
    <w:p w14:paraId="7B68EB48" w14:textId="77777777" w:rsidR="00AA6A6E" w:rsidRDefault="00AA6A6E" w:rsidP="0068246C">
      <w:pPr>
        <w:pStyle w:val="ListParagraph"/>
        <w:numPr>
          <w:ilvl w:val="0"/>
          <w:numId w:val="5"/>
        </w:numPr>
      </w:pPr>
      <w:hyperlink r:id="rId44" w:history="1">
        <w:r w:rsidRPr="00610F4A">
          <w:rPr>
            <w:rStyle w:val="Hyperlink"/>
          </w:rPr>
          <w:t>file:///Users/rosalitarosenberg/Downloads/B_STCO.0000035301.49549.88.pdf</w:t>
        </w:r>
      </w:hyperlink>
    </w:p>
    <w:p w14:paraId="03173653" w14:textId="77777777" w:rsidR="00AA6A6E" w:rsidRDefault="00AA6A6E" w:rsidP="0068246C">
      <w:pPr>
        <w:pStyle w:val="ListParagraph"/>
        <w:numPr>
          <w:ilvl w:val="1"/>
          <w:numId w:val="5"/>
        </w:numPr>
      </w:pPr>
      <w:r>
        <w:t xml:space="preserve">A tutorial on support vector regression </w:t>
      </w:r>
    </w:p>
    <w:p w14:paraId="2C8BC9B9" w14:textId="77777777" w:rsidR="00AA6A6E" w:rsidRDefault="00AA6A6E" w:rsidP="0068246C">
      <w:pPr>
        <w:pStyle w:val="ListParagraph"/>
        <w:numPr>
          <w:ilvl w:val="1"/>
          <w:numId w:val="5"/>
        </w:numPr>
      </w:pPr>
      <w:r>
        <w:t xml:space="preserve">Smola and </w:t>
      </w:r>
      <w:proofErr w:type="spellStart"/>
      <w:r>
        <w:t>Sch¨olkopf</w:t>
      </w:r>
      <w:proofErr w:type="spellEnd"/>
    </w:p>
    <w:p w14:paraId="6CB79B72" w14:textId="77777777" w:rsidR="00CC6892" w:rsidRDefault="00CC6892" w:rsidP="0068246C">
      <w:pPr>
        <w:pStyle w:val="ListParagraph"/>
        <w:numPr>
          <w:ilvl w:val="0"/>
          <w:numId w:val="5"/>
        </w:numPr>
      </w:pPr>
      <w:hyperlink r:id="rId45" w:anchor="Abs1" w:history="1">
        <w:r w:rsidRPr="00610F4A">
          <w:rPr>
            <w:rStyle w:val="Hyperlink"/>
          </w:rPr>
          <w:t>https://www.nature.com/articles/s41598-024-71934-x#Abs1</w:t>
        </w:r>
      </w:hyperlink>
      <w:r>
        <w:t xml:space="preserve"> </w:t>
      </w:r>
      <w:r w:rsidRPr="00850637">
        <w:rPr>
          <w:noProof/>
        </w:rPr>
        <w:t xml:space="preserve"> </w:t>
      </w:r>
    </w:p>
    <w:p w14:paraId="17890A66" w14:textId="794B0089" w:rsidR="00AA6A6E" w:rsidRDefault="00CC6892" w:rsidP="0068246C">
      <w:pPr>
        <w:pStyle w:val="ListParagraph"/>
        <w:numPr>
          <w:ilvl w:val="1"/>
          <w:numId w:val="5"/>
        </w:numPr>
      </w:pPr>
      <w:r>
        <w:t xml:space="preserve">Ensemble </w:t>
      </w:r>
      <w:r w:rsidR="0068246C">
        <w:t>article with high performance from DT based methods</w:t>
      </w:r>
    </w:p>
    <w:p w14:paraId="330D007A" w14:textId="77777777" w:rsidR="0045380B" w:rsidRDefault="0045380B" w:rsidP="0045380B">
      <w:pPr>
        <w:pStyle w:val="ListParagraph"/>
        <w:numPr>
          <w:ilvl w:val="0"/>
          <w:numId w:val="5"/>
        </w:numPr>
        <w:jc w:val="both"/>
      </w:pPr>
      <w:hyperlink r:id="rId46" w:history="1">
        <w:r w:rsidRPr="00610F4A">
          <w:rPr>
            <w:rStyle w:val="Hyperlink"/>
          </w:rPr>
          <w:t>https://www.who.int/data/gho/data/indicators/indicator-details/GHO/maternal-mortality-ratio-(per-100-000-live-births)</w:t>
        </w:r>
      </w:hyperlink>
      <w:r>
        <w:t xml:space="preserve"> </w:t>
      </w:r>
    </w:p>
    <w:p w14:paraId="0F094E83" w14:textId="66A91668" w:rsidR="0045380B" w:rsidRDefault="0045380B" w:rsidP="0045380B">
      <w:pPr>
        <w:pStyle w:val="ListParagraph"/>
        <w:numPr>
          <w:ilvl w:val="1"/>
          <w:numId w:val="5"/>
        </w:numPr>
        <w:jc w:val="both"/>
      </w:pPr>
      <w:r>
        <w:t xml:space="preserve">UN MMEIG data </w:t>
      </w:r>
    </w:p>
    <w:p w14:paraId="14D81978" w14:textId="77777777" w:rsidR="0045380B" w:rsidRDefault="0045380B" w:rsidP="0045380B">
      <w:pPr>
        <w:pStyle w:val="ListParagraph"/>
        <w:numPr>
          <w:ilvl w:val="0"/>
          <w:numId w:val="5"/>
        </w:numPr>
        <w:jc w:val="both"/>
      </w:pPr>
      <w:r>
        <w:t>Global Burden of Disease Collaborative Network.</w:t>
      </w:r>
    </w:p>
    <w:p w14:paraId="4155DF92" w14:textId="77777777" w:rsidR="0045380B" w:rsidRDefault="0045380B" w:rsidP="0045380B">
      <w:pPr>
        <w:pStyle w:val="ListParagraph"/>
        <w:numPr>
          <w:ilvl w:val="1"/>
          <w:numId w:val="5"/>
        </w:numPr>
        <w:jc w:val="both"/>
      </w:pPr>
      <w:r>
        <w:t>Global Burden of Disease Study 2021 (GBD 2021) Results.</w:t>
      </w:r>
    </w:p>
    <w:p w14:paraId="166EA8C0" w14:textId="77777777" w:rsidR="0045380B" w:rsidRDefault="0045380B" w:rsidP="0045380B">
      <w:pPr>
        <w:pStyle w:val="ListParagraph"/>
        <w:numPr>
          <w:ilvl w:val="1"/>
          <w:numId w:val="5"/>
        </w:numPr>
        <w:jc w:val="both"/>
      </w:pPr>
      <w:r>
        <w:t>Seattle, United States: Institute for Health Metrics and Evaluation (IHME), 2022.</w:t>
      </w:r>
    </w:p>
    <w:p w14:paraId="2E4C96E2" w14:textId="77777777" w:rsidR="0045380B" w:rsidRDefault="0045380B" w:rsidP="0045380B">
      <w:pPr>
        <w:pStyle w:val="ListParagraph"/>
        <w:numPr>
          <w:ilvl w:val="1"/>
          <w:numId w:val="5"/>
        </w:numPr>
        <w:jc w:val="both"/>
      </w:pPr>
      <w:r>
        <w:t xml:space="preserve">Available from </w:t>
      </w:r>
      <w:hyperlink r:id="rId47" w:history="1">
        <w:r w:rsidRPr="00610F4A">
          <w:rPr>
            <w:rStyle w:val="Hyperlink"/>
          </w:rPr>
          <w:t>https://vizhub.healthdata.org/gbd-results/</w:t>
        </w:r>
      </w:hyperlink>
      <w:r>
        <w:t>.</w:t>
      </w:r>
    </w:p>
    <w:p w14:paraId="4B451A5E" w14:textId="77777777" w:rsidR="0045380B" w:rsidRDefault="0045380B" w:rsidP="0045380B">
      <w:pPr>
        <w:pStyle w:val="ListParagraph"/>
        <w:numPr>
          <w:ilvl w:val="0"/>
          <w:numId w:val="5"/>
        </w:numPr>
        <w:jc w:val="both"/>
      </w:pPr>
      <w:r>
        <w:rPr>
          <w:rFonts w:ascii="Helvetica Neue" w:hAnsi="Helvetica Neue"/>
          <w:color w:val="333333"/>
          <w:sz w:val="21"/>
          <w:szCs w:val="21"/>
          <w:shd w:val="clear" w:color="auto" w:fill="ECF6FB"/>
        </w:rPr>
        <w:t>Ward, Zachary, 2023, "Simulation Results: Global, regional, and country-level maternal mortality by cause, 1990-2050", </w:t>
      </w:r>
      <w:hyperlink r:id="rId48" w:tgtFrame="_blank" w:history="1">
        <w:r>
          <w:rPr>
            <w:rStyle w:val="Hyperlink"/>
            <w:rFonts w:ascii="Helvetica Neue" w:eastAsiaTheme="majorEastAsia" w:hAnsi="Helvetica Neue"/>
            <w:color w:val="3174AF"/>
            <w:sz w:val="21"/>
            <w:szCs w:val="21"/>
            <w:shd w:val="clear" w:color="auto" w:fill="ECF6FB"/>
          </w:rPr>
          <w:t>https://doi.org/10.7910/DVN/UBGY9P</w:t>
        </w:r>
      </w:hyperlink>
      <w:r>
        <w:rPr>
          <w:rFonts w:ascii="Helvetica Neue" w:hAnsi="Helvetica Neue"/>
          <w:color w:val="333333"/>
          <w:sz w:val="21"/>
          <w:szCs w:val="21"/>
          <w:shd w:val="clear" w:color="auto" w:fill="ECF6FB"/>
        </w:rPr>
        <w:t>, Harvard Dataverse, V1, UNF:6:YbDwFpLTGF39vO7onL7qww== [</w:t>
      </w:r>
      <w:proofErr w:type="spellStart"/>
      <w:r>
        <w:rPr>
          <w:rFonts w:ascii="Helvetica Neue" w:hAnsi="Helvetica Neue"/>
          <w:color w:val="333333"/>
          <w:sz w:val="21"/>
          <w:szCs w:val="21"/>
          <w:shd w:val="clear" w:color="auto" w:fill="ECF6FB"/>
        </w:rPr>
        <w:t>fileUNF</w:t>
      </w:r>
      <w:proofErr w:type="spellEnd"/>
      <w:r>
        <w:rPr>
          <w:rFonts w:ascii="Helvetica Neue" w:hAnsi="Helvetica Neue"/>
          <w:color w:val="333333"/>
          <w:sz w:val="21"/>
          <w:szCs w:val="21"/>
          <w:shd w:val="clear" w:color="auto" w:fill="ECF6FB"/>
        </w:rPr>
        <w:t>]</w:t>
      </w:r>
    </w:p>
    <w:p w14:paraId="48DE105C" w14:textId="364EE673" w:rsidR="005F648E" w:rsidRDefault="005F648E" w:rsidP="005F648E">
      <w:pPr>
        <w:pStyle w:val="ListParagraph"/>
        <w:numPr>
          <w:ilvl w:val="0"/>
          <w:numId w:val="5"/>
        </w:numPr>
      </w:pPr>
      <w:hyperlink r:id="rId49" w:history="1">
        <w:r w:rsidRPr="00610F4A">
          <w:rPr>
            <w:rStyle w:val="Hyperlink"/>
          </w:rPr>
          <w:t>https://genderdata.worldbank.org/en/indicator/sh-sta-mmrt?estimate=National</w:t>
        </w:r>
      </w:hyperlink>
      <w:r>
        <w:t xml:space="preserve"> </w:t>
      </w:r>
    </w:p>
    <w:p w14:paraId="10ACD523" w14:textId="1FA2F001" w:rsidR="005F648E" w:rsidRDefault="005F648E" w:rsidP="005F648E">
      <w:pPr>
        <w:pStyle w:val="ListParagraph"/>
        <w:numPr>
          <w:ilvl w:val="1"/>
          <w:numId w:val="5"/>
        </w:numPr>
      </w:pPr>
      <w:proofErr w:type="spellStart"/>
      <w:r>
        <w:t>Mmr</w:t>
      </w:r>
      <w:proofErr w:type="spellEnd"/>
      <w:r>
        <w:t xml:space="preserve"> data </w:t>
      </w:r>
    </w:p>
    <w:p w14:paraId="5CBCE79E" w14:textId="77777777" w:rsidR="005F648E" w:rsidRDefault="005F648E" w:rsidP="005F648E">
      <w:pPr>
        <w:pStyle w:val="ListParagraph"/>
        <w:numPr>
          <w:ilvl w:val="0"/>
          <w:numId w:val="5"/>
        </w:numPr>
      </w:pPr>
      <w:hyperlink r:id="rId50" w:anchor="idAllIndicators" w:history="1">
        <w:r w:rsidRPr="00D75DB9">
          <w:rPr>
            <w:rStyle w:val="Hyperlink"/>
          </w:rPr>
          <w:t>https://genderdata.worldbank.org/en/topics/health#idAllIndicators</w:t>
        </w:r>
      </w:hyperlink>
      <w:r>
        <w:t xml:space="preserve"> </w:t>
      </w:r>
    </w:p>
    <w:p w14:paraId="70B31587" w14:textId="42A32BA9" w:rsidR="00EE7463" w:rsidRDefault="00EE7463" w:rsidP="00EE7463">
      <w:pPr>
        <w:pStyle w:val="ListParagraph"/>
        <w:numPr>
          <w:ilvl w:val="1"/>
          <w:numId w:val="5"/>
        </w:numPr>
      </w:pPr>
      <w:r>
        <w:t>World bank data</w:t>
      </w:r>
    </w:p>
    <w:p w14:paraId="0F6E4619" w14:textId="1D3E4883" w:rsidR="00BB767A" w:rsidRDefault="00EE7463" w:rsidP="005F648E">
      <w:pPr>
        <w:pStyle w:val="ListParagraph"/>
        <w:numPr>
          <w:ilvl w:val="0"/>
          <w:numId w:val="5"/>
        </w:numPr>
      </w:pPr>
      <w:hyperlink r:id="rId51" w:anchor="swper" w:history="1">
        <w:r w:rsidRPr="00610F4A">
          <w:rPr>
            <w:rStyle w:val="Hyperlink"/>
          </w:rPr>
          <w:t>https://www.who.int/data/sets/health-inequality-monitor-dataset#swper</w:t>
        </w:r>
      </w:hyperlink>
      <w:r>
        <w:t xml:space="preserve"> </w:t>
      </w:r>
    </w:p>
    <w:p w14:paraId="169C499D" w14:textId="6AC79F90" w:rsidR="00EE7463" w:rsidRDefault="00EE7463" w:rsidP="00EE7463">
      <w:pPr>
        <w:pStyle w:val="ListParagraph"/>
        <w:numPr>
          <w:ilvl w:val="1"/>
          <w:numId w:val="5"/>
        </w:numPr>
      </w:pPr>
      <w:r>
        <w:t>Empowerment data</w:t>
      </w:r>
    </w:p>
    <w:p w14:paraId="0169A0DE" w14:textId="20649BDE" w:rsidR="00EE7463" w:rsidRDefault="00EE7463" w:rsidP="00EE7463">
      <w:pPr>
        <w:pStyle w:val="ListParagraph"/>
        <w:numPr>
          <w:ilvl w:val="0"/>
          <w:numId w:val="5"/>
        </w:numPr>
      </w:pPr>
      <w:hyperlink r:id="rId52" w:anchor="wb" w:history="1">
        <w:r w:rsidRPr="00610F4A">
          <w:rPr>
            <w:rStyle w:val="Hyperlink"/>
          </w:rPr>
          <w:t>https://www.who.int/data/sets/health-inequality-monitor-dataset#wb</w:t>
        </w:r>
      </w:hyperlink>
    </w:p>
    <w:p w14:paraId="4DDC900B" w14:textId="07D1669B" w:rsidR="00EE7463" w:rsidRDefault="00EE7463" w:rsidP="00EE7463">
      <w:pPr>
        <w:pStyle w:val="ListParagraph"/>
        <w:numPr>
          <w:ilvl w:val="1"/>
          <w:numId w:val="5"/>
        </w:numPr>
      </w:pPr>
      <w:r>
        <w:t>Health determinants data (mostly economic)</w:t>
      </w:r>
    </w:p>
    <w:p w14:paraId="3DD51D73" w14:textId="75686071" w:rsidR="00383EEB" w:rsidRDefault="00383EEB" w:rsidP="00383EEB">
      <w:pPr>
        <w:pStyle w:val="ListParagraph"/>
        <w:numPr>
          <w:ilvl w:val="0"/>
          <w:numId w:val="5"/>
        </w:numPr>
      </w:pPr>
      <w:hyperlink r:id="rId53" w:anchor="ihme-gbd" w:history="1">
        <w:r w:rsidRPr="00610F4A">
          <w:rPr>
            <w:rStyle w:val="Hyperlink"/>
          </w:rPr>
          <w:t>https://www.who.int/data/sets/health-inequality-monitor-dataset#ihme-gbd</w:t>
        </w:r>
      </w:hyperlink>
    </w:p>
    <w:p w14:paraId="153D61F2" w14:textId="7018DB26" w:rsidR="005B2682" w:rsidRDefault="00383EEB" w:rsidP="005B2682">
      <w:pPr>
        <w:pStyle w:val="ListParagraph"/>
        <w:numPr>
          <w:ilvl w:val="1"/>
          <w:numId w:val="5"/>
        </w:numPr>
      </w:pPr>
      <w:r>
        <w:t>Illness prevalence data</w:t>
      </w:r>
    </w:p>
    <w:p w14:paraId="76D4FC14" w14:textId="403848D3" w:rsidR="00203B5A" w:rsidRPr="00203B5A" w:rsidRDefault="00203B5A" w:rsidP="00203B5A">
      <w:pPr>
        <w:pStyle w:val="ListParagraph"/>
        <w:numPr>
          <w:ilvl w:val="0"/>
          <w:numId w:val="5"/>
        </w:numPr>
        <w:shd w:val="clear" w:color="auto" w:fill="FFFFFF"/>
        <w:spacing w:line="270" w:lineRule="atLeast"/>
        <w:rPr>
          <w:rFonts w:ascii="Menlo" w:hAnsi="Menlo" w:cs="Menlo"/>
          <w:color w:val="000000"/>
          <w:sz w:val="18"/>
          <w:szCs w:val="18"/>
        </w:rPr>
      </w:pPr>
      <w:hyperlink r:id="rId54"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6FE1B484" w14:textId="1C5A1086" w:rsidR="00203B5A" w:rsidRPr="00383EEB" w:rsidRDefault="00203B5A" w:rsidP="00203B5A">
      <w:pPr>
        <w:pStyle w:val="ListParagraph"/>
        <w:numPr>
          <w:ilvl w:val="1"/>
          <w:numId w:val="5"/>
        </w:numPr>
      </w:pPr>
      <w:r>
        <w:t>Income level data</w:t>
      </w:r>
    </w:p>
    <w:sectPr w:rsidR="00203B5A" w:rsidRPr="00383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CC451" w14:textId="77777777" w:rsidR="00DB4A44" w:rsidRDefault="00DB4A44" w:rsidP="00635054">
      <w:r>
        <w:separator/>
      </w:r>
    </w:p>
  </w:endnote>
  <w:endnote w:type="continuationSeparator" w:id="0">
    <w:p w14:paraId="19505B55" w14:textId="77777777" w:rsidR="00DB4A44" w:rsidRDefault="00DB4A44" w:rsidP="0063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BB528" w14:textId="77777777" w:rsidR="00DB4A44" w:rsidRDefault="00DB4A44" w:rsidP="00635054">
      <w:r>
        <w:separator/>
      </w:r>
    </w:p>
  </w:footnote>
  <w:footnote w:type="continuationSeparator" w:id="0">
    <w:p w14:paraId="6AD5AD95" w14:textId="77777777" w:rsidR="00DB4A44" w:rsidRDefault="00DB4A44" w:rsidP="00635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27C95"/>
    <w:multiLevelType w:val="hybridMultilevel"/>
    <w:tmpl w:val="12E8BD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D5420C"/>
    <w:multiLevelType w:val="hybridMultilevel"/>
    <w:tmpl w:val="5CF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F518BC"/>
    <w:multiLevelType w:val="hybridMultilevel"/>
    <w:tmpl w:val="537A05D6"/>
    <w:lvl w:ilvl="0" w:tplc="274CE73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F16DD"/>
    <w:multiLevelType w:val="hybridMultilevel"/>
    <w:tmpl w:val="B79206E8"/>
    <w:lvl w:ilvl="0" w:tplc="4280A3F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AC7515"/>
    <w:multiLevelType w:val="multilevel"/>
    <w:tmpl w:val="094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118EE"/>
    <w:multiLevelType w:val="hybridMultilevel"/>
    <w:tmpl w:val="B1327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35748C"/>
    <w:multiLevelType w:val="hybridMultilevel"/>
    <w:tmpl w:val="D87A4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F2218F"/>
    <w:multiLevelType w:val="hybridMultilevel"/>
    <w:tmpl w:val="5C549584"/>
    <w:lvl w:ilvl="0" w:tplc="BD30564C">
      <w:start w:val="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868A9"/>
    <w:multiLevelType w:val="multilevel"/>
    <w:tmpl w:val="F03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7412E"/>
    <w:multiLevelType w:val="hybridMultilevel"/>
    <w:tmpl w:val="0EE85B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74271E"/>
    <w:multiLevelType w:val="hybridMultilevel"/>
    <w:tmpl w:val="A1E2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DC24A4"/>
    <w:multiLevelType w:val="hybridMultilevel"/>
    <w:tmpl w:val="7A20A410"/>
    <w:lvl w:ilvl="0" w:tplc="08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4561404">
    <w:abstractNumId w:val="0"/>
  </w:num>
  <w:num w:numId="2" w16cid:durableId="1515146904">
    <w:abstractNumId w:val="10"/>
  </w:num>
  <w:num w:numId="3" w16cid:durableId="157498484">
    <w:abstractNumId w:val="11"/>
  </w:num>
  <w:num w:numId="4" w16cid:durableId="1670404983">
    <w:abstractNumId w:val="3"/>
  </w:num>
  <w:num w:numId="5" w16cid:durableId="875309544">
    <w:abstractNumId w:val="5"/>
  </w:num>
  <w:num w:numId="6" w16cid:durableId="1290017560">
    <w:abstractNumId w:val="2"/>
  </w:num>
  <w:num w:numId="7" w16cid:durableId="2074623473">
    <w:abstractNumId w:val="9"/>
  </w:num>
  <w:num w:numId="8" w16cid:durableId="1070270915">
    <w:abstractNumId w:val="7"/>
  </w:num>
  <w:num w:numId="9" w16cid:durableId="871066530">
    <w:abstractNumId w:val="6"/>
  </w:num>
  <w:num w:numId="10" w16cid:durableId="835801921">
    <w:abstractNumId w:val="4"/>
  </w:num>
  <w:num w:numId="11" w16cid:durableId="1912806054">
    <w:abstractNumId w:val="8"/>
  </w:num>
  <w:num w:numId="12" w16cid:durableId="1883789408">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F4"/>
    <w:rsid w:val="00002232"/>
    <w:rsid w:val="0000250B"/>
    <w:rsid w:val="000027CC"/>
    <w:rsid w:val="000049E0"/>
    <w:rsid w:val="00005649"/>
    <w:rsid w:val="00005D58"/>
    <w:rsid w:val="0001377A"/>
    <w:rsid w:val="00013B21"/>
    <w:rsid w:val="00013E57"/>
    <w:rsid w:val="00014088"/>
    <w:rsid w:val="0001412B"/>
    <w:rsid w:val="00014DAA"/>
    <w:rsid w:val="00015E48"/>
    <w:rsid w:val="00020FD2"/>
    <w:rsid w:val="0002219D"/>
    <w:rsid w:val="00022626"/>
    <w:rsid w:val="00022866"/>
    <w:rsid w:val="000243DD"/>
    <w:rsid w:val="00024D67"/>
    <w:rsid w:val="00024FAF"/>
    <w:rsid w:val="00026390"/>
    <w:rsid w:val="000269B5"/>
    <w:rsid w:val="00027977"/>
    <w:rsid w:val="00030CCE"/>
    <w:rsid w:val="0003246D"/>
    <w:rsid w:val="00033050"/>
    <w:rsid w:val="000338E5"/>
    <w:rsid w:val="0003403B"/>
    <w:rsid w:val="000343FF"/>
    <w:rsid w:val="00034D55"/>
    <w:rsid w:val="00037F00"/>
    <w:rsid w:val="00040EC0"/>
    <w:rsid w:val="000422EB"/>
    <w:rsid w:val="000426AF"/>
    <w:rsid w:val="00042981"/>
    <w:rsid w:val="00046E2C"/>
    <w:rsid w:val="00046F29"/>
    <w:rsid w:val="0005003B"/>
    <w:rsid w:val="00052869"/>
    <w:rsid w:val="00053B21"/>
    <w:rsid w:val="00054828"/>
    <w:rsid w:val="000548D1"/>
    <w:rsid w:val="000563F4"/>
    <w:rsid w:val="00056B6D"/>
    <w:rsid w:val="00056F71"/>
    <w:rsid w:val="00057DCA"/>
    <w:rsid w:val="00060B9F"/>
    <w:rsid w:val="000611C1"/>
    <w:rsid w:val="00064B94"/>
    <w:rsid w:val="00065383"/>
    <w:rsid w:val="00066877"/>
    <w:rsid w:val="00067581"/>
    <w:rsid w:val="000701FB"/>
    <w:rsid w:val="00071B98"/>
    <w:rsid w:val="000724F0"/>
    <w:rsid w:val="00072DFE"/>
    <w:rsid w:val="000745B7"/>
    <w:rsid w:val="000749C3"/>
    <w:rsid w:val="00074AA6"/>
    <w:rsid w:val="000761C5"/>
    <w:rsid w:val="00076A3E"/>
    <w:rsid w:val="00081998"/>
    <w:rsid w:val="000820C2"/>
    <w:rsid w:val="000839CC"/>
    <w:rsid w:val="00083E9C"/>
    <w:rsid w:val="0008529A"/>
    <w:rsid w:val="0008550A"/>
    <w:rsid w:val="0008701C"/>
    <w:rsid w:val="0008716F"/>
    <w:rsid w:val="00087931"/>
    <w:rsid w:val="00093869"/>
    <w:rsid w:val="00094422"/>
    <w:rsid w:val="00094DEB"/>
    <w:rsid w:val="00094F3C"/>
    <w:rsid w:val="0009527A"/>
    <w:rsid w:val="00096A36"/>
    <w:rsid w:val="00096E11"/>
    <w:rsid w:val="000A00A1"/>
    <w:rsid w:val="000A09A5"/>
    <w:rsid w:val="000A1FE4"/>
    <w:rsid w:val="000A20D3"/>
    <w:rsid w:val="000A536C"/>
    <w:rsid w:val="000A6907"/>
    <w:rsid w:val="000A6AD3"/>
    <w:rsid w:val="000B07DC"/>
    <w:rsid w:val="000B28C8"/>
    <w:rsid w:val="000B4C9A"/>
    <w:rsid w:val="000B5775"/>
    <w:rsid w:val="000B5EA0"/>
    <w:rsid w:val="000B719C"/>
    <w:rsid w:val="000C1E99"/>
    <w:rsid w:val="000C283C"/>
    <w:rsid w:val="000C2EC8"/>
    <w:rsid w:val="000C7462"/>
    <w:rsid w:val="000D10D3"/>
    <w:rsid w:val="000D6C93"/>
    <w:rsid w:val="000E38C3"/>
    <w:rsid w:val="000E67A6"/>
    <w:rsid w:val="000E7503"/>
    <w:rsid w:val="000E77FC"/>
    <w:rsid w:val="000E78F3"/>
    <w:rsid w:val="000F331C"/>
    <w:rsid w:val="000F4934"/>
    <w:rsid w:val="000F4A44"/>
    <w:rsid w:val="000F6364"/>
    <w:rsid w:val="000F77FF"/>
    <w:rsid w:val="000F7F44"/>
    <w:rsid w:val="00100A17"/>
    <w:rsid w:val="00101EA1"/>
    <w:rsid w:val="00104107"/>
    <w:rsid w:val="001061B6"/>
    <w:rsid w:val="00112256"/>
    <w:rsid w:val="00112C46"/>
    <w:rsid w:val="00117CEE"/>
    <w:rsid w:val="00117DFF"/>
    <w:rsid w:val="001202C9"/>
    <w:rsid w:val="001208A9"/>
    <w:rsid w:val="00121C7F"/>
    <w:rsid w:val="0012236E"/>
    <w:rsid w:val="00122895"/>
    <w:rsid w:val="0012293B"/>
    <w:rsid w:val="00122F36"/>
    <w:rsid w:val="001240E5"/>
    <w:rsid w:val="00125450"/>
    <w:rsid w:val="00125E3F"/>
    <w:rsid w:val="001262E0"/>
    <w:rsid w:val="00127E84"/>
    <w:rsid w:val="0013010B"/>
    <w:rsid w:val="0013015C"/>
    <w:rsid w:val="001313E6"/>
    <w:rsid w:val="00132BD8"/>
    <w:rsid w:val="001354B3"/>
    <w:rsid w:val="00136353"/>
    <w:rsid w:val="00142F0E"/>
    <w:rsid w:val="00144E59"/>
    <w:rsid w:val="00144EB5"/>
    <w:rsid w:val="00145DE6"/>
    <w:rsid w:val="0014706C"/>
    <w:rsid w:val="001503E2"/>
    <w:rsid w:val="00152038"/>
    <w:rsid w:val="00152405"/>
    <w:rsid w:val="001529BB"/>
    <w:rsid w:val="001550C4"/>
    <w:rsid w:val="0015663F"/>
    <w:rsid w:val="0015723B"/>
    <w:rsid w:val="00160003"/>
    <w:rsid w:val="001608BE"/>
    <w:rsid w:val="001612EA"/>
    <w:rsid w:val="0016332B"/>
    <w:rsid w:val="00163808"/>
    <w:rsid w:val="00171624"/>
    <w:rsid w:val="00171CF8"/>
    <w:rsid w:val="00172D8B"/>
    <w:rsid w:val="00173B87"/>
    <w:rsid w:val="00180E2F"/>
    <w:rsid w:val="001819C2"/>
    <w:rsid w:val="00181D44"/>
    <w:rsid w:val="001832FD"/>
    <w:rsid w:val="00184873"/>
    <w:rsid w:val="00191824"/>
    <w:rsid w:val="00191D34"/>
    <w:rsid w:val="00191E47"/>
    <w:rsid w:val="00191E78"/>
    <w:rsid w:val="0019590D"/>
    <w:rsid w:val="00196208"/>
    <w:rsid w:val="001971A3"/>
    <w:rsid w:val="001A0222"/>
    <w:rsid w:val="001A0562"/>
    <w:rsid w:val="001A176E"/>
    <w:rsid w:val="001A1966"/>
    <w:rsid w:val="001A3921"/>
    <w:rsid w:val="001A3D37"/>
    <w:rsid w:val="001B0871"/>
    <w:rsid w:val="001B08A8"/>
    <w:rsid w:val="001B1366"/>
    <w:rsid w:val="001B1991"/>
    <w:rsid w:val="001B23D9"/>
    <w:rsid w:val="001B4EBE"/>
    <w:rsid w:val="001B51F6"/>
    <w:rsid w:val="001B637E"/>
    <w:rsid w:val="001B6896"/>
    <w:rsid w:val="001B6CA4"/>
    <w:rsid w:val="001B6EE8"/>
    <w:rsid w:val="001B756E"/>
    <w:rsid w:val="001C0E4F"/>
    <w:rsid w:val="001C25BB"/>
    <w:rsid w:val="001C2C28"/>
    <w:rsid w:val="001C307D"/>
    <w:rsid w:val="001C4AF5"/>
    <w:rsid w:val="001C6550"/>
    <w:rsid w:val="001D032C"/>
    <w:rsid w:val="001D0AF8"/>
    <w:rsid w:val="001D2F72"/>
    <w:rsid w:val="001D4282"/>
    <w:rsid w:val="001D5382"/>
    <w:rsid w:val="001D6DF4"/>
    <w:rsid w:val="001E0966"/>
    <w:rsid w:val="001E0BD2"/>
    <w:rsid w:val="001E0F4B"/>
    <w:rsid w:val="001E2530"/>
    <w:rsid w:val="001E275D"/>
    <w:rsid w:val="001E4333"/>
    <w:rsid w:val="001E476C"/>
    <w:rsid w:val="001E7D80"/>
    <w:rsid w:val="001F00EE"/>
    <w:rsid w:val="001F0C32"/>
    <w:rsid w:val="001F2CDC"/>
    <w:rsid w:val="001F4305"/>
    <w:rsid w:val="001F45C2"/>
    <w:rsid w:val="001F58C7"/>
    <w:rsid w:val="001F5DDB"/>
    <w:rsid w:val="001F6FC0"/>
    <w:rsid w:val="001F78EC"/>
    <w:rsid w:val="001F7CFC"/>
    <w:rsid w:val="0020044F"/>
    <w:rsid w:val="002014E7"/>
    <w:rsid w:val="00202F17"/>
    <w:rsid w:val="00203830"/>
    <w:rsid w:val="00203B5A"/>
    <w:rsid w:val="00205D89"/>
    <w:rsid w:val="002076DF"/>
    <w:rsid w:val="002104B3"/>
    <w:rsid w:val="00210AC3"/>
    <w:rsid w:val="00210D1C"/>
    <w:rsid w:val="00212E0A"/>
    <w:rsid w:val="002130B6"/>
    <w:rsid w:val="0021349C"/>
    <w:rsid w:val="00215C2C"/>
    <w:rsid w:val="00216283"/>
    <w:rsid w:val="00217312"/>
    <w:rsid w:val="002211ED"/>
    <w:rsid w:val="002219A7"/>
    <w:rsid w:val="00221FEB"/>
    <w:rsid w:val="00225E89"/>
    <w:rsid w:val="00226784"/>
    <w:rsid w:val="00230189"/>
    <w:rsid w:val="0023072B"/>
    <w:rsid w:val="0023150B"/>
    <w:rsid w:val="00231E58"/>
    <w:rsid w:val="0023431E"/>
    <w:rsid w:val="00234423"/>
    <w:rsid w:val="00235195"/>
    <w:rsid w:val="00243766"/>
    <w:rsid w:val="002455CD"/>
    <w:rsid w:val="00247BFC"/>
    <w:rsid w:val="002500B5"/>
    <w:rsid w:val="002519DD"/>
    <w:rsid w:val="00254271"/>
    <w:rsid w:val="0025432D"/>
    <w:rsid w:val="00257647"/>
    <w:rsid w:val="00261553"/>
    <w:rsid w:val="00261FD5"/>
    <w:rsid w:val="0026260E"/>
    <w:rsid w:val="00263537"/>
    <w:rsid w:val="00263CF2"/>
    <w:rsid w:val="00264770"/>
    <w:rsid w:val="002667E9"/>
    <w:rsid w:val="00272349"/>
    <w:rsid w:val="0027574F"/>
    <w:rsid w:val="00276CE5"/>
    <w:rsid w:val="002800EE"/>
    <w:rsid w:val="00280A89"/>
    <w:rsid w:val="002819F0"/>
    <w:rsid w:val="00282869"/>
    <w:rsid w:val="00282A04"/>
    <w:rsid w:val="00284B73"/>
    <w:rsid w:val="0028593C"/>
    <w:rsid w:val="002866DD"/>
    <w:rsid w:val="00286807"/>
    <w:rsid w:val="0028756E"/>
    <w:rsid w:val="0029084B"/>
    <w:rsid w:val="002917A5"/>
    <w:rsid w:val="0029311F"/>
    <w:rsid w:val="00293131"/>
    <w:rsid w:val="002971A2"/>
    <w:rsid w:val="00297688"/>
    <w:rsid w:val="002A0B93"/>
    <w:rsid w:val="002A1496"/>
    <w:rsid w:val="002A1AF3"/>
    <w:rsid w:val="002A3774"/>
    <w:rsid w:val="002A5300"/>
    <w:rsid w:val="002A59D6"/>
    <w:rsid w:val="002A67A2"/>
    <w:rsid w:val="002A6F5E"/>
    <w:rsid w:val="002B1FA7"/>
    <w:rsid w:val="002B5DA3"/>
    <w:rsid w:val="002B6482"/>
    <w:rsid w:val="002B6D5A"/>
    <w:rsid w:val="002B7E4F"/>
    <w:rsid w:val="002C0FE3"/>
    <w:rsid w:val="002C488C"/>
    <w:rsid w:val="002C5554"/>
    <w:rsid w:val="002C628B"/>
    <w:rsid w:val="002C6E14"/>
    <w:rsid w:val="002C7DD4"/>
    <w:rsid w:val="002D13C5"/>
    <w:rsid w:val="002D2825"/>
    <w:rsid w:val="002D2E6D"/>
    <w:rsid w:val="002D3883"/>
    <w:rsid w:val="002D47E0"/>
    <w:rsid w:val="002D6587"/>
    <w:rsid w:val="002D7DBC"/>
    <w:rsid w:val="002E038F"/>
    <w:rsid w:val="002E53EB"/>
    <w:rsid w:val="002E6156"/>
    <w:rsid w:val="002E61C9"/>
    <w:rsid w:val="002E7E66"/>
    <w:rsid w:val="002F0018"/>
    <w:rsid w:val="002F077C"/>
    <w:rsid w:val="002F0A22"/>
    <w:rsid w:val="002F13A1"/>
    <w:rsid w:val="002F3367"/>
    <w:rsid w:val="002F3B75"/>
    <w:rsid w:val="002F4404"/>
    <w:rsid w:val="002F4C5A"/>
    <w:rsid w:val="002F71A4"/>
    <w:rsid w:val="002F766B"/>
    <w:rsid w:val="0030125A"/>
    <w:rsid w:val="003027FD"/>
    <w:rsid w:val="00304766"/>
    <w:rsid w:val="003052FB"/>
    <w:rsid w:val="00305445"/>
    <w:rsid w:val="003059DA"/>
    <w:rsid w:val="0031000B"/>
    <w:rsid w:val="00312526"/>
    <w:rsid w:val="0031334A"/>
    <w:rsid w:val="00314DC7"/>
    <w:rsid w:val="00314FA6"/>
    <w:rsid w:val="003157E5"/>
    <w:rsid w:val="00316782"/>
    <w:rsid w:val="00317399"/>
    <w:rsid w:val="003201C0"/>
    <w:rsid w:val="00321671"/>
    <w:rsid w:val="0032278C"/>
    <w:rsid w:val="00323629"/>
    <w:rsid w:val="003238CE"/>
    <w:rsid w:val="00323CD9"/>
    <w:rsid w:val="00324910"/>
    <w:rsid w:val="00330A6C"/>
    <w:rsid w:val="003346B8"/>
    <w:rsid w:val="003353C2"/>
    <w:rsid w:val="00335D48"/>
    <w:rsid w:val="00335F4F"/>
    <w:rsid w:val="00337FC0"/>
    <w:rsid w:val="00340B36"/>
    <w:rsid w:val="0034115F"/>
    <w:rsid w:val="003418AD"/>
    <w:rsid w:val="003439EC"/>
    <w:rsid w:val="00344DAF"/>
    <w:rsid w:val="003452AC"/>
    <w:rsid w:val="00346644"/>
    <w:rsid w:val="003467FC"/>
    <w:rsid w:val="00346A42"/>
    <w:rsid w:val="00346A4E"/>
    <w:rsid w:val="00350295"/>
    <w:rsid w:val="00350D0F"/>
    <w:rsid w:val="0035102B"/>
    <w:rsid w:val="003516F5"/>
    <w:rsid w:val="00351E74"/>
    <w:rsid w:val="00354400"/>
    <w:rsid w:val="003556BD"/>
    <w:rsid w:val="00355737"/>
    <w:rsid w:val="0036163A"/>
    <w:rsid w:val="003626B3"/>
    <w:rsid w:val="0036319D"/>
    <w:rsid w:val="0036321C"/>
    <w:rsid w:val="00364B0B"/>
    <w:rsid w:val="00365B11"/>
    <w:rsid w:val="00366626"/>
    <w:rsid w:val="003709C8"/>
    <w:rsid w:val="003709F1"/>
    <w:rsid w:val="00373C10"/>
    <w:rsid w:val="0037476B"/>
    <w:rsid w:val="00375BDB"/>
    <w:rsid w:val="00376202"/>
    <w:rsid w:val="00380B6F"/>
    <w:rsid w:val="00382116"/>
    <w:rsid w:val="003823CA"/>
    <w:rsid w:val="00382666"/>
    <w:rsid w:val="00383419"/>
    <w:rsid w:val="003839AE"/>
    <w:rsid w:val="00383EEB"/>
    <w:rsid w:val="00384315"/>
    <w:rsid w:val="00384892"/>
    <w:rsid w:val="00384EBA"/>
    <w:rsid w:val="003856F4"/>
    <w:rsid w:val="00386DD9"/>
    <w:rsid w:val="00387154"/>
    <w:rsid w:val="0038720C"/>
    <w:rsid w:val="003907E4"/>
    <w:rsid w:val="00390F6E"/>
    <w:rsid w:val="00391CB9"/>
    <w:rsid w:val="00396695"/>
    <w:rsid w:val="003A2064"/>
    <w:rsid w:val="003A362B"/>
    <w:rsid w:val="003A4DE2"/>
    <w:rsid w:val="003A5AF6"/>
    <w:rsid w:val="003A5C50"/>
    <w:rsid w:val="003A688E"/>
    <w:rsid w:val="003B242E"/>
    <w:rsid w:val="003B33EB"/>
    <w:rsid w:val="003B3DAB"/>
    <w:rsid w:val="003B4810"/>
    <w:rsid w:val="003B4B21"/>
    <w:rsid w:val="003B66E7"/>
    <w:rsid w:val="003B6A64"/>
    <w:rsid w:val="003B75E3"/>
    <w:rsid w:val="003B7C03"/>
    <w:rsid w:val="003C0427"/>
    <w:rsid w:val="003C1FCA"/>
    <w:rsid w:val="003C28AA"/>
    <w:rsid w:val="003C2B60"/>
    <w:rsid w:val="003C2EC1"/>
    <w:rsid w:val="003C34D8"/>
    <w:rsid w:val="003C3775"/>
    <w:rsid w:val="003C3FD4"/>
    <w:rsid w:val="003C409F"/>
    <w:rsid w:val="003C4404"/>
    <w:rsid w:val="003C5289"/>
    <w:rsid w:val="003C6E55"/>
    <w:rsid w:val="003D1580"/>
    <w:rsid w:val="003D2173"/>
    <w:rsid w:val="003D77E6"/>
    <w:rsid w:val="003D7869"/>
    <w:rsid w:val="003D7A2D"/>
    <w:rsid w:val="003D7B94"/>
    <w:rsid w:val="003E0A59"/>
    <w:rsid w:val="003E1973"/>
    <w:rsid w:val="003E22DB"/>
    <w:rsid w:val="003E3154"/>
    <w:rsid w:val="003E392B"/>
    <w:rsid w:val="003E46E8"/>
    <w:rsid w:val="003E64BA"/>
    <w:rsid w:val="003E69FF"/>
    <w:rsid w:val="003E6A34"/>
    <w:rsid w:val="003E6FF3"/>
    <w:rsid w:val="003E7168"/>
    <w:rsid w:val="003E71F7"/>
    <w:rsid w:val="003F1D13"/>
    <w:rsid w:val="003F51EF"/>
    <w:rsid w:val="003F5849"/>
    <w:rsid w:val="003F6AF0"/>
    <w:rsid w:val="003F76E8"/>
    <w:rsid w:val="004020C0"/>
    <w:rsid w:val="004024BC"/>
    <w:rsid w:val="0040467C"/>
    <w:rsid w:val="00405190"/>
    <w:rsid w:val="004052F2"/>
    <w:rsid w:val="00405C5F"/>
    <w:rsid w:val="00411984"/>
    <w:rsid w:val="00411A17"/>
    <w:rsid w:val="00414ADD"/>
    <w:rsid w:val="00420084"/>
    <w:rsid w:val="00420157"/>
    <w:rsid w:val="00420569"/>
    <w:rsid w:val="0042125A"/>
    <w:rsid w:val="004217FC"/>
    <w:rsid w:val="00421F45"/>
    <w:rsid w:val="004229CA"/>
    <w:rsid w:val="0042519B"/>
    <w:rsid w:val="0042626B"/>
    <w:rsid w:val="00430E6B"/>
    <w:rsid w:val="00431B83"/>
    <w:rsid w:val="00432D19"/>
    <w:rsid w:val="00433469"/>
    <w:rsid w:val="004360C8"/>
    <w:rsid w:val="0043629A"/>
    <w:rsid w:val="00437DD7"/>
    <w:rsid w:val="00440510"/>
    <w:rsid w:val="00442714"/>
    <w:rsid w:val="004433AF"/>
    <w:rsid w:val="00443C7F"/>
    <w:rsid w:val="00443FCA"/>
    <w:rsid w:val="00444E60"/>
    <w:rsid w:val="00446192"/>
    <w:rsid w:val="00450063"/>
    <w:rsid w:val="00451DC0"/>
    <w:rsid w:val="0045245B"/>
    <w:rsid w:val="0045330B"/>
    <w:rsid w:val="0045380B"/>
    <w:rsid w:val="00454173"/>
    <w:rsid w:val="004547C6"/>
    <w:rsid w:val="00456A83"/>
    <w:rsid w:val="00457320"/>
    <w:rsid w:val="00460CF3"/>
    <w:rsid w:val="00461141"/>
    <w:rsid w:val="00461F94"/>
    <w:rsid w:val="00463EC0"/>
    <w:rsid w:val="004645DD"/>
    <w:rsid w:val="00464F10"/>
    <w:rsid w:val="00464FD8"/>
    <w:rsid w:val="0046638D"/>
    <w:rsid w:val="0046694F"/>
    <w:rsid w:val="00467027"/>
    <w:rsid w:val="00470159"/>
    <w:rsid w:val="00471D69"/>
    <w:rsid w:val="00471EF1"/>
    <w:rsid w:val="0047245A"/>
    <w:rsid w:val="004727FC"/>
    <w:rsid w:val="00474070"/>
    <w:rsid w:val="00474B65"/>
    <w:rsid w:val="004754A2"/>
    <w:rsid w:val="00475A26"/>
    <w:rsid w:val="004774CF"/>
    <w:rsid w:val="00477899"/>
    <w:rsid w:val="00477B67"/>
    <w:rsid w:val="004801E2"/>
    <w:rsid w:val="004803F6"/>
    <w:rsid w:val="004829C1"/>
    <w:rsid w:val="004831C3"/>
    <w:rsid w:val="004831FD"/>
    <w:rsid w:val="00483310"/>
    <w:rsid w:val="0048642B"/>
    <w:rsid w:val="004866C9"/>
    <w:rsid w:val="004869D2"/>
    <w:rsid w:val="00486E0E"/>
    <w:rsid w:val="00490A14"/>
    <w:rsid w:val="0049218E"/>
    <w:rsid w:val="004922D3"/>
    <w:rsid w:val="00493845"/>
    <w:rsid w:val="00494FF5"/>
    <w:rsid w:val="00496CDD"/>
    <w:rsid w:val="00497237"/>
    <w:rsid w:val="004A0A62"/>
    <w:rsid w:val="004A0E67"/>
    <w:rsid w:val="004A0F5A"/>
    <w:rsid w:val="004A1394"/>
    <w:rsid w:val="004A45A1"/>
    <w:rsid w:val="004B294C"/>
    <w:rsid w:val="004B3641"/>
    <w:rsid w:val="004C084E"/>
    <w:rsid w:val="004C090A"/>
    <w:rsid w:val="004C10B0"/>
    <w:rsid w:val="004C435E"/>
    <w:rsid w:val="004C532B"/>
    <w:rsid w:val="004C71E2"/>
    <w:rsid w:val="004C7931"/>
    <w:rsid w:val="004C79A0"/>
    <w:rsid w:val="004D0C6B"/>
    <w:rsid w:val="004D0D8F"/>
    <w:rsid w:val="004D0F57"/>
    <w:rsid w:val="004D13AE"/>
    <w:rsid w:val="004D1623"/>
    <w:rsid w:val="004D2E62"/>
    <w:rsid w:val="004D33CA"/>
    <w:rsid w:val="004D5EBF"/>
    <w:rsid w:val="004D73E7"/>
    <w:rsid w:val="004E18DE"/>
    <w:rsid w:val="004E3642"/>
    <w:rsid w:val="004E392C"/>
    <w:rsid w:val="004E61EF"/>
    <w:rsid w:val="004E71FE"/>
    <w:rsid w:val="004F0114"/>
    <w:rsid w:val="004F244D"/>
    <w:rsid w:val="004F2F45"/>
    <w:rsid w:val="004F59C6"/>
    <w:rsid w:val="004F61AF"/>
    <w:rsid w:val="004F6CD8"/>
    <w:rsid w:val="004F77DA"/>
    <w:rsid w:val="0050071A"/>
    <w:rsid w:val="00502391"/>
    <w:rsid w:val="00505777"/>
    <w:rsid w:val="00505956"/>
    <w:rsid w:val="005066DE"/>
    <w:rsid w:val="00507CBA"/>
    <w:rsid w:val="005112F2"/>
    <w:rsid w:val="00511DBC"/>
    <w:rsid w:val="0051287E"/>
    <w:rsid w:val="00514631"/>
    <w:rsid w:val="00514C0A"/>
    <w:rsid w:val="005155FD"/>
    <w:rsid w:val="005217A8"/>
    <w:rsid w:val="00522950"/>
    <w:rsid w:val="00524135"/>
    <w:rsid w:val="0052725C"/>
    <w:rsid w:val="0052774C"/>
    <w:rsid w:val="005304C5"/>
    <w:rsid w:val="00530E7D"/>
    <w:rsid w:val="0053572E"/>
    <w:rsid w:val="00536ACE"/>
    <w:rsid w:val="00537880"/>
    <w:rsid w:val="00541E10"/>
    <w:rsid w:val="00542398"/>
    <w:rsid w:val="0054252C"/>
    <w:rsid w:val="00542E24"/>
    <w:rsid w:val="00545A01"/>
    <w:rsid w:val="00546060"/>
    <w:rsid w:val="005463E2"/>
    <w:rsid w:val="0054709E"/>
    <w:rsid w:val="00547682"/>
    <w:rsid w:val="005476B4"/>
    <w:rsid w:val="0055196F"/>
    <w:rsid w:val="00554E55"/>
    <w:rsid w:val="005550D6"/>
    <w:rsid w:val="00556539"/>
    <w:rsid w:val="005568BC"/>
    <w:rsid w:val="00556B32"/>
    <w:rsid w:val="00556EA7"/>
    <w:rsid w:val="005573E4"/>
    <w:rsid w:val="00561D0B"/>
    <w:rsid w:val="00563210"/>
    <w:rsid w:val="005644F6"/>
    <w:rsid w:val="00565FC3"/>
    <w:rsid w:val="0057001C"/>
    <w:rsid w:val="005702DA"/>
    <w:rsid w:val="005710B6"/>
    <w:rsid w:val="0057173F"/>
    <w:rsid w:val="00571A4B"/>
    <w:rsid w:val="00572190"/>
    <w:rsid w:val="0057272B"/>
    <w:rsid w:val="00573C94"/>
    <w:rsid w:val="0057467E"/>
    <w:rsid w:val="00574807"/>
    <w:rsid w:val="0057560C"/>
    <w:rsid w:val="005768FD"/>
    <w:rsid w:val="0057724A"/>
    <w:rsid w:val="00581369"/>
    <w:rsid w:val="00581F09"/>
    <w:rsid w:val="0058339B"/>
    <w:rsid w:val="00587753"/>
    <w:rsid w:val="00590A0A"/>
    <w:rsid w:val="00590B87"/>
    <w:rsid w:val="005953A8"/>
    <w:rsid w:val="00596BEB"/>
    <w:rsid w:val="005979ED"/>
    <w:rsid w:val="00597FBC"/>
    <w:rsid w:val="005A08E1"/>
    <w:rsid w:val="005A0BD6"/>
    <w:rsid w:val="005A1C76"/>
    <w:rsid w:val="005A22E0"/>
    <w:rsid w:val="005A30A4"/>
    <w:rsid w:val="005A6106"/>
    <w:rsid w:val="005A6301"/>
    <w:rsid w:val="005A7109"/>
    <w:rsid w:val="005A7A20"/>
    <w:rsid w:val="005B161F"/>
    <w:rsid w:val="005B1B6E"/>
    <w:rsid w:val="005B2682"/>
    <w:rsid w:val="005B7231"/>
    <w:rsid w:val="005C0442"/>
    <w:rsid w:val="005C081F"/>
    <w:rsid w:val="005C0A8E"/>
    <w:rsid w:val="005C403D"/>
    <w:rsid w:val="005C4279"/>
    <w:rsid w:val="005C49B7"/>
    <w:rsid w:val="005C7674"/>
    <w:rsid w:val="005D46C0"/>
    <w:rsid w:val="005D4A7C"/>
    <w:rsid w:val="005D4E54"/>
    <w:rsid w:val="005D698E"/>
    <w:rsid w:val="005D7E8E"/>
    <w:rsid w:val="005E004E"/>
    <w:rsid w:val="005E0986"/>
    <w:rsid w:val="005E0F55"/>
    <w:rsid w:val="005E39E6"/>
    <w:rsid w:val="005E43EB"/>
    <w:rsid w:val="005E4921"/>
    <w:rsid w:val="005E4EDC"/>
    <w:rsid w:val="005E65D0"/>
    <w:rsid w:val="005E6A7F"/>
    <w:rsid w:val="005E7D86"/>
    <w:rsid w:val="005F04B7"/>
    <w:rsid w:val="005F2346"/>
    <w:rsid w:val="005F2773"/>
    <w:rsid w:val="005F648E"/>
    <w:rsid w:val="005F6BDB"/>
    <w:rsid w:val="005F7C2A"/>
    <w:rsid w:val="006011F3"/>
    <w:rsid w:val="00602993"/>
    <w:rsid w:val="00602A3E"/>
    <w:rsid w:val="00603C54"/>
    <w:rsid w:val="00605281"/>
    <w:rsid w:val="006106E8"/>
    <w:rsid w:val="00610FE7"/>
    <w:rsid w:val="00612B50"/>
    <w:rsid w:val="00615700"/>
    <w:rsid w:val="00617AA7"/>
    <w:rsid w:val="006200D4"/>
    <w:rsid w:val="0062156C"/>
    <w:rsid w:val="00621E7A"/>
    <w:rsid w:val="00622B42"/>
    <w:rsid w:val="00624308"/>
    <w:rsid w:val="00627CB8"/>
    <w:rsid w:val="00631418"/>
    <w:rsid w:val="00631F53"/>
    <w:rsid w:val="00632AFE"/>
    <w:rsid w:val="0063384A"/>
    <w:rsid w:val="006346C4"/>
    <w:rsid w:val="00635054"/>
    <w:rsid w:val="00635609"/>
    <w:rsid w:val="00637F6B"/>
    <w:rsid w:val="00640871"/>
    <w:rsid w:val="0064284A"/>
    <w:rsid w:val="00642C7A"/>
    <w:rsid w:val="00644ADD"/>
    <w:rsid w:val="00647609"/>
    <w:rsid w:val="00647A8A"/>
    <w:rsid w:val="00647AE6"/>
    <w:rsid w:val="00647BCC"/>
    <w:rsid w:val="006522C9"/>
    <w:rsid w:val="00652894"/>
    <w:rsid w:val="00652A36"/>
    <w:rsid w:val="00654764"/>
    <w:rsid w:val="00657869"/>
    <w:rsid w:val="00662069"/>
    <w:rsid w:val="00662F9F"/>
    <w:rsid w:val="00666F55"/>
    <w:rsid w:val="006705D3"/>
    <w:rsid w:val="0067195E"/>
    <w:rsid w:val="00672294"/>
    <w:rsid w:val="00673354"/>
    <w:rsid w:val="00673DFD"/>
    <w:rsid w:val="006754FF"/>
    <w:rsid w:val="00675621"/>
    <w:rsid w:val="0067778E"/>
    <w:rsid w:val="00680C31"/>
    <w:rsid w:val="0068246C"/>
    <w:rsid w:val="00683354"/>
    <w:rsid w:val="00684DDF"/>
    <w:rsid w:val="00685C5E"/>
    <w:rsid w:val="006906A5"/>
    <w:rsid w:val="00690E3C"/>
    <w:rsid w:val="00692293"/>
    <w:rsid w:val="00692A36"/>
    <w:rsid w:val="00694CC3"/>
    <w:rsid w:val="00694E7F"/>
    <w:rsid w:val="00696534"/>
    <w:rsid w:val="006976BE"/>
    <w:rsid w:val="00697A7F"/>
    <w:rsid w:val="006A0920"/>
    <w:rsid w:val="006A0CA3"/>
    <w:rsid w:val="006A158D"/>
    <w:rsid w:val="006A1ADF"/>
    <w:rsid w:val="006A2674"/>
    <w:rsid w:val="006A29AD"/>
    <w:rsid w:val="006A2F09"/>
    <w:rsid w:val="006A416D"/>
    <w:rsid w:val="006A4704"/>
    <w:rsid w:val="006A4E2B"/>
    <w:rsid w:val="006A5F8A"/>
    <w:rsid w:val="006A6AE2"/>
    <w:rsid w:val="006A6FB6"/>
    <w:rsid w:val="006A756F"/>
    <w:rsid w:val="006B09F6"/>
    <w:rsid w:val="006B0F4C"/>
    <w:rsid w:val="006B21B0"/>
    <w:rsid w:val="006B2AF8"/>
    <w:rsid w:val="006B2FF1"/>
    <w:rsid w:val="006B47E2"/>
    <w:rsid w:val="006B5A25"/>
    <w:rsid w:val="006B64C1"/>
    <w:rsid w:val="006B69E2"/>
    <w:rsid w:val="006B6DF5"/>
    <w:rsid w:val="006B749A"/>
    <w:rsid w:val="006C08C8"/>
    <w:rsid w:val="006C0915"/>
    <w:rsid w:val="006C2668"/>
    <w:rsid w:val="006C278C"/>
    <w:rsid w:val="006C34C7"/>
    <w:rsid w:val="006C3B5C"/>
    <w:rsid w:val="006C4472"/>
    <w:rsid w:val="006C47D9"/>
    <w:rsid w:val="006C62BD"/>
    <w:rsid w:val="006C6319"/>
    <w:rsid w:val="006C6BD6"/>
    <w:rsid w:val="006D00B3"/>
    <w:rsid w:val="006D06ED"/>
    <w:rsid w:val="006D131A"/>
    <w:rsid w:val="006D16D5"/>
    <w:rsid w:val="006D24DA"/>
    <w:rsid w:val="006D40BF"/>
    <w:rsid w:val="006D447F"/>
    <w:rsid w:val="006D46B4"/>
    <w:rsid w:val="006D4F44"/>
    <w:rsid w:val="006D6BBB"/>
    <w:rsid w:val="006D6CFF"/>
    <w:rsid w:val="006D7FEA"/>
    <w:rsid w:val="006E1F7F"/>
    <w:rsid w:val="006E25E0"/>
    <w:rsid w:val="006E334C"/>
    <w:rsid w:val="006E3C4B"/>
    <w:rsid w:val="006E624A"/>
    <w:rsid w:val="006E6DBE"/>
    <w:rsid w:val="006E7BC3"/>
    <w:rsid w:val="006F2515"/>
    <w:rsid w:val="006F334D"/>
    <w:rsid w:val="006F386B"/>
    <w:rsid w:val="006F507C"/>
    <w:rsid w:val="006F53DF"/>
    <w:rsid w:val="006F610D"/>
    <w:rsid w:val="006F6E1B"/>
    <w:rsid w:val="0070089F"/>
    <w:rsid w:val="0070175A"/>
    <w:rsid w:val="007020E3"/>
    <w:rsid w:val="00705F51"/>
    <w:rsid w:val="00706A70"/>
    <w:rsid w:val="00707184"/>
    <w:rsid w:val="00710DD5"/>
    <w:rsid w:val="007116AA"/>
    <w:rsid w:val="00714419"/>
    <w:rsid w:val="007148D2"/>
    <w:rsid w:val="00714F4D"/>
    <w:rsid w:val="007153F3"/>
    <w:rsid w:val="00716503"/>
    <w:rsid w:val="00721ED0"/>
    <w:rsid w:val="0072333E"/>
    <w:rsid w:val="00723465"/>
    <w:rsid w:val="00723641"/>
    <w:rsid w:val="00724E35"/>
    <w:rsid w:val="00724E94"/>
    <w:rsid w:val="00726D87"/>
    <w:rsid w:val="00727BDF"/>
    <w:rsid w:val="00730E41"/>
    <w:rsid w:val="00731A80"/>
    <w:rsid w:val="007330BB"/>
    <w:rsid w:val="007338C6"/>
    <w:rsid w:val="00734026"/>
    <w:rsid w:val="00736F3E"/>
    <w:rsid w:val="00737710"/>
    <w:rsid w:val="00741732"/>
    <w:rsid w:val="007433A9"/>
    <w:rsid w:val="0074386B"/>
    <w:rsid w:val="00743E67"/>
    <w:rsid w:val="00744B4D"/>
    <w:rsid w:val="00744C21"/>
    <w:rsid w:val="00745282"/>
    <w:rsid w:val="007470BB"/>
    <w:rsid w:val="007505D1"/>
    <w:rsid w:val="00752213"/>
    <w:rsid w:val="00755724"/>
    <w:rsid w:val="007623D3"/>
    <w:rsid w:val="00762741"/>
    <w:rsid w:val="00762B1C"/>
    <w:rsid w:val="0076317D"/>
    <w:rsid w:val="0076352D"/>
    <w:rsid w:val="00763702"/>
    <w:rsid w:val="00765283"/>
    <w:rsid w:val="007664AC"/>
    <w:rsid w:val="0077024F"/>
    <w:rsid w:val="007713B0"/>
    <w:rsid w:val="00773973"/>
    <w:rsid w:val="00773AC6"/>
    <w:rsid w:val="0077653F"/>
    <w:rsid w:val="00777050"/>
    <w:rsid w:val="007770BC"/>
    <w:rsid w:val="007805D3"/>
    <w:rsid w:val="00780BEA"/>
    <w:rsid w:val="00781321"/>
    <w:rsid w:val="007817DC"/>
    <w:rsid w:val="00784C65"/>
    <w:rsid w:val="00785F2D"/>
    <w:rsid w:val="00786517"/>
    <w:rsid w:val="00787A49"/>
    <w:rsid w:val="00795950"/>
    <w:rsid w:val="00795BC7"/>
    <w:rsid w:val="007976A5"/>
    <w:rsid w:val="007A00F8"/>
    <w:rsid w:val="007A0A8D"/>
    <w:rsid w:val="007A2E56"/>
    <w:rsid w:val="007A332A"/>
    <w:rsid w:val="007A40BC"/>
    <w:rsid w:val="007A43DC"/>
    <w:rsid w:val="007A643E"/>
    <w:rsid w:val="007A65E8"/>
    <w:rsid w:val="007A7710"/>
    <w:rsid w:val="007A7725"/>
    <w:rsid w:val="007A7FFB"/>
    <w:rsid w:val="007B01E4"/>
    <w:rsid w:val="007B10EB"/>
    <w:rsid w:val="007B2121"/>
    <w:rsid w:val="007B455F"/>
    <w:rsid w:val="007B5C97"/>
    <w:rsid w:val="007B6036"/>
    <w:rsid w:val="007B6984"/>
    <w:rsid w:val="007C01F7"/>
    <w:rsid w:val="007C0A42"/>
    <w:rsid w:val="007C0DBA"/>
    <w:rsid w:val="007C3FF9"/>
    <w:rsid w:val="007C485E"/>
    <w:rsid w:val="007C540E"/>
    <w:rsid w:val="007D0347"/>
    <w:rsid w:val="007D3204"/>
    <w:rsid w:val="007D50E8"/>
    <w:rsid w:val="007D55AD"/>
    <w:rsid w:val="007D5CD2"/>
    <w:rsid w:val="007D7E57"/>
    <w:rsid w:val="007E063C"/>
    <w:rsid w:val="007E13E4"/>
    <w:rsid w:val="007E1E9A"/>
    <w:rsid w:val="007E4A3B"/>
    <w:rsid w:val="007E4DC3"/>
    <w:rsid w:val="007E6A04"/>
    <w:rsid w:val="007E6B64"/>
    <w:rsid w:val="007E7676"/>
    <w:rsid w:val="007F044C"/>
    <w:rsid w:val="007F0E14"/>
    <w:rsid w:val="007F11D1"/>
    <w:rsid w:val="007F5206"/>
    <w:rsid w:val="007F6901"/>
    <w:rsid w:val="007F7D51"/>
    <w:rsid w:val="008023C7"/>
    <w:rsid w:val="008041CB"/>
    <w:rsid w:val="00805D25"/>
    <w:rsid w:val="00806138"/>
    <w:rsid w:val="00806B05"/>
    <w:rsid w:val="00814C00"/>
    <w:rsid w:val="0081676C"/>
    <w:rsid w:val="00817B75"/>
    <w:rsid w:val="00820C27"/>
    <w:rsid w:val="008212C5"/>
    <w:rsid w:val="00822774"/>
    <w:rsid w:val="008243A8"/>
    <w:rsid w:val="00825FD6"/>
    <w:rsid w:val="0082745B"/>
    <w:rsid w:val="00827B89"/>
    <w:rsid w:val="00830010"/>
    <w:rsid w:val="008308D9"/>
    <w:rsid w:val="00830A0A"/>
    <w:rsid w:val="00831DD9"/>
    <w:rsid w:val="00832E6C"/>
    <w:rsid w:val="00833E2E"/>
    <w:rsid w:val="008346DC"/>
    <w:rsid w:val="00836916"/>
    <w:rsid w:val="00837562"/>
    <w:rsid w:val="00841487"/>
    <w:rsid w:val="0084408A"/>
    <w:rsid w:val="00845346"/>
    <w:rsid w:val="008455DB"/>
    <w:rsid w:val="00846510"/>
    <w:rsid w:val="008465B7"/>
    <w:rsid w:val="00846D26"/>
    <w:rsid w:val="00847B18"/>
    <w:rsid w:val="008510E3"/>
    <w:rsid w:val="0085139A"/>
    <w:rsid w:val="00851D89"/>
    <w:rsid w:val="00852D66"/>
    <w:rsid w:val="00853F73"/>
    <w:rsid w:val="00854D21"/>
    <w:rsid w:val="00855D6A"/>
    <w:rsid w:val="008560CE"/>
    <w:rsid w:val="00856629"/>
    <w:rsid w:val="00856EFD"/>
    <w:rsid w:val="008635E5"/>
    <w:rsid w:val="008665C4"/>
    <w:rsid w:val="008738F9"/>
    <w:rsid w:val="00874295"/>
    <w:rsid w:val="008754EE"/>
    <w:rsid w:val="00875F8F"/>
    <w:rsid w:val="008763BE"/>
    <w:rsid w:val="00876DD3"/>
    <w:rsid w:val="008804CB"/>
    <w:rsid w:val="00881961"/>
    <w:rsid w:val="00881D9F"/>
    <w:rsid w:val="00882CE5"/>
    <w:rsid w:val="00883B00"/>
    <w:rsid w:val="008866AF"/>
    <w:rsid w:val="0088799A"/>
    <w:rsid w:val="00890721"/>
    <w:rsid w:val="00891DED"/>
    <w:rsid w:val="00892738"/>
    <w:rsid w:val="00892780"/>
    <w:rsid w:val="00892B65"/>
    <w:rsid w:val="0089318A"/>
    <w:rsid w:val="00893814"/>
    <w:rsid w:val="00893B72"/>
    <w:rsid w:val="008975DF"/>
    <w:rsid w:val="008A15B3"/>
    <w:rsid w:val="008A197D"/>
    <w:rsid w:val="008A2152"/>
    <w:rsid w:val="008A572E"/>
    <w:rsid w:val="008A6202"/>
    <w:rsid w:val="008A64DC"/>
    <w:rsid w:val="008A7327"/>
    <w:rsid w:val="008B0FF7"/>
    <w:rsid w:val="008B19F6"/>
    <w:rsid w:val="008B1EDF"/>
    <w:rsid w:val="008B2483"/>
    <w:rsid w:val="008B2FF4"/>
    <w:rsid w:val="008B6DEB"/>
    <w:rsid w:val="008B7B8A"/>
    <w:rsid w:val="008B7D85"/>
    <w:rsid w:val="008C02BF"/>
    <w:rsid w:val="008C2084"/>
    <w:rsid w:val="008C37FD"/>
    <w:rsid w:val="008C417F"/>
    <w:rsid w:val="008C5B53"/>
    <w:rsid w:val="008C6575"/>
    <w:rsid w:val="008D06F8"/>
    <w:rsid w:val="008D0E08"/>
    <w:rsid w:val="008D1781"/>
    <w:rsid w:val="008D33C2"/>
    <w:rsid w:val="008D4CA9"/>
    <w:rsid w:val="008D5884"/>
    <w:rsid w:val="008D6B58"/>
    <w:rsid w:val="008E3673"/>
    <w:rsid w:val="008E36EC"/>
    <w:rsid w:val="008E3E45"/>
    <w:rsid w:val="008E496A"/>
    <w:rsid w:val="008E5F59"/>
    <w:rsid w:val="008E6EBE"/>
    <w:rsid w:val="008E744D"/>
    <w:rsid w:val="008E7DF1"/>
    <w:rsid w:val="008F1C73"/>
    <w:rsid w:val="008F2A64"/>
    <w:rsid w:val="008F313A"/>
    <w:rsid w:val="008F3566"/>
    <w:rsid w:val="008F4BE7"/>
    <w:rsid w:val="008F68C5"/>
    <w:rsid w:val="008F7598"/>
    <w:rsid w:val="00903882"/>
    <w:rsid w:val="00903CA8"/>
    <w:rsid w:val="009041EB"/>
    <w:rsid w:val="00907960"/>
    <w:rsid w:val="00907EBA"/>
    <w:rsid w:val="009107F4"/>
    <w:rsid w:val="0091090D"/>
    <w:rsid w:val="009131B0"/>
    <w:rsid w:val="009207C3"/>
    <w:rsid w:val="009215A0"/>
    <w:rsid w:val="00921AB9"/>
    <w:rsid w:val="00921B0A"/>
    <w:rsid w:val="00923473"/>
    <w:rsid w:val="00923931"/>
    <w:rsid w:val="00923C4E"/>
    <w:rsid w:val="00924149"/>
    <w:rsid w:val="00924887"/>
    <w:rsid w:val="0092605D"/>
    <w:rsid w:val="00926A55"/>
    <w:rsid w:val="009270A4"/>
    <w:rsid w:val="009300A6"/>
    <w:rsid w:val="009309BD"/>
    <w:rsid w:val="00932410"/>
    <w:rsid w:val="00934157"/>
    <w:rsid w:val="00934FCF"/>
    <w:rsid w:val="00935CAE"/>
    <w:rsid w:val="00936840"/>
    <w:rsid w:val="0094005E"/>
    <w:rsid w:val="009410F8"/>
    <w:rsid w:val="00942DEB"/>
    <w:rsid w:val="00943A0B"/>
    <w:rsid w:val="00944117"/>
    <w:rsid w:val="00944E5B"/>
    <w:rsid w:val="00944F89"/>
    <w:rsid w:val="00946144"/>
    <w:rsid w:val="00946A18"/>
    <w:rsid w:val="00946CA0"/>
    <w:rsid w:val="00947010"/>
    <w:rsid w:val="00951231"/>
    <w:rsid w:val="0095149F"/>
    <w:rsid w:val="00951A3F"/>
    <w:rsid w:val="00952573"/>
    <w:rsid w:val="0095410F"/>
    <w:rsid w:val="00955944"/>
    <w:rsid w:val="00956FE6"/>
    <w:rsid w:val="0095797F"/>
    <w:rsid w:val="009602B1"/>
    <w:rsid w:val="00960F53"/>
    <w:rsid w:val="009613F5"/>
    <w:rsid w:val="0096316D"/>
    <w:rsid w:val="009631F2"/>
    <w:rsid w:val="00963A5D"/>
    <w:rsid w:val="009659A7"/>
    <w:rsid w:val="00965E53"/>
    <w:rsid w:val="00966490"/>
    <w:rsid w:val="00966B4C"/>
    <w:rsid w:val="00967109"/>
    <w:rsid w:val="0096782A"/>
    <w:rsid w:val="009703D5"/>
    <w:rsid w:val="009708A5"/>
    <w:rsid w:val="00971842"/>
    <w:rsid w:val="00972C63"/>
    <w:rsid w:val="009733C7"/>
    <w:rsid w:val="009745D5"/>
    <w:rsid w:val="00974AF6"/>
    <w:rsid w:val="00974F87"/>
    <w:rsid w:val="009765FF"/>
    <w:rsid w:val="00976E7E"/>
    <w:rsid w:val="00976F11"/>
    <w:rsid w:val="009770BE"/>
    <w:rsid w:val="00977243"/>
    <w:rsid w:val="009808A1"/>
    <w:rsid w:val="00982594"/>
    <w:rsid w:val="00983D09"/>
    <w:rsid w:val="009921B8"/>
    <w:rsid w:val="009A0178"/>
    <w:rsid w:val="009A0297"/>
    <w:rsid w:val="009A3253"/>
    <w:rsid w:val="009A3525"/>
    <w:rsid w:val="009A63EF"/>
    <w:rsid w:val="009A7EA5"/>
    <w:rsid w:val="009B01A2"/>
    <w:rsid w:val="009B0D5D"/>
    <w:rsid w:val="009B1754"/>
    <w:rsid w:val="009B7F70"/>
    <w:rsid w:val="009C02ED"/>
    <w:rsid w:val="009C04A8"/>
    <w:rsid w:val="009C0811"/>
    <w:rsid w:val="009C21AD"/>
    <w:rsid w:val="009C3278"/>
    <w:rsid w:val="009C32EF"/>
    <w:rsid w:val="009C3725"/>
    <w:rsid w:val="009C40E5"/>
    <w:rsid w:val="009C4ECC"/>
    <w:rsid w:val="009C57CA"/>
    <w:rsid w:val="009C7C97"/>
    <w:rsid w:val="009D154B"/>
    <w:rsid w:val="009D1FC4"/>
    <w:rsid w:val="009D28AD"/>
    <w:rsid w:val="009D39B0"/>
    <w:rsid w:val="009D5AAF"/>
    <w:rsid w:val="009D6C7C"/>
    <w:rsid w:val="009D7E1A"/>
    <w:rsid w:val="009E1431"/>
    <w:rsid w:val="009E2831"/>
    <w:rsid w:val="009E3867"/>
    <w:rsid w:val="009E4B05"/>
    <w:rsid w:val="009E4FB6"/>
    <w:rsid w:val="009E5751"/>
    <w:rsid w:val="009E5F50"/>
    <w:rsid w:val="009E6C8D"/>
    <w:rsid w:val="009E7F5E"/>
    <w:rsid w:val="009F216E"/>
    <w:rsid w:val="009F2FBD"/>
    <w:rsid w:val="009F318C"/>
    <w:rsid w:val="009F3F70"/>
    <w:rsid w:val="009F5144"/>
    <w:rsid w:val="009F6E5F"/>
    <w:rsid w:val="00A000CB"/>
    <w:rsid w:val="00A00799"/>
    <w:rsid w:val="00A01716"/>
    <w:rsid w:val="00A02CC2"/>
    <w:rsid w:val="00A03765"/>
    <w:rsid w:val="00A05E15"/>
    <w:rsid w:val="00A07B62"/>
    <w:rsid w:val="00A07F86"/>
    <w:rsid w:val="00A10CD3"/>
    <w:rsid w:val="00A11D29"/>
    <w:rsid w:val="00A11EEA"/>
    <w:rsid w:val="00A14193"/>
    <w:rsid w:val="00A14970"/>
    <w:rsid w:val="00A1518D"/>
    <w:rsid w:val="00A167A4"/>
    <w:rsid w:val="00A169B9"/>
    <w:rsid w:val="00A170EC"/>
    <w:rsid w:val="00A202D7"/>
    <w:rsid w:val="00A21116"/>
    <w:rsid w:val="00A2399F"/>
    <w:rsid w:val="00A244D8"/>
    <w:rsid w:val="00A25325"/>
    <w:rsid w:val="00A3067C"/>
    <w:rsid w:val="00A31594"/>
    <w:rsid w:val="00A31808"/>
    <w:rsid w:val="00A31E30"/>
    <w:rsid w:val="00A327AD"/>
    <w:rsid w:val="00A336BD"/>
    <w:rsid w:val="00A34442"/>
    <w:rsid w:val="00A377E6"/>
    <w:rsid w:val="00A3792E"/>
    <w:rsid w:val="00A40420"/>
    <w:rsid w:val="00A43F5D"/>
    <w:rsid w:val="00A46146"/>
    <w:rsid w:val="00A47253"/>
    <w:rsid w:val="00A47346"/>
    <w:rsid w:val="00A50B03"/>
    <w:rsid w:val="00A517D4"/>
    <w:rsid w:val="00A53240"/>
    <w:rsid w:val="00A55F31"/>
    <w:rsid w:val="00A57307"/>
    <w:rsid w:val="00A57E81"/>
    <w:rsid w:val="00A612B1"/>
    <w:rsid w:val="00A616E8"/>
    <w:rsid w:val="00A66068"/>
    <w:rsid w:val="00A665BB"/>
    <w:rsid w:val="00A701D0"/>
    <w:rsid w:val="00A71B59"/>
    <w:rsid w:val="00A73652"/>
    <w:rsid w:val="00A74BED"/>
    <w:rsid w:val="00A75E49"/>
    <w:rsid w:val="00A76883"/>
    <w:rsid w:val="00A8125B"/>
    <w:rsid w:val="00A81650"/>
    <w:rsid w:val="00A8265A"/>
    <w:rsid w:val="00A82A91"/>
    <w:rsid w:val="00A84292"/>
    <w:rsid w:val="00A90DB0"/>
    <w:rsid w:val="00A90E43"/>
    <w:rsid w:val="00A91958"/>
    <w:rsid w:val="00A92E3C"/>
    <w:rsid w:val="00A94A2B"/>
    <w:rsid w:val="00A956E2"/>
    <w:rsid w:val="00A957AE"/>
    <w:rsid w:val="00A962E5"/>
    <w:rsid w:val="00A96C0C"/>
    <w:rsid w:val="00A97B18"/>
    <w:rsid w:val="00A97F5B"/>
    <w:rsid w:val="00AA17AB"/>
    <w:rsid w:val="00AA2EBC"/>
    <w:rsid w:val="00AA38D0"/>
    <w:rsid w:val="00AA3975"/>
    <w:rsid w:val="00AA3A51"/>
    <w:rsid w:val="00AA3BD9"/>
    <w:rsid w:val="00AA5C09"/>
    <w:rsid w:val="00AA6A6E"/>
    <w:rsid w:val="00AA7BC4"/>
    <w:rsid w:val="00AB0953"/>
    <w:rsid w:val="00AB27D0"/>
    <w:rsid w:val="00AB36C6"/>
    <w:rsid w:val="00AB373F"/>
    <w:rsid w:val="00AB4BE9"/>
    <w:rsid w:val="00AB6EC7"/>
    <w:rsid w:val="00AB7B7E"/>
    <w:rsid w:val="00AC1776"/>
    <w:rsid w:val="00AC24DE"/>
    <w:rsid w:val="00AC3992"/>
    <w:rsid w:val="00AC55FF"/>
    <w:rsid w:val="00AC6D87"/>
    <w:rsid w:val="00AD1996"/>
    <w:rsid w:val="00AD4D72"/>
    <w:rsid w:val="00AD5ED0"/>
    <w:rsid w:val="00AD6A79"/>
    <w:rsid w:val="00AD702E"/>
    <w:rsid w:val="00AE0E77"/>
    <w:rsid w:val="00AE1D6C"/>
    <w:rsid w:val="00AE1F91"/>
    <w:rsid w:val="00AE20DA"/>
    <w:rsid w:val="00AE27D3"/>
    <w:rsid w:val="00AE28CF"/>
    <w:rsid w:val="00AE4686"/>
    <w:rsid w:val="00AF0262"/>
    <w:rsid w:val="00AF26E5"/>
    <w:rsid w:val="00AF3544"/>
    <w:rsid w:val="00AF3FB8"/>
    <w:rsid w:val="00AF62EA"/>
    <w:rsid w:val="00AF6396"/>
    <w:rsid w:val="00AF63A6"/>
    <w:rsid w:val="00B046C0"/>
    <w:rsid w:val="00B0586D"/>
    <w:rsid w:val="00B05F3B"/>
    <w:rsid w:val="00B06AD8"/>
    <w:rsid w:val="00B07DCE"/>
    <w:rsid w:val="00B10C18"/>
    <w:rsid w:val="00B11448"/>
    <w:rsid w:val="00B116AA"/>
    <w:rsid w:val="00B11BC8"/>
    <w:rsid w:val="00B13CF8"/>
    <w:rsid w:val="00B1562E"/>
    <w:rsid w:val="00B15761"/>
    <w:rsid w:val="00B17B3A"/>
    <w:rsid w:val="00B17B6B"/>
    <w:rsid w:val="00B20538"/>
    <w:rsid w:val="00B205D5"/>
    <w:rsid w:val="00B208D3"/>
    <w:rsid w:val="00B2179D"/>
    <w:rsid w:val="00B2396E"/>
    <w:rsid w:val="00B23D22"/>
    <w:rsid w:val="00B240DA"/>
    <w:rsid w:val="00B242ED"/>
    <w:rsid w:val="00B24660"/>
    <w:rsid w:val="00B25A1B"/>
    <w:rsid w:val="00B277AE"/>
    <w:rsid w:val="00B279DB"/>
    <w:rsid w:val="00B3044C"/>
    <w:rsid w:val="00B31862"/>
    <w:rsid w:val="00B3325C"/>
    <w:rsid w:val="00B33CB0"/>
    <w:rsid w:val="00B34872"/>
    <w:rsid w:val="00B3498A"/>
    <w:rsid w:val="00B34D48"/>
    <w:rsid w:val="00B35843"/>
    <w:rsid w:val="00B35A36"/>
    <w:rsid w:val="00B35FA4"/>
    <w:rsid w:val="00B371D8"/>
    <w:rsid w:val="00B3733F"/>
    <w:rsid w:val="00B401FA"/>
    <w:rsid w:val="00B41B25"/>
    <w:rsid w:val="00B42FCE"/>
    <w:rsid w:val="00B441AB"/>
    <w:rsid w:val="00B4449C"/>
    <w:rsid w:val="00B45BEB"/>
    <w:rsid w:val="00B54AA6"/>
    <w:rsid w:val="00B553B7"/>
    <w:rsid w:val="00B55475"/>
    <w:rsid w:val="00B56964"/>
    <w:rsid w:val="00B57E26"/>
    <w:rsid w:val="00B6162C"/>
    <w:rsid w:val="00B62997"/>
    <w:rsid w:val="00B65248"/>
    <w:rsid w:val="00B65988"/>
    <w:rsid w:val="00B65A2F"/>
    <w:rsid w:val="00B666D4"/>
    <w:rsid w:val="00B73F6F"/>
    <w:rsid w:val="00B74460"/>
    <w:rsid w:val="00B7544C"/>
    <w:rsid w:val="00B75606"/>
    <w:rsid w:val="00B76F47"/>
    <w:rsid w:val="00B8147C"/>
    <w:rsid w:val="00B81523"/>
    <w:rsid w:val="00B8209D"/>
    <w:rsid w:val="00B838FF"/>
    <w:rsid w:val="00B85003"/>
    <w:rsid w:val="00B854A7"/>
    <w:rsid w:val="00B86C92"/>
    <w:rsid w:val="00B86EBF"/>
    <w:rsid w:val="00B90857"/>
    <w:rsid w:val="00B90C3A"/>
    <w:rsid w:val="00B91598"/>
    <w:rsid w:val="00B91AED"/>
    <w:rsid w:val="00B92260"/>
    <w:rsid w:val="00B95566"/>
    <w:rsid w:val="00B9646F"/>
    <w:rsid w:val="00B97696"/>
    <w:rsid w:val="00BA27FB"/>
    <w:rsid w:val="00BA362F"/>
    <w:rsid w:val="00BA3A68"/>
    <w:rsid w:val="00BA4A76"/>
    <w:rsid w:val="00BA570D"/>
    <w:rsid w:val="00BA571E"/>
    <w:rsid w:val="00BA6DDA"/>
    <w:rsid w:val="00BA7A16"/>
    <w:rsid w:val="00BA7D70"/>
    <w:rsid w:val="00BB33CE"/>
    <w:rsid w:val="00BB3C74"/>
    <w:rsid w:val="00BB49C3"/>
    <w:rsid w:val="00BB67C3"/>
    <w:rsid w:val="00BB7365"/>
    <w:rsid w:val="00BB767A"/>
    <w:rsid w:val="00BB7DE4"/>
    <w:rsid w:val="00BC0408"/>
    <w:rsid w:val="00BC0F8B"/>
    <w:rsid w:val="00BC139D"/>
    <w:rsid w:val="00BC3210"/>
    <w:rsid w:val="00BC3838"/>
    <w:rsid w:val="00BC3F5D"/>
    <w:rsid w:val="00BC51D4"/>
    <w:rsid w:val="00BC6502"/>
    <w:rsid w:val="00BC6E7D"/>
    <w:rsid w:val="00BC72F3"/>
    <w:rsid w:val="00BD0800"/>
    <w:rsid w:val="00BD114F"/>
    <w:rsid w:val="00BD1CE0"/>
    <w:rsid w:val="00BD34DB"/>
    <w:rsid w:val="00BD557D"/>
    <w:rsid w:val="00BD5A5A"/>
    <w:rsid w:val="00BD5D65"/>
    <w:rsid w:val="00BD65E9"/>
    <w:rsid w:val="00BD6780"/>
    <w:rsid w:val="00BD6D1B"/>
    <w:rsid w:val="00BE1664"/>
    <w:rsid w:val="00BE21E2"/>
    <w:rsid w:val="00BE3E9E"/>
    <w:rsid w:val="00BE44E1"/>
    <w:rsid w:val="00BE57F5"/>
    <w:rsid w:val="00BE6C0F"/>
    <w:rsid w:val="00BE6E78"/>
    <w:rsid w:val="00BF13B3"/>
    <w:rsid w:val="00BF64B2"/>
    <w:rsid w:val="00C0031C"/>
    <w:rsid w:val="00C013D2"/>
    <w:rsid w:val="00C023F7"/>
    <w:rsid w:val="00C03564"/>
    <w:rsid w:val="00C03E98"/>
    <w:rsid w:val="00C0402E"/>
    <w:rsid w:val="00C069CA"/>
    <w:rsid w:val="00C079BC"/>
    <w:rsid w:val="00C07D9C"/>
    <w:rsid w:val="00C10BDE"/>
    <w:rsid w:val="00C124DC"/>
    <w:rsid w:val="00C156B7"/>
    <w:rsid w:val="00C16DD4"/>
    <w:rsid w:val="00C2722B"/>
    <w:rsid w:val="00C31112"/>
    <w:rsid w:val="00C3140F"/>
    <w:rsid w:val="00C3232D"/>
    <w:rsid w:val="00C329AF"/>
    <w:rsid w:val="00C34532"/>
    <w:rsid w:val="00C351F2"/>
    <w:rsid w:val="00C3590E"/>
    <w:rsid w:val="00C36D4C"/>
    <w:rsid w:val="00C37EA5"/>
    <w:rsid w:val="00C4034A"/>
    <w:rsid w:val="00C423F2"/>
    <w:rsid w:val="00C43483"/>
    <w:rsid w:val="00C46515"/>
    <w:rsid w:val="00C46665"/>
    <w:rsid w:val="00C46DBE"/>
    <w:rsid w:val="00C47779"/>
    <w:rsid w:val="00C51347"/>
    <w:rsid w:val="00C52EA7"/>
    <w:rsid w:val="00C5378F"/>
    <w:rsid w:val="00C546E3"/>
    <w:rsid w:val="00C56CF2"/>
    <w:rsid w:val="00C60C3B"/>
    <w:rsid w:val="00C64B5C"/>
    <w:rsid w:val="00C64BF7"/>
    <w:rsid w:val="00C70348"/>
    <w:rsid w:val="00C714BA"/>
    <w:rsid w:val="00C7308F"/>
    <w:rsid w:val="00C73AB6"/>
    <w:rsid w:val="00C77120"/>
    <w:rsid w:val="00C773C1"/>
    <w:rsid w:val="00C801E9"/>
    <w:rsid w:val="00C82100"/>
    <w:rsid w:val="00C82E42"/>
    <w:rsid w:val="00C847BC"/>
    <w:rsid w:val="00C856D4"/>
    <w:rsid w:val="00C86275"/>
    <w:rsid w:val="00C867E7"/>
    <w:rsid w:val="00C908F4"/>
    <w:rsid w:val="00C91BA6"/>
    <w:rsid w:val="00C923CF"/>
    <w:rsid w:val="00C93E92"/>
    <w:rsid w:val="00C95C6B"/>
    <w:rsid w:val="00CA02B3"/>
    <w:rsid w:val="00CA02F6"/>
    <w:rsid w:val="00CA483D"/>
    <w:rsid w:val="00CA5720"/>
    <w:rsid w:val="00CB035C"/>
    <w:rsid w:val="00CB0583"/>
    <w:rsid w:val="00CB45E4"/>
    <w:rsid w:val="00CB7C27"/>
    <w:rsid w:val="00CC1422"/>
    <w:rsid w:val="00CC4556"/>
    <w:rsid w:val="00CC6892"/>
    <w:rsid w:val="00CC7E52"/>
    <w:rsid w:val="00CD0903"/>
    <w:rsid w:val="00CD0DA4"/>
    <w:rsid w:val="00CD5B48"/>
    <w:rsid w:val="00CD62C6"/>
    <w:rsid w:val="00CE0CB3"/>
    <w:rsid w:val="00CE5791"/>
    <w:rsid w:val="00CE5803"/>
    <w:rsid w:val="00CE69D3"/>
    <w:rsid w:val="00CE6E00"/>
    <w:rsid w:val="00CE76D1"/>
    <w:rsid w:val="00CE7B01"/>
    <w:rsid w:val="00CF0D7C"/>
    <w:rsid w:val="00CF0DB9"/>
    <w:rsid w:val="00CF1CAE"/>
    <w:rsid w:val="00CF48E5"/>
    <w:rsid w:val="00CF6E62"/>
    <w:rsid w:val="00CF6EB3"/>
    <w:rsid w:val="00D00922"/>
    <w:rsid w:val="00D015D4"/>
    <w:rsid w:val="00D01C94"/>
    <w:rsid w:val="00D03118"/>
    <w:rsid w:val="00D0518E"/>
    <w:rsid w:val="00D05E41"/>
    <w:rsid w:val="00D06E70"/>
    <w:rsid w:val="00D076A6"/>
    <w:rsid w:val="00D1001F"/>
    <w:rsid w:val="00D10854"/>
    <w:rsid w:val="00D1126F"/>
    <w:rsid w:val="00D116B4"/>
    <w:rsid w:val="00D131AC"/>
    <w:rsid w:val="00D136D0"/>
    <w:rsid w:val="00D16143"/>
    <w:rsid w:val="00D22B25"/>
    <w:rsid w:val="00D233C3"/>
    <w:rsid w:val="00D242B9"/>
    <w:rsid w:val="00D244BA"/>
    <w:rsid w:val="00D25F7D"/>
    <w:rsid w:val="00D26A3B"/>
    <w:rsid w:val="00D31BCD"/>
    <w:rsid w:val="00D358F3"/>
    <w:rsid w:val="00D35C93"/>
    <w:rsid w:val="00D37773"/>
    <w:rsid w:val="00D4052F"/>
    <w:rsid w:val="00D40CF8"/>
    <w:rsid w:val="00D41E87"/>
    <w:rsid w:val="00D43D4E"/>
    <w:rsid w:val="00D44A61"/>
    <w:rsid w:val="00D44B71"/>
    <w:rsid w:val="00D469CF"/>
    <w:rsid w:val="00D47373"/>
    <w:rsid w:val="00D510F0"/>
    <w:rsid w:val="00D51483"/>
    <w:rsid w:val="00D51726"/>
    <w:rsid w:val="00D51819"/>
    <w:rsid w:val="00D52972"/>
    <w:rsid w:val="00D52BDB"/>
    <w:rsid w:val="00D52CD6"/>
    <w:rsid w:val="00D55846"/>
    <w:rsid w:val="00D55DA6"/>
    <w:rsid w:val="00D607F7"/>
    <w:rsid w:val="00D60B15"/>
    <w:rsid w:val="00D6231F"/>
    <w:rsid w:val="00D62A25"/>
    <w:rsid w:val="00D640DC"/>
    <w:rsid w:val="00D6496F"/>
    <w:rsid w:val="00D64FC3"/>
    <w:rsid w:val="00D6736B"/>
    <w:rsid w:val="00D67AEA"/>
    <w:rsid w:val="00D71960"/>
    <w:rsid w:val="00D72739"/>
    <w:rsid w:val="00D733A4"/>
    <w:rsid w:val="00D73D1C"/>
    <w:rsid w:val="00D7603D"/>
    <w:rsid w:val="00D764BF"/>
    <w:rsid w:val="00D77374"/>
    <w:rsid w:val="00D7773E"/>
    <w:rsid w:val="00D77794"/>
    <w:rsid w:val="00D82F06"/>
    <w:rsid w:val="00D8419D"/>
    <w:rsid w:val="00D8482F"/>
    <w:rsid w:val="00D87955"/>
    <w:rsid w:val="00D905B7"/>
    <w:rsid w:val="00D9465C"/>
    <w:rsid w:val="00D9600B"/>
    <w:rsid w:val="00D969B5"/>
    <w:rsid w:val="00D9705F"/>
    <w:rsid w:val="00D9764B"/>
    <w:rsid w:val="00D977FD"/>
    <w:rsid w:val="00DA5915"/>
    <w:rsid w:val="00DA7D8D"/>
    <w:rsid w:val="00DB207C"/>
    <w:rsid w:val="00DB23D8"/>
    <w:rsid w:val="00DB2673"/>
    <w:rsid w:val="00DB43A7"/>
    <w:rsid w:val="00DB4A44"/>
    <w:rsid w:val="00DB5C4D"/>
    <w:rsid w:val="00DB625E"/>
    <w:rsid w:val="00DB664E"/>
    <w:rsid w:val="00DB7C9A"/>
    <w:rsid w:val="00DC10FB"/>
    <w:rsid w:val="00DC1741"/>
    <w:rsid w:val="00DC3DE7"/>
    <w:rsid w:val="00DC4528"/>
    <w:rsid w:val="00DC46CD"/>
    <w:rsid w:val="00DC6F29"/>
    <w:rsid w:val="00DC77FF"/>
    <w:rsid w:val="00DC7C66"/>
    <w:rsid w:val="00DD1546"/>
    <w:rsid w:val="00DD4F32"/>
    <w:rsid w:val="00DD6C82"/>
    <w:rsid w:val="00DD7D52"/>
    <w:rsid w:val="00DE009A"/>
    <w:rsid w:val="00DE057F"/>
    <w:rsid w:val="00DE0ACB"/>
    <w:rsid w:val="00DE1792"/>
    <w:rsid w:val="00DE4CD6"/>
    <w:rsid w:val="00DE6179"/>
    <w:rsid w:val="00DF0A5F"/>
    <w:rsid w:val="00DF1D5B"/>
    <w:rsid w:val="00DF3E9C"/>
    <w:rsid w:val="00DF46DC"/>
    <w:rsid w:val="00DF4EED"/>
    <w:rsid w:val="00DF66E5"/>
    <w:rsid w:val="00DF67B8"/>
    <w:rsid w:val="00DF6935"/>
    <w:rsid w:val="00E0110F"/>
    <w:rsid w:val="00E0169D"/>
    <w:rsid w:val="00E02AE7"/>
    <w:rsid w:val="00E0449E"/>
    <w:rsid w:val="00E05B23"/>
    <w:rsid w:val="00E11236"/>
    <w:rsid w:val="00E119BD"/>
    <w:rsid w:val="00E1221D"/>
    <w:rsid w:val="00E127B5"/>
    <w:rsid w:val="00E14D5C"/>
    <w:rsid w:val="00E14EEB"/>
    <w:rsid w:val="00E1584A"/>
    <w:rsid w:val="00E16AD5"/>
    <w:rsid w:val="00E1767B"/>
    <w:rsid w:val="00E2017E"/>
    <w:rsid w:val="00E20245"/>
    <w:rsid w:val="00E22BD3"/>
    <w:rsid w:val="00E2316A"/>
    <w:rsid w:val="00E2325E"/>
    <w:rsid w:val="00E237B0"/>
    <w:rsid w:val="00E2647F"/>
    <w:rsid w:val="00E267B4"/>
    <w:rsid w:val="00E26F96"/>
    <w:rsid w:val="00E300CE"/>
    <w:rsid w:val="00E30705"/>
    <w:rsid w:val="00E31098"/>
    <w:rsid w:val="00E3117A"/>
    <w:rsid w:val="00E32339"/>
    <w:rsid w:val="00E33339"/>
    <w:rsid w:val="00E3563C"/>
    <w:rsid w:val="00E36432"/>
    <w:rsid w:val="00E36DF2"/>
    <w:rsid w:val="00E37204"/>
    <w:rsid w:val="00E37490"/>
    <w:rsid w:val="00E40B97"/>
    <w:rsid w:val="00E414C3"/>
    <w:rsid w:val="00E446DC"/>
    <w:rsid w:val="00E44A13"/>
    <w:rsid w:val="00E50501"/>
    <w:rsid w:val="00E50CCF"/>
    <w:rsid w:val="00E52B64"/>
    <w:rsid w:val="00E53456"/>
    <w:rsid w:val="00E56DBD"/>
    <w:rsid w:val="00E56EB7"/>
    <w:rsid w:val="00E573AF"/>
    <w:rsid w:val="00E6026F"/>
    <w:rsid w:val="00E62C80"/>
    <w:rsid w:val="00E647BD"/>
    <w:rsid w:val="00E6504C"/>
    <w:rsid w:val="00E65574"/>
    <w:rsid w:val="00E65634"/>
    <w:rsid w:val="00E67D39"/>
    <w:rsid w:val="00E71FFF"/>
    <w:rsid w:val="00E72176"/>
    <w:rsid w:val="00E73652"/>
    <w:rsid w:val="00E73A7C"/>
    <w:rsid w:val="00E73E4C"/>
    <w:rsid w:val="00E743CF"/>
    <w:rsid w:val="00E80BE7"/>
    <w:rsid w:val="00E81CD8"/>
    <w:rsid w:val="00E82C18"/>
    <w:rsid w:val="00E854A5"/>
    <w:rsid w:val="00E857F0"/>
    <w:rsid w:val="00E85CA1"/>
    <w:rsid w:val="00E85E95"/>
    <w:rsid w:val="00E86532"/>
    <w:rsid w:val="00E87568"/>
    <w:rsid w:val="00E90B92"/>
    <w:rsid w:val="00E9619B"/>
    <w:rsid w:val="00E96D93"/>
    <w:rsid w:val="00E97D61"/>
    <w:rsid w:val="00EA0CD8"/>
    <w:rsid w:val="00EA144F"/>
    <w:rsid w:val="00EA2067"/>
    <w:rsid w:val="00EA2511"/>
    <w:rsid w:val="00EA46FC"/>
    <w:rsid w:val="00EA6390"/>
    <w:rsid w:val="00EA711E"/>
    <w:rsid w:val="00EA722A"/>
    <w:rsid w:val="00EA7B8B"/>
    <w:rsid w:val="00EB00E6"/>
    <w:rsid w:val="00EB0E0F"/>
    <w:rsid w:val="00EB3E60"/>
    <w:rsid w:val="00EB65FE"/>
    <w:rsid w:val="00EB7AFA"/>
    <w:rsid w:val="00EC31AD"/>
    <w:rsid w:val="00EC47AA"/>
    <w:rsid w:val="00EC5B8E"/>
    <w:rsid w:val="00EC5C39"/>
    <w:rsid w:val="00EC6050"/>
    <w:rsid w:val="00EC69D8"/>
    <w:rsid w:val="00EC7C59"/>
    <w:rsid w:val="00EC7D43"/>
    <w:rsid w:val="00ED25D7"/>
    <w:rsid w:val="00ED2CD3"/>
    <w:rsid w:val="00ED32A6"/>
    <w:rsid w:val="00ED371B"/>
    <w:rsid w:val="00ED53CE"/>
    <w:rsid w:val="00ED54BF"/>
    <w:rsid w:val="00ED673C"/>
    <w:rsid w:val="00EE0A6E"/>
    <w:rsid w:val="00EE16E7"/>
    <w:rsid w:val="00EE1959"/>
    <w:rsid w:val="00EE7463"/>
    <w:rsid w:val="00EF045C"/>
    <w:rsid w:val="00EF08C6"/>
    <w:rsid w:val="00EF0D17"/>
    <w:rsid w:val="00EF19EA"/>
    <w:rsid w:val="00EF33F5"/>
    <w:rsid w:val="00EF3EC0"/>
    <w:rsid w:val="00EF4987"/>
    <w:rsid w:val="00EF4D6D"/>
    <w:rsid w:val="00EF5881"/>
    <w:rsid w:val="00EF6918"/>
    <w:rsid w:val="00EF77D3"/>
    <w:rsid w:val="00F01156"/>
    <w:rsid w:val="00F01420"/>
    <w:rsid w:val="00F01718"/>
    <w:rsid w:val="00F02CA2"/>
    <w:rsid w:val="00F03DF6"/>
    <w:rsid w:val="00F0516F"/>
    <w:rsid w:val="00F062FC"/>
    <w:rsid w:val="00F07D29"/>
    <w:rsid w:val="00F1056E"/>
    <w:rsid w:val="00F11C29"/>
    <w:rsid w:val="00F12B3C"/>
    <w:rsid w:val="00F13E28"/>
    <w:rsid w:val="00F14AB5"/>
    <w:rsid w:val="00F14FE3"/>
    <w:rsid w:val="00F15A14"/>
    <w:rsid w:val="00F1625D"/>
    <w:rsid w:val="00F206FA"/>
    <w:rsid w:val="00F224B6"/>
    <w:rsid w:val="00F23CB6"/>
    <w:rsid w:val="00F26FCB"/>
    <w:rsid w:val="00F27BE6"/>
    <w:rsid w:val="00F30CF0"/>
    <w:rsid w:val="00F31562"/>
    <w:rsid w:val="00F3308C"/>
    <w:rsid w:val="00F338A4"/>
    <w:rsid w:val="00F35006"/>
    <w:rsid w:val="00F366FF"/>
    <w:rsid w:val="00F36830"/>
    <w:rsid w:val="00F3780D"/>
    <w:rsid w:val="00F40FE5"/>
    <w:rsid w:val="00F41B6E"/>
    <w:rsid w:val="00F42E3D"/>
    <w:rsid w:val="00F4346A"/>
    <w:rsid w:val="00F43719"/>
    <w:rsid w:val="00F45A36"/>
    <w:rsid w:val="00F46CDE"/>
    <w:rsid w:val="00F46F82"/>
    <w:rsid w:val="00F474B3"/>
    <w:rsid w:val="00F510C1"/>
    <w:rsid w:val="00F5121D"/>
    <w:rsid w:val="00F51B0F"/>
    <w:rsid w:val="00F52888"/>
    <w:rsid w:val="00F53440"/>
    <w:rsid w:val="00F53E04"/>
    <w:rsid w:val="00F54787"/>
    <w:rsid w:val="00F55811"/>
    <w:rsid w:val="00F56348"/>
    <w:rsid w:val="00F56A88"/>
    <w:rsid w:val="00F575EE"/>
    <w:rsid w:val="00F57F6B"/>
    <w:rsid w:val="00F60673"/>
    <w:rsid w:val="00F60B9F"/>
    <w:rsid w:val="00F63DFC"/>
    <w:rsid w:val="00F64CAA"/>
    <w:rsid w:val="00F65ACE"/>
    <w:rsid w:val="00F66319"/>
    <w:rsid w:val="00F6638B"/>
    <w:rsid w:val="00F66488"/>
    <w:rsid w:val="00F66ED8"/>
    <w:rsid w:val="00F6788E"/>
    <w:rsid w:val="00F726A8"/>
    <w:rsid w:val="00F7372C"/>
    <w:rsid w:val="00F73A22"/>
    <w:rsid w:val="00F73C52"/>
    <w:rsid w:val="00F73F7F"/>
    <w:rsid w:val="00F761F8"/>
    <w:rsid w:val="00F765DD"/>
    <w:rsid w:val="00F77B5E"/>
    <w:rsid w:val="00F77D14"/>
    <w:rsid w:val="00F81550"/>
    <w:rsid w:val="00F81CEA"/>
    <w:rsid w:val="00F81D07"/>
    <w:rsid w:val="00F82982"/>
    <w:rsid w:val="00F83E2C"/>
    <w:rsid w:val="00F94E15"/>
    <w:rsid w:val="00F97625"/>
    <w:rsid w:val="00F977A2"/>
    <w:rsid w:val="00F9787A"/>
    <w:rsid w:val="00FA06AB"/>
    <w:rsid w:val="00FA2BEA"/>
    <w:rsid w:val="00FA4E76"/>
    <w:rsid w:val="00FA5283"/>
    <w:rsid w:val="00FA67DD"/>
    <w:rsid w:val="00FA73DB"/>
    <w:rsid w:val="00FA7FB2"/>
    <w:rsid w:val="00FB2B41"/>
    <w:rsid w:val="00FB4691"/>
    <w:rsid w:val="00FB6A97"/>
    <w:rsid w:val="00FB7EA4"/>
    <w:rsid w:val="00FC1DBF"/>
    <w:rsid w:val="00FC36AD"/>
    <w:rsid w:val="00FC3F3F"/>
    <w:rsid w:val="00FC4757"/>
    <w:rsid w:val="00FC5CD3"/>
    <w:rsid w:val="00FC6BAF"/>
    <w:rsid w:val="00FD0CF4"/>
    <w:rsid w:val="00FD1EA9"/>
    <w:rsid w:val="00FD1EAE"/>
    <w:rsid w:val="00FD2177"/>
    <w:rsid w:val="00FD2D03"/>
    <w:rsid w:val="00FD3D8B"/>
    <w:rsid w:val="00FD43AF"/>
    <w:rsid w:val="00FD571C"/>
    <w:rsid w:val="00FD7954"/>
    <w:rsid w:val="00FD7FBF"/>
    <w:rsid w:val="00FE0822"/>
    <w:rsid w:val="00FE0BDB"/>
    <w:rsid w:val="00FE14C5"/>
    <w:rsid w:val="00FE3045"/>
    <w:rsid w:val="00FE3F75"/>
    <w:rsid w:val="00FE435B"/>
    <w:rsid w:val="00FE4955"/>
    <w:rsid w:val="00FE636A"/>
    <w:rsid w:val="00FE6504"/>
    <w:rsid w:val="00FE7D59"/>
    <w:rsid w:val="00FF0367"/>
    <w:rsid w:val="00FF0F57"/>
    <w:rsid w:val="00FF1AAC"/>
    <w:rsid w:val="00FF1B4F"/>
    <w:rsid w:val="00FF2BB8"/>
    <w:rsid w:val="00FF2C2D"/>
    <w:rsid w:val="00FF2EB8"/>
    <w:rsid w:val="00FF51E2"/>
    <w:rsid w:val="00FF5A1B"/>
    <w:rsid w:val="00FF6B13"/>
    <w:rsid w:val="00FF7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F72"/>
  <w15:chartTrackingRefBased/>
  <w15:docId w15:val="{15132611-9289-4C6E-A74A-C53298B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EE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5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F4"/>
    <w:rPr>
      <w:rFonts w:eastAsiaTheme="majorEastAsia" w:cstheme="majorBidi"/>
      <w:color w:val="272727" w:themeColor="text1" w:themeTint="D8"/>
    </w:rPr>
  </w:style>
  <w:style w:type="paragraph" w:styleId="Title">
    <w:name w:val="Title"/>
    <w:basedOn w:val="Normal"/>
    <w:next w:val="Normal"/>
    <w:link w:val="TitleChar"/>
    <w:uiPriority w:val="10"/>
    <w:qFormat/>
    <w:rsid w:val="00056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3F4"/>
    <w:rPr>
      <w:i/>
      <w:iCs/>
      <w:color w:val="404040" w:themeColor="text1" w:themeTint="BF"/>
    </w:rPr>
  </w:style>
  <w:style w:type="paragraph" w:styleId="ListParagraph">
    <w:name w:val="List Paragraph"/>
    <w:basedOn w:val="Normal"/>
    <w:uiPriority w:val="34"/>
    <w:qFormat/>
    <w:rsid w:val="000563F4"/>
    <w:pPr>
      <w:ind w:left="720"/>
      <w:contextualSpacing/>
    </w:pPr>
  </w:style>
  <w:style w:type="character" w:styleId="IntenseEmphasis">
    <w:name w:val="Intense Emphasis"/>
    <w:basedOn w:val="DefaultParagraphFont"/>
    <w:uiPriority w:val="21"/>
    <w:qFormat/>
    <w:rsid w:val="000563F4"/>
    <w:rPr>
      <w:i/>
      <w:iCs/>
      <w:color w:val="0F4761" w:themeColor="accent1" w:themeShade="BF"/>
    </w:rPr>
  </w:style>
  <w:style w:type="paragraph" w:styleId="IntenseQuote">
    <w:name w:val="Intense Quote"/>
    <w:basedOn w:val="Normal"/>
    <w:next w:val="Normal"/>
    <w:link w:val="IntenseQuoteChar"/>
    <w:uiPriority w:val="30"/>
    <w:qFormat/>
    <w:rsid w:val="0005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3F4"/>
    <w:rPr>
      <w:i/>
      <w:iCs/>
      <w:color w:val="0F4761" w:themeColor="accent1" w:themeShade="BF"/>
    </w:rPr>
  </w:style>
  <w:style w:type="character" w:styleId="IntenseReference">
    <w:name w:val="Intense Reference"/>
    <w:basedOn w:val="DefaultParagraphFont"/>
    <w:uiPriority w:val="32"/>
    <w:qFormat/>
    <w:rsid w:val="000563F4"/>
    <w:rPr>
      <w:b/>
      <w:bCs/>
      <w:smallCaps/>
      <w:color w:val="0F4761" w:themeColor="accent1" w:themeShade="BF"/>
      <w:spacing w:val="5"/>
    </w:rPr>
  </w:style>
  <w:style w:type="character" w:styleId="Hyperlink">
    <w:name w:val="Hyperlink"/>
    <w:basedOn w:val="DefaultParagraphFont"/>
    <w:uiPriority w:val="99"/>
    <w:unhideWhenUsed/>
    <w:rsid w:val="00202F17"/>
    <w:rPr>
      <w:color w:val="467886" w:themeColor="hyperlink"/>
      <w:u w:val="single"/>
    </w:rPr>
  </w:style>
  <w:style w:type="character" w:styleId="UnresolvedMention">
    <w:name w:val="Unresolved Mention"/>
    <w:basedOn w:val="DefaultParagraphFont"/>
    <w:uiPriority w:val="99"/>
    <w:semiHidden/>
    <w:unhideWhenUsed/>
    <w:rsid w:val="00202F17"/>
    <w:rPr>
      <w:color w:val="605E5C"/>
      <w:shd w:val="clear" w:color="auto" w:fill="E1DFDD"/>
    </w:rPr>
  </w:style>
  <w:style w:type="paragraph" w:customStyle="1" w:styleId="Default">
    <w:name w:val="Default"/>
    <w:rsid w:val="00BE6C0F"/>
    <w:pPr>
      <w:autoSpaceDE w:val="0"/>
      <w:autoSpaceDN w:val="0"/>
      <w:adjustRightInd w:val="0"/>
    </w:pPr>
    <w:rPr>
      <w:rFonts w:ascii="Tahoma" w:hAnsi="Tahoma" w:cs="Tahoma"/>
      <w:color w:val="000000"/>
      <w:kern w:val="0"/>
      <w:lang w:val="en-GB"/>
    </w:rPr>
  </w:style>
  <w:style w:type="table" w:styleId="TableGrid">
    <w:name w:val="Table Grid"/>
    <w:basedOn w:val="TableNormal"/>
    <w:uiPriority w:val="39"/>
    <w:rsid w:val="00320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75DF"/>
    <w:rPr>
      <w:color w:val="666666"/>
    </w:rPr>
  </w:style>
  <w:style w:type="character" w:styleId="FollowedHyperlink">
    <w:name w:val="FollowedHyperlink"/>
    <w:basedOn w:val="DefaultParagraphFont"/>
    <w:uiPriority w:val="99"/>
    <w:semiHidden/>
    <w:unhideWhenUsed/>
    <w:rsid w:val="009D5AAF"/>
    <w:rPr>
      <w:color w:val="96607D" w:themeColor="followedHyperlink"/>
      <w:u w:val="single"/>
    </w:rPr>
  </w:style>
  <w:style w:type="character" w:customStyle="1" w:styleId="normaltextrun">
    <w:name w:val="normaltextrun"/>
    <w:basedOn w:val="DefaultParagraphFont"/>
    <w:rsid w:val="00DE057F"/>
  </w:style>
  <w:style w:type="character" w:customStyle="1" w:styleId="eop">
    <w:name w:val="eop"/>
    <w:basedOn w:val="DefaultParagraphFont"/>
    <w:rsid w:val="00DE057F"/>
  </w:style>
  <w:style w:type="paragraph" w:styleId="NormalWeb">
    <w:name w:val="Normal (Web)"/>
    <w:basedOn w:val="Normal"/>
    <w:uiPriority w:val="99"/>
    <w:unhideWhenUsed/>
    <w:rsid w:val="00171624"/>
    <w:pPr>
      <w:spacing w:before="100" w:beforeAutospacing="1" w:after="100" w:afterAutospacing="1"/>
    </w:pPr>
  </w:style>
  <w:style w:type="paragraph" w:styleId="Header">
    <w:name w:val="header"/>
    <w:basedOn w:val="Normal"/>
    <w:link w:val="HeaderChar"/>
    <w:uiPriority w:val="99"/>
    <w:unhideWhenUsed/>
    <w:rsid w:val="00635054"/>
    <w:pPr>
      <w:tabs>
        <w:tab w:val="center" w:pos="4513"/>
        <w:tab w:val="right" w:pos="9026"/>
      </w:tabs>
    </w:pPr>
  </w:style>
  <w:style w:type="character" w:customStyle="1" w:styleId="HeaderChar">
    <w:name w:val="Header Char"/>
    <w:basedOn w:val="DefaultParagraphFont"/>
    <w:link w:val="Header"/>
    <w:uiPriority w:val="99"/>
    <w:rsid w:val="00635054"/>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35054"/>
    <w:pPr>
      <w:tabs>
        <w:tab w:val="center" w:pos="4513"/>
        <w:tab w:val="right" w:pos="9026"/>
      </w:tabs>
    </w:pPr>
  </w:style>
  <w:style w:type="character" w:customStyle="1" w:styleId="FooterChar">
    <w:name w:val="Footer Char"/>
    <w:basedOn w:val="DefaultParagraphFont"/>
    <w:link w:val="Footer"/>
    <w:uiPriority w:val="99"/>
    <w:rsid w:val="00635054"/>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96A36"/>
    <w:rPr>
      <w:rFonts w:ascii="Courier New" w:eastAsia="Times New Roman" w:hAnsi="Courier New" w:cs="Courier New"/>
      <w:sz w:val="20"/>
      <w:szCs w:val="20"/>
    </w:rPr>
  </w:style>
  <w:style w:type="character" w:customStyle="1" w:styleId="pre">
    <w:name w:val="pre"/>
    <w:basedOn w:val="DefaultParagraphFont"/>
    <w:rsid w:val="00096A36"/>
  </w:style>
  <w:style w:type="character" w:styleId="Strong">
    <w:name w:val="Strong"/>
    <w:basedOn w:val="DefaultParagraphFont"/>
    <w:uiPriority w:val="22"/>
    <w:qFormat/>
    <w:rsid w:val="00096A36"/>
    <w:rPr>
      <w:b/>
      <w:bCs/>
    </w:rPr>
  </w:style>
  <w:style w:type="character" w:styleId="CommentReference">
    <w:name w:val="annotation reference"/>
    <w:basedOn w:val="DefaultParagraphFont"/>
    <w:uiPriority w:val="99"/>
    <w:semiHidden/>
    <w:unhideWhenUsed/>
    <w:rsid w:val="00833E2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7B10EB"/>
    <w:rPr>
      <w:b/>
      <w:bCs/>
    </w:rPr>
  </w:style>
  <w:style w:type="character" w:customStyle="1" w:styleId="CommentSubjectChar">
    <w:name w:val="Comment Subject Char"/>
    <w:basedOn w:val="CommentTextChar"/>
    <w:link w:val="CommentSubject"/>
    <w:uiPriority w:val="99"/>
    <w:semiHidden/>
    <w:rsid w:val="007B10EB"/>
    <w:rPr>
      <w:rFonts w:ascii="Times New Roman" w:eastAsia="Times New Roman" w:hAnsi="Times New Roman" w:cs="Times New Roman"/>
      <w:b/>
      <w:bCs/>
      <w:kern w:val="0"/>
      <w:sz w:val="20"/>
      <w:szCs w:val="20"/>
      <w:lang w:eastAsia="en-GB"/>
      <w14:ligatures w14:val="none"/>
    </w:rPr>
  </w:style>
  <w:style w:type="character" w:customStyle="1" w:styleId="sig-paren">
    <w:name w:val="sig-paren"/>
    <w:basedOn w:val="DefaultParagraphFont"/>
    <w:rsid w:val="002B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8238">
      <w:bodyDiv w:val="1"/>
      <w:marLeft w:val="0"/>
      <w:marRight w:val="0"/>
      <w:marTop w:val="0"/>
      <w:marBottom w:val="0"/>
      <w:divBdr>
        <w:top w:val="none" w:sz="0" w:space="0" w:color="auto"/>
        <w:left w:val="none" w:sz="0" w:space="0" w:color="auto"/>
        <w:bottom w:val="none" w:sz="0" w:space="0" w:color="auto"/>
        <w:right w:val="none" w:sz="0" w:space="0" w:color="auto"/>
      </w:divBdr>
    </w:div>
    <w:div w:id="456804733">
      <w:bodyDiv w:val="1"/>
      <w:marLeft w:val="0"/>
      <w:marRight w:val="0"/>
      <w:marTop w:val="0"/>
      <w:marBottom w:val="0"/>
      <w:divBdr>
        <w:top w:val="none" w:sz="0" w:space="0" w:color="auto"/>
        <w:left w:val="none" w:sz="0" w:space="0" w:color="auto"/>
        <w:bottom w:val="none" w:sz="0" w:space="0" w:color="auto"/>
        <w:right w:val="none" w:sz="0" w:space="0" w:color="auto"/>
      </w:divBdr>
    </w:div>
    <w:div w:id="509753874">
      <w:bodyDiv w:val="1"/>
      <w:marLeft w:val="0"/>
      <w:marRight w:val="0"/>
      <w:marTop w:val="0"/>
      <w:marBottom w:val="0"/>
      <w:divBdr>
        <w:top w:val="none" w:sz="0" w:space="0" w:color="auto"/>
        <w:left w:val="none" w:sz="0" w:space="0" w:color="auto"/>
        <w:bottom w:val="none" w:sz="0" w:space="0" w:color="auto"/>
        <w:right w:val="none" w:sz="0" w:space="0" w:color="auto"/>
      </w:divBdr>
    </w:div>
    <w:div w:id="513424212">
      <w:bodyDiv w:val="1"/>
      <w:marLeft w:val="0"/>
      <w:marRight w:val="0"/>
      <w:marTop w:val="0"/>
      <w:marBottom w:val="0"/>
      <w:divBdr>
        <w:top w:val="none" w:sz="0" w:space="0" w:color="auto"/>
        <w:left w:val="none" w:sz="0" w:space="0" w:color="auto"/>
        <w:bottom w:val="none" w:sz="0" w:space="0" w:color="auto"/>
        <w:right w:val="none" w:sz="0" w:space="0" w:color="auto"/>
      </w:divBdr>
      <w:divsChild>
        <w:div w:id="1660578337">
          <w:marLeft w:val="0"/>
          <w:marRight w:val="0"/>
          <w:marTop w:val="0"/>
          <w:marBottom w:val="0"/>
          <w:divBdr>
            <w:top w:val="none" w:sz="0" w:space="0" w:color="auto"/>
            <w:left w:val="none" w:sz="0" w:space="0" w:color="auto"/>
            <w:bottom w:val="none" w:sz="0" w:space="0" w:color="auto"/>
            <w:right w:val="none" w:sz="0" w:space="0" w:color="auto"/>
          </w:divBdr>
          <w:divsChild>
            <w:div w:id="1387294736">
              <w:marLeft w:val="0"/>
              <w:marRight w:val="0"/>
              <w:marTop w:val="0"/>
              <w:marBottom w:val="0"/>
              <w:divBdr>
                <w:top w:val="none" w:sz="0" w:space="0" w:color="auto"/>
                <w:left w:val="none" w:sz="0" w:space="0" w:color="auto"/>
                <w:bottom w:val="none" w:sz="0" w:space="0" w:color="auto"/>
                <w:right w:val="none" w:sz="0" w:space="0" w:color="auto"/>
              </w:divBdr>
            </w:div>
            <w:div w:id="1363357283">
              <w:marLeft w:val="0"/>
              <w:marRight w:val="0"/>
              <w:marTop w:val="0"/>
              <w:marBottom w:val="0"/>
              <w:divBdr>
                <w:top w:val="none" w:sz="0" w:space="0" w:color="auto"/>
                <w:left w:val="none" w:sz="0" w:space="0" w:color="auto"/>
                <w:bottom w:val="none" w:sz="0" w:space="0" w:color="auto"/>
                <w:right w:val="none" w:sz="0" w:space="0" w:color="auto"/>
              </w:divBdr>
            </w:div>
            <w:div w:id="782264915">
              <w:marLeft w:val="0"/>
              <w:marRight w:val="0"/>
              <w:marTop w:val="0"/>
              <w:marBottom w:val="0"/>
              <w:divBdr>
                <w:top w:val="none" w:sz="0" w:space="0" w:color="auto"/>
                <w:left w:val="none" w:sz="0" w:space="0" w:color="auto"/>
                <w:bottom w:val="none" w:sz="0" w:space="0" w:color="auto"/>
                <w:right w:val="none" w:sz="0" w:space="0" w:color="auto"/>
              </w:divBdr>
            </w:div>
            <w:div w:id="445195565">
              <w:marLeft w:val="0"/>
              <w:marRight w:val="0"/>
              <w:marTop w:val="0"/>
              <w:marBottom w:val="0"/>
              <w:divBdr>
                <w:top w:val="none" w:sz="0" w:space="0" w:color="auto"/>
                <w:left w:val="none" w:sz="0" w:space="0" w:color="auto"/>
                <w:bottom w:val="none" w:sz="0" w:space="0" w:color="auto"/>
                <w:right w:val="none" w:sz="0" w:space="0" w:color="auto"/>
              </w:divBdr>
            </w:div>
            <w:div w:id="1364013335">
              <w:marLeft w:val="0"/>
              <w:marRight w:val="0"/>
              <w:marTop w:val="0"/>
              <w:marBottom w:val="0"/>
              <w:divBdr>
                <w:top w:val="none" w:sz="0" w:space="0" w:color="auto"/>
                <w:left w:val="none" w:sz="0" w:space="0" w:color="auto"/>
                <w:bottom w:val="none" w:sz="0" w:space="0" w:color="auto"/>
                <w:right w:val="none" w:sz="0" w:space="0" w:color="auto"/>
              </w:divBdr>
            </w:div>
            <w:div w:id="1681737272">
              <w:marLeft w:val="0"/>
              <w:marRight w:val="0"/>
              <w:marTop w:val="0"/>
              <w:marBottom w:val="0"/>
              <w:divBdr>
                <w:top w:val="none" w:sz="0" w:space="0" w:color="auto"/>
                <w:left w:val="none" w:sz="0" w:space="0" w:color="auto"/>
                <w:bottom w:val="none" w:sz="0" w:space="0" w:color="auto"/>
                <w:right w:val="none" w:sz="0" w:space="0" w:color="auto"/>
              </w:divBdr>
            </w:div>
            <w:div w:id="1586107634">
              <w:marLeft w:val="0"/>
              <w:marRight w:val="0"/>
              <w:marTop w:val="0"/>
              <w:marBottom w:val="0"/>
              <w:divBdr>
                <w:top w:val="none" w:sz="0" w:space="0" w:color="auto"/>
                <w:left w:val="none" w:sz="0" w:space="0" w:color="auto"/>
                <w:bottom w:val="none" w:sz="0" w:space="0" w:color="auto"/>
                <w:right w:val="none" w:sz="0" w:space="0" w:color="auto"/>
              </w:divBdr>
            </w:div>
            <w:div w:id="103423088">
              <w:marLeft w:val="0"/>
              <w:marRight w:val="0"/>
              <w:marTop w:val="0"/>
              <w:marBottom w:val="0"/>
              <w:divBdr>
                <w:top w:val="none" w:sz="0" w:space="0" w:color="auto"/>
                <w:left w:val="none" w:sz="0" w:space="0" w:color="auto"/>
                <w:bottom w:val="none" w:sz="0" w:space="0" w:color="auto"/>
                <w:right w:val="none" w:sz="0" w:space="0" w:color="auto"/>
              </w:divBdr>
            </w:div>
            <w:div w:id="351303213">
              <w:marLeft w:val="0"/>
              <w:marRight w:val="0"/>
              <w:marTop w:val="0"/>
              <w:marBottom w:val="0"/>
              <w:divBdr>
                <w:top w:val="none" w:sz="0" w:space="0" w:color="auto"/>
                <w:left w:val="none" w:sz="0" w:space="0" w:color="auto"/>
                <w:bottom w:val="none" w:sz="0" w:space="0" w:color="auto"/>
                <w:right w:val="none" w:sz="0" w:space="0" w:color="auto"/>
              </w:divBdr>
            </w:div>
            <w:div w:id="1412779231">
              <w:marLeft w:val="0"/>
              <w:marRight w:val="0"/>
              <w:marTop w:val="0"/>
              <w:marBottom w:val="0"/>
              <w:divBdr>
                <w:top w:val="none" w:sz="0" w:space="0" w:color="auto"/>
                <w:left w:val="none" w:sz="0" w:space="0" w:color="auto"/>
                <w:bottom w:val="none" w:sz="0" w:space="0" w:color="auto"/>
                <w:right w:val="none" w:sz="0" w:space="0" w:color="auto"/>
              </w:divBdr>
            </w:div>
            <w:div w:id="762847543">
              <w:marLeft w:val="0"/>
              <w:marRight w:val="0"/>
              <w:marTop w:val="0"/>
              <w:marBottom w:val="0"/>
              <w:divBdr>
                <w:top w:val="none" w:sz="0" w:space="0" w:color="auto"/>
                <w:left w:val="none" w:sz="0" w:space="0" w:color="auto"/>
                <w:bottom w:val="none" w:sz="0" w:space="0" w:color="auto"/>
                <w:right w:val="none" w:sz="0" w:space="0" w:color="auto"/>
              </w:divBdr>
            </w:div>
            <w:div w:id="1347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1935">
      <w:bodyDiv w:val="1"/>
      <w:marLeft w:val="0"/>
      <w:marRight w:val="0"/>
      <w:marTop w:val="0"/>
      <w:marBottom w:val="0"/>
      <w:divBdr>
        <w:top w:val="none" w:sz="0" w:space="0" w:color="auto"/>
        <w:left w:val="none" w:sz="0" w:space="0" w:color="auto"/>
        <w:bottom w:val="none" w:sz="0" w:space="0" w:color="auto"/>
        <w:right w:val="none" w:sz="0" w:space="0" w:color="auto"/>
      </w:divBdr>
      <w:divsChild>
        <w:div w:id="1577284110">
          <w:marLeft w:val="0"/>
          <w:marRight w:val="0"/>
          <w:marTop w:val="0"/>
          <w:marBottom w:val="0"/>
          <w:divBdr>
            <w:top w:val="none" w:sz="0" w:space="0" w:color="auto"/>
            <w:left w:val="none" w:sz="0" w:space="0" w:color="auto"/>
            <w:bottom w:val="none" w:sz="0" w:space="0" w:color="auto"/>
            <w:right w:val="none" w:sz="0" w:space="0" w:color="auto"/>
          </w:divBdr>
          <w:divsChild>
            <w:div w:id="28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798">
      <w:bodyDiv w:val="1"/>
      <w:marLeft w:val="0"/>
      <w:marRight w:val="0"/>
      <w:marTop w:val="0"/>
      <w:marBottom w:val="0"/>
      <w:divBdr>
        <w:top w:val="none" w:sz="0" w:space="0" w:color="auto"/>
        <w:left w:val="none" w:sz="0" w:space="0" w:color="auto"/>
        <w:bottom w:val="none" w:sz="0" w:space="0" w:color="auto"/>
        <w:right w:val="none" w:sz="0" w:space="0" w:color="auto"/>
      </w:divBdr>
      <w:divsChild>
        <w:div w:id="559487042">
          <w:marLeft w:val="0"/>
          <w:marRight w:val="0"/>
          <w:marTop w:val="0"/>
          <w:marBottom w:val="0"/>
          <w:divBdr>
            <w:top w:val="none" w:sz="0" w:space="0" w:color="auto"/>
            <w:left w:val="none" w:sz="0" w:space="0" w:color="auto"/>
            <w:bottom w:val="none" w:sz="0" w:space="0" w:color="auto"/>
            <w:right w:val="none" w:sz="0" w:space="0" w:color="auto"/>
          </w:divBdr>
          <w:divsChild>
            <w:div w:id="948778342">
              <w:marLeft w:val="0"/>
              <w:marRight w:val="0"/>
              <w:marTop w:val="0"/>
              <w:marBottom w:val="0"/>
              <w:divBdr>
                <w:top w:val="none" w:sz="0" w:space="0" w:color="auto"/>
                <w:left w:val="none" w:sz="0" w:space="0" w:color="auto"/>
                <w:bottom w:val="none" w:sz="0" w:space="0" w:color="auto"/>
                <w:right w:val="none" w:sz="0" w:space="0" w:color="auto"/>
              </w:divBdr>
              <w:divsChild>
                <w:div w:id="561478055">
                  <w:marLeft w:val="0"/>
                  <w:marRight w:val="0"/>
                  <w:marTop w:val="0"/>
                  <w:marBottom w:val="0"/>
                  <w:divBdr>
                    <w:top w:val="none" w:sz="0" w:space="0" w:color="auto"/>
                    <w:left w:val="none" w:sz="0" w:space="0" w:color="auto"/>
                    <w:bottom w:val="none" w:sz="0" w:space="0" w:color="auto"/>
                    <w:right w:val="none" w:sz="0" w:space="0" w:color="auto"/>
                  </w:divBdr>
                  <w:divsChild>
                    <w:div w:id="650057597">
                      <w:marLeft w:val="0"/>
                      <w:marRight w:val="0"/>
                      <w:marTop w:val="0"/>
                      <w:marBottom w:val="0"/>
                      <w:divBdr>
                        <w:top w:val="none" w:sz="0" w:space="0" w:color="auto"/>
                        <w:left w:val="none" w:sz="0" w:space="0" w:color="auto"/>
                        <w:bottom w:val="none" w:sz="0" w:space="0" w:color="auto"/>
                        <w:right w:val="none" w:sz="0" w:space="0" w:color="auto"/>
                      </w:divBdr>
                      <w:divsChild>
                        <w:div w:id="769355057">
                          <w:marLeft w:val="0"/>
                          <w:marRight w:val="0"/>
                          <w:marTop w:val="0"/>
                          <w:marBottom w:val="0"/>
                          <w:divBdr>
                            <w:top w:val="none" w:sz="0" w:space="0" w:color="auto"/>
                            <w:left w:val="none" w:sz="0" w:space="0" w:color="auto"/>
                            <w:bottom w:val="none" w:sz="0" w:space="0" w:color="auto"/>
                            <w:right w:val="none" w:sz="0" w:space="0" w:color="auto"/>
                          </w:divBdr>
                          <w:divsChild>
                            <w:div w:id="1608657954">
                              <w:marLeft w:val="0"/>
                              <w:marRight w:val="0"/>
                              <w:marTop w:val="0"/>
                              <w:marBottom w:val="480"/>
                              <w:divBdr>
                                <w:top w:val="none" w:sz="0" w:space="0" w:color="auto"/>
                                <w:left w:val="none" w:sz="0" w:space="0" w:color="auto"/>
                                <w:bottom w:val="none" w:sz="0" w:space="0" w:color="auto"/>
                                <w:right w:val="none" w:sz="0" w:space="0" w:color="auto"/>
                              </w:divBdr>
                              <w:divsChild>
                                <w:div w:id="433482484">
                                  <w:marLeft w:val="0"/>
                                  <w:marRight w:val="0"/>
                                  <w:marTop w:val="0"/>
                                  <w:marBottom w:val="0"/>
                                  <w:divBdr>
                                    <w:top w:val="none" w:sz="0" w:space="0" w:color="auto"/>
                                    <w:left w:val="none" w:sz="0" w:space="0" w:color="auto"/>
                                    <w:bottom w:val="none" w:sz="0" w:space="0" w:color="auto"/>
                                    <w:right w:val="none" w:sz="0" w:space="0" w:color="auto"/>
                                  </w:divBdr>
                                </w:div>
                                <w:div w:id="747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537126">
      <w:bodyDiv w:val="1"/>
      <w:marLeft w:val="0"/>
      <w:marRight w:val="0"/>
      <w:marTop w:val="0"/>
      <w:marBottom w:val="0"/>
      <w:divBdr>
        <w:top w:val="none" w:sz="0" w:space="0" w:color="auto"/>
        <w:left w:val="none" w:sz="0" w:space="0" w:color="auto"/>
        <w:bottom w:val="none" w:sz="0" w:space="0" w:color="auto"/>
        <w:right w:val="none" w:sz="0" w:space="0" w:color="auto"/>
      </w:divBdr>
      <w:divsChild>
        <w:div w:id="643316851">
          <w:marLeft w:val="0"/>
          <w:marRight w:val="0"/>
          <w:marTop w:val="0"/>
          <w:marBottom w:val="0"/>
          <w:divBdr>
            <w:top w:val="none" w:sz="0" w:space="0" w:color="auto"/>
            <w:left w:val="none" w:sz="0" w:space="0" w:color="auto"/>
            <w:bottom w:val="none" w:sz="0" w:space="0" w:color="auto"/>
            <w:right w:val="none" w:sz="0" w:space="0" w:color="auto"/>
          </w:divBdr>
          <w:divsChild>
            <w:div w:id="1559239500">
              <w:marLeft w:val="0"/>
              <w:marRight w:val="0"/>
              <w:marTop w:val="0"/>
              <w:marBottom w:val="0"/>
              <w:divBdr>
                <w:top w:val="none" w:sz="0" w:space="0" w:color="auto"/>
                <w:left w:val="none" w:sz="0" w:space="0" w:color="auto"/>
                <w:bottom w:val="none" w:sz="0" w:space="0" w:color="auto"/>
                <w:right w:val="none" w:sz="0" w:space="0" w:color="auto"/>
              </w:divBdr>
            </w:div>
            <w:div w:id="1418988301">
              <w:marLeft w:val="0"/>
              <w:marRight w:val="0"/>
              <w:marTop w:val="0"/>
              <w:marBottom w:val="0"/>
              <w:divBdr>
                <w:top w:val="none" w:sz="0" w:space="0" w:color="auto"/>
                <w:left w:val="none" w:sz="0" w:space="0" w:color="auto"/>
                <w:bottom w:val="none" w:sz="0" w:space="0" w:color="auto"/>
                <w:right w:val="none" w:sz="0" w:space="0" w:color="auto"/>
              </w:divBdr>
            </w:div>
            <w:div w:id="21365214">
              <w:marLeft w:val="0"/>
              <w:marRight w:val="0"/>
              <w:marTop w:val="0"/>
              <w:marBottom w:val="0"/>
              <w:divBdr>
                <w:top w:val="none" w:sz="0" w:space="0" w:color="auto"/>
                <w:left w:val="none" w:sz="0" w:space="0" w:color="auto"/>
                <w:bottom w:val="none" w:sz="0" w:space="0" w:color="auto"/>
                <w:right w:val="none" w:sz="0" w:space="0" w:color="auto"/>
              </w:divBdr>
            </w:div>
            <w:div w:id="864372189">
              <w:marLeft w:val="0"/>
              <w:marRight w:val="0"/>
              <w:marTop w:val="0"/>
              <w:marBottom w:val="0"/>
              <w:divBdr>
                <w:top w:val="none" w:sz="0" w:space="0" w:color="auto"/>
                <w:left w:val="none" w:sz="0" w:space="0" w:color="auto"/>
                <w:bottom w:val="none" w:sz="0" w:space="0" w:color="auto"/>
                <w:right w:val="none" w:sz="0" w:space="0" w:color="auto"/>
              </w:divBdr>
            </w:div>
            <w:div w:id="1546327678">
              <w:marLeft w:val="0"/>
              <w:marRight w:val="0"/>
              <w:marTop w:val="0"/>
              <w:marBottom w:val="0"/>
              <w:divBdr>
                <w:top w:val="none" w:sz="0" w:space="0" w:color="auto"/>
                <w:left w:val="none" w:sz="0" w:space="0" w:color="auto"/>
                <w:bottom w:val="none" w:sz="0" w:space="0" w:color="auto"/>
                <w:right w:val="none" w:sz="0" w:space="0" w:color="auto"/>
              </w:divBdr>
            </w:div>
            <w:div w:id="1684284640">
              <w:marLeft w:val="0"/>
              <w:marRight w:val="0"/>
              <w:marTop w:val="0"/>
              <w:marBottom w:val="0"/>
              <w:divBdr>
                <w:top w:val="none" w:sz="0" w:space="0" w:color="auto"/>
                <w:left w:val="none" w:sz="0" w:space="0" w:color="auto"/>
                <w:bottom w:val="none" w:sz="0" w:space="0" w:color="auto"/>
                <w:right w:val="none" w:sz="0" w:space="0" w:color="auto"/>
              </w:divBdr>
            </w:div>
            <w:div w:id="866679476">
              <w:marLeft w:val="0"/>
              <w:marRight w:val="0"/>
              <w:marTop w:val="0"/>
              <w:marBottom w:val="0"/>
              <w:divBdr>
                <w:top w:val="none" w:sz="0" w:space="0" w:color="auto"/>
                <w:left w:val="none" w:sz="0" w:space="0" w:color="auto"/>
                <w:bottom w:val="none" w:sz="0" w:space="0" w:color="auto"/>
                <w:right w:val="none" w:sz="0" w:space="0" w:color="auto"/>
              </w:divBdr>
            </w:div>
            <w:div w:id="169027334">
              <w:marLeft w:val="0"/>
              <w:marRight w:val="0"/>
              <w:marTop w:val="0"/>
              <w:marBottom w:val="0"/>
              <w:divBdr>
                <w:top w:val="none" w:sz="0" w:space="0" w:color="auto"/>
                <w:left w:val="none" w:sz="0" w:space="0" w:color="auto"/>
                <w:bottom w:val="none" w:sz="0" w:space="0" w:color="auto"/>
                <w:right w:val="none" w:sz="0" w:space="0" w:color="auto"/>
              </w:divBdr>
            </w:div>
            <w:div w:id="784427332">
              <w:marLeft w:val="0"/>
              <w:marRight w:val="0"/>
              <w:marTop w:val="0"/>
              <w:marBottom w:val="0"/>
              <w:divBdr>
                <w:top w:val="none" w:sz="0" w:space="0" w:color="auto"/>
                <w:left w:val="none" w:sz="0" w:space="0" w:color="auto"/>
                <w:bottom w:val="none" w:sz="0" w:space="0" w:color="auto"/>
                <w:right w:val="none" w:sz="0" w:space="0" w:color="auto"/>
              </w:divBdr>
            </w:div>
            <w:div w:id="72894565">
              <w:marLeft w:val="0"/>
              <w:marRight w:val="0"/>
              <w:marTop w:val="0"/>
              <w:marBottom w:val="0"/>
              <w:divBdr>
                <w:top w:val="none" w:sz="0" w:space="0" w:color="auto"/>
                <w:left w:val="none" w:sz="0" w:space="0" w:color="auto"/>
                <w:bottom w:val="none" w:sz="0" w:space="0" w:color="auto"/>
                <w:right w:val="none" w:sz="0" w:space="0" w:color="auto"/>
              </w:divBdr>
            </w:div>
            <w:div w:id="1674451353">
              <w:marLeft w:val="0"/>
              <w:marRight w:val="0"/>
              <w:marTop w:val="0"/>
              <w:marBottom w:val="0"/>
              <w:divBdr>
                <w:top w:val="none" w:sz="0" w:space="0" w:color="auto"/>
                <w:left w:val="none" w:sz="0" w:space="0" w:color="auto"/>
                <w:bottom w:val="none" w:sz="0" w:space="0" w:color="auto"/>
                <w:right w:val="none" w:sz="0" w:space="0" w:color="auto"/>
              </w:divBdr>
            </w:div>
            <w:div w:id="14498960">
              <w:marLeft w:val="0"/>
              <w:marRight w:val="0"/>
              <w:marTop w:val="0"/>
              <w:marBottom w:val="0"/>
              <w:divBdr>
                <w:top w:val="none" w:sz="0" w:space="0" w:color="auto"/>
                <w:left w:val="none" w:sz="0" w:space="0" w:color="auto"/>
                <w:bottom w:val="none" w:sz="0" w:space="0" w:color="auto"/>
                <w:right w:val="none" w:sz="0" w:space="0" w:color="auto"/>
              </w:divBdr>
            </w:div>
            <w:div w:id="1778939183">
              <w:marLeft w:val="0"/>
              <w:marRight w:val="0"/>
              <w:marTop w:val="0"/>
              <w:marBottom w:val="0"/>
              <w:divBdr>
                <w:top w:val="none" w:sz="0" w:space="0" w:color="auto"/>
                <w:left w:val="none" w:sz="0" w:space="0" w:color="auto"/>
                <w:bottom w:val="none" w:sz="0" w:space="0" w:color="auto"/>
                <w:right w:val="none" w:sz="0" w:space="0" w:color="auto"/>
              </w:divBdr>
            </w:div>
            <w:div w:id="720130329">
              <w:marLeft w:val="0"/>
              <w:marRight w:val="0"/>
              <w:marTop w:val="0"/>
              <w:marBottom w:val="0"/>
              <w:divBdr>
                <w:top w:val="none" w:sz="0" w:space="0" w:color="auto"/>
                <w:left w:val="none" w:sz="0" w:space="0" w:color="auto"/>
                <w:bottom w:val="none" w:sz="0" w:space="0" w:color="auto"/>
                <w:right w:val="none" w:sz="0" w:space="0" w:color="auto"/>
              </w:divBdr>
            </w:div>
            <w:div w:id="11559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611">
      <w:bodyDiv w:val="1"/>
      <w:marLeft w:val="0"/>
      <w:marRight w:val="0"/>
      <w:marTop w:val="0"/>
      <w:marBottom w:val="0"/>
      <w:divBdr>
        <w:top w:val="none" w:sz="0" w:space="0" w:color="auto"/>
        <w:left w:val="none" w:sz="0" w:space="0" w:color="auto"/>
        <w:bottom w:val="none" w:sz="0" w:space="0" w:color="auto"/>
        <w:right w:val="none" w:sz="0" w:space="0" w:color="auto"/>
      </w:divBdr>
      <w:divsChild>
        <w:div w:id="464809459">
          <w:marLeft w:val="0"/>
          <w:marRight w:val="0"/>
          <w:marTop w:val="0"/>
          <w:marBottom w:val="0"/>
          <w:divBdr>
            <w:top w:val="none" w:sz="0" w:space="0" w:color="auto"/>
            <w:left w:val="none" w:sz="0" w:space="0" w:color="auto"/>
            <w:bottom w:val="none" w:sz="0" w:space="0" w:color="auto"/>
            <w:right w:val="none" w:sz="0" w:space="0" w:color="auto"/>
          </w:divBdr>
          <w:divsChild>
            <w:div w:id="1717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48">
      <w:bodyDiv w:val="1"/>
      <w:marLeft w:val="0"/>
      <w:marRight w:val="0"/>
      <w:marTop w:val="0"/>
      <w:marBottom w:val="0"/>
      <w:divBdr>
        <w:top w:val="none" w:sz="0" w:space="0" w:color="auto"/>
        <w:left w:val="none" w:sz="0" w:space="0" w:color="auto"/>
        <w:bottom w:val="none" w:sz="0" w:space="0" w:color="auto"/>
        <w:right w:val="none" w:sz="0" w:space="0" w:color="auto"/>
      </w:divBdr>
      <w:divsChild>
        <w:div w:id="1370301757">
          <w:marLeft w:val="0"/>
          <w:marRight w:val="0"/>
          <w:marTop w:val="0"/>
          <w:marBottom w:val="0"/>
          <w:divBdr>
            <w:top w:val="none" w:sz="0" w:space="0" w:color="auto"/>
            <w:left w:val="none" w:sz="0" w:space="0" w:color="auto"/>
            <w:bottom w:val="none" w:sz="0" w:space="0" w:color="auto"/>
            <w:right w:val="none" w:sz="0" w:space="0" w:color="auto"/>
          </w:divBdr>
          <w:divsChild>
            <w:div w:id="582301908">
              <w:marLeft w:val="0"/>
              <w:marRight w:val="0"/>
              <w:marTop w:val="0"/>
              <w:marBottom w:val="0"/>
              <w:divBdr>
                <w:top w:val="none" w:sz="0" w:space="0" w:color="auto"/>
                <w:left w:val="none" w:sz="0" w:space="0" w:color="auto"/>
                <w:bottom w:val="none" w:sz="0" w:space="0" w:color="auto"/>
                <w:right w:val="none" w:sz="0" w:space="0" w:color="auto"/>
              </w:divBdr>
            </w:div>
            <w:div w:id="597251062">
              <w:marLeft w:val="0"/>
              <w:marRight w:val="0"/>
              <w:marTop w:val="0"/>
              <w:marBottom w:val="0"/>
              <w:divBdr>
                <w:top w:val="none" w:sz="0" w:space="0" w:color="auto"/>
                <w:left w:val="none" w:sz="0" w:space="0" w:color="auto"/>
                <w:bottom w:val="none" w:sz="0" w:space="0" w:color="auto"/>
                <w:right w:val="none" w:sz="0" w:space="0" w:color="auto"/>
              </w:divBdr>
            </w:div>
            <w:div w:id="632447974">
              <w:marLeft w:val="0"/>
              <w:marRight w:val="0"/>
              <w:marTop w:val="0"/>
              <w:marBottom w:val="0"/>
              <w:divBdr>
                <w:top w:val="none" w:sz="0" w:space="0" w:color="auto"/>
                <w:left w:val="none" w:sz="0" w:space="0" w:color="auto"/>
                <w:bottom w:val="none" w:sz="0" w:space="0" w:color="auto"/>
                <w:right w:val="none" w:sz="0" w:space="0" w:color="auto"/>
              </w:divBdr>
            </w:div>
            <w:div w:id="158273656">
              <w:marLeft w:val="0"/>
              <w:marRight w:val="0"/>
              <w:marTop w:val="0"/>
              <w:marBottom w:val="0"/>
              <w:divBdr>
                <w:top w:val="none" w:sz="0" w:space="0" w:color="auto"/>
                <w:left w:val="none" w:sz="0" w:space="0" w:color="auto"/>
                <w:bottom w:val="none" w:sz="0" w:space="0" w:color="auto"/>
                <w:right w:val="none" w:sz="0" w:space="0" w:color="auto"/>
              </w:divBdr>
            </w:div>
            <w:div w:id="1511333696">
              <w:marLeft w:val="0"/>
              <w:marRight w:val="0"/>
              <w:marTop w:val="0"/>
              <w:marBottom w:val="0"/>
              <w:divBdr>
                <w:top w:val="none" w:sz="0" w:space="0" w:color="auto"/>
                <w:left w:val="none" w:sz="0" w:space="0" w:color="auto"/>
                <w:bottom w:val="none" w:sz="0" w:space="0" w:color="auto"/>
                <w:right w:val="none" w:sz="0" w:space="0" w:color="auto"/>
              </w:divBdr>
            </w:div>
            <w:div w:id="1909071588">
              <w:marLeft w:val="0"/>
              <w:marRight w:val="0"/>
              <w:marTop w:val="0"/>
              <w:marBottom w:val="0"/>
              <w:divBdr>
                <w:top w:val="none" w:sz="0" w:space="0" w:color="auto"/>
                <w:left w:val="none" w:sz="0" w:space="0" w:color="auto"/>
                <w:bottom w:val="none" w:sz="0" w:space="0" w:color="auto"/>
                <w:right w:val="none" w:sz="0" w:space="0" w:color="auto"/>
              </w:divBdr>
            </w:div>
            <w:div w:id="290524242">
              <w:marLeft w:val="0"/>
              <w:marRight w:val="0"/>
              <w:marTop w:val="0"/>
              <w:marBottom w:val="0"/>
              <w:divBdr>
                <w:top w:val="none" w:sz="0" w:space="0" w:color="auto"/>
                <w:left w:val="none" w:sz="0" w:space="0" w:color="auto"/>
                <w:bottom w:val="none" w:sz="0" w:space="0" w:color="auto"/>
                <w:right w:val="none" w:sz="0" w:space="0" w:color="auto"/>
              </w:divBdr>
            </w:div>
            <w:div w:id="10255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419">
      <w:bodyDiv w:val="1"/>
      <w:marLeft w:val="0"/>
      <w:marRight w:val="0"/>
      <w:marTop w:val="0"/>
      <w:marBottom w:val="0"/>
      <w:divBdr>
        <w:top w:val="none" w:sz="0" w:space="0" w:color="auto"/>
        <w:left w:val="none" w:sz="0" w:space="0" w:color="auto"/>
        <w:bottom w:val="none" w:sz="0" w:space="0" w:color="auto"/>
        <w:right w:val="none" w:sz="0" w:space="0" w:color="auto"/>
      </w:divBdr>
    </w:div>
    <w:div w:id="1271426474">
      <w:bodyDiv w:val="1"/>
      <w:marLeft w:val="0"/>
      <w:marRight w:val="0"/>
      <w:marTop w:val="0"/>
      <w:marBottom w:val="0"/>
      <w:divBdr>
        <w:top w:val="none" w:sz="0" w:space="0" w:color="auto"/>
        <w:left w:val="none" w:sz="0" w:space="0" w:color="auto"/>
        <w:bottom w:val="none" w:sz="0" w:space="0" w:color="auto"/>
        <w:right w:val="none" w:sz="0" w:space="0" w:color="auto"/>
      </w:divBdr>
      <w:divsChild>
        <w:div w:id="265582502">
          <w:marLeft w:val="0"/>
          <w:marRight w:val="0"/>
          <w:marTop w:val="0"/>
          <w:marBottom w:val="0"/>
          <w:divBdr>
            <w:top w:val="none" w:sz="0" w:space="0" w:color="auto"/>
            <w:left w:val="none" w:sz="0" w:space="0" w:color="auto"/>
            <w:bottom w:val="none" w:sz="0" w:space="0" w:color="auto"/>
            <w:right w:val="none" w:sz="0" w:space="0" w:color="auto"/>
          </w:divBdr>
          <w:divsChild>
            <w:div w:id="603001011">
              <w:marLeft w:val="0"/>
              <w:marRight w:val="0"/>
              <w:marTop w:val="0"/>
              <w:marBottom w:val="0"/>
              <w:divBdr>
                <w:top w:val="none" w:sz="0" w:space="0" w:color="auto"/>
                <w:left w:val="none" w:sz="0" w:space="0" w:color="auto"/>
                <w:bottom w:val="none" w:sz="0" w:space="0" w:color="auto"/>
                <w:right w:val="none" w:sz="0" w:space="0" w:color="auto"/>
              </w:divBdr>
            </w:div>
            <w:div w:id="848443814">
              <w:marLeft w:val="0"/>
              <w:marRight w:val="0"/>
              <w:marTop w:val="0"/>
              <w:marBottom w:val="0"/>
              <w:divBdr>
                <w:top w:val="none" w:sz="0" w:space="0" w:color="auto"/>
                <w:left w:val="none" w:sz="0" w:space="0" w:color="auto"/>
                <w:bottom w:val="none" w:sz="0" w:space="0" w:color="auto"/>
                <w:right w:val="none" w:sz="0" w:space="0" w:color="auto"/>
              </w:divBdr>
            </w:div>
            <w:div w:id="856045632">
              <w:marLeft w:val="0"/>
              <w:marRight w:val="0"/>
              <w:marTop w:val="0"/>
              <w:marBottom w:val="0"/>
              <w:divBdr>
                <w:top w:val="none" w:sz="0" w:space="0" w:color="auto"/>
                <w:left w:val="none" w:sz="0" w:space="0" w:color="auto"/>
                <w:bottom w:val="none" w:sz="0" w:space="0" w:color="auto"/>
                <w:right w:val="none" w:sz="0" w:space="0" w:color="auto"/>
              </w:divBdr>
            </w:div>
            <w:div w:id="1633755931">
              <w:marLeft w:val="0"/>
              <w:marRight w:val="0"/>
              <w:marTop w:val="0"/>
              <w:marBottom w:val="0"/>
              <w:divBdr>
                <w:top w:val="none" w:sz="0" w:space="0" w:color="auto"/>
                <w:left w:val="none" w:sz="0" w:space="0" w:color="auto"/>
                <w:bottom w:val="none" w:sz="0" w:space="0" w:color="auto"/>
                <w:right w:val="none" w:sz="0" w:space="0" w:color="auto"/>
              </w:divBdr>
            </w:div>
            <w:div w:id="16992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257">
      <w:bodyDiv w:val="1"/>
      <w:marLeft w:val="0"/>
      <w:marRight w:val="0"/>
      <w:marTop w:val="0"/>
      <w:marBottom w:val="0"/>
      <w:divBdr>
        <w:top w:val="none" w:sz="0" w:space="0" w:color="auto"/>
        <w:left w:val="none" w:sz="0" w:space="0" w:color="auto"/>
        <w:bottom w:val="none" w:sz="0" w:space="0" w:color="auto"/>
        <w:right w:val="none" w:sz="0" w:space="0" w:color="auto"/>
      </w:divBdr>
      <w:divsChild>
        <w:div w:id="824930804">
          <w:marLeft w:val="0"/>
          <w:marRight w:val="0"/>
          <w:marTop w:val="0"/>
          <w:marBottom w:val="0"/>
          <w:divBdr>
            <w:top w:val="none" w:sz="0" w:space="0" w:color="auto"/>
            <w:left w:val="none" w:sz="0" w:space="0" w:color="auto"/>
            <w:bottom w:val="none" w:sz="0" w:space="0" w:color="auto"/>
            <w:right w:val="none" w:sz="0" w:space="0" w:color="auto"/>
          </w:divBdr>
          <w:divsChild>
            <w:div w:id="1287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18">
      <w:bodyDiv w:val="1"/>
      <w:marLeft w:val="0"/>
      <w:marRight w:val="0"/>
      <w:marTop w:val="0"/>
      <w:marBottom w:val="0"/>
      <w:divBdr>
        <w:top w:val="none" w:sz="0" w:space="0" w:color="auto"/>
        <w:left w:val="none" w:sz="0" w:space="0" w:color="auto"/>
        <w:bottom w:val="none" w:sz="0" w:space="0" w:color="auto"/>
        <w:right w:val="none" w:sz="0" w:space="0" w:color="auto"/>
      </w:divBdr>
      <w:divsChild>
        <w:div w:id="1924727280">
          <w:marLeft w:val="0"/>
          <w:marRight w:val="0"/>
          <w:marTop w:val="0"/>
          <w:marBottom w:val="0"/>
          <w:divBdr>
            <w:top w:val="none" w:sz="0" w:space="0" w:color="auto"/>
            <w:left w:val="none" w:sz="0" w:space="0" w:color="auto"/>
            <w:bottom w:val="none" w:sz="0" w:space="0" w:color="auto"/>
            <w:right w:val="none" w:sz="0" w:space="0" w:color="auto"/>
          </w:divBdr>
          <w:divsChild>
            <w:div w:id="18548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111">
      <w:bodyDiv w:val="1"/>
      <w:marLeft w:val="0"/>
      <w:marRight w:val="0"/>
      <w:marTop w:val="0"/>
      <w:marBottom w:val="0"/>
      <w:divBdr>
        <w:top w:val="none" w:sz="0" w:space="0" w:color="auto"/>
        <w:left w:val="none" w:sz="0" w:space="0" w:color="auto"/>
        <w:bottom w:val="none" w:sz="0" w:space="0" w:color="auto"/>
        <w:right w:val="none" w:sz="0" w:space="0" w:color="auto"/>
      </w:divBdr>
      <w:divsChild>
        <w:div w:id="807404400">
          <w:marLeft w:val="0"/>
          <w:marRight w:val="0"/>
          <w:marTop w:val="0"/>
          <w:marBottom w:val="0"/>
          <w:divBdr>
            <w:top w:val="none" w:sz="0" w:space="0" w:color="auto"/>
            <w:left w:val="none" w:sz="0" w:space="0" w:color="auto"/>
            <w:bottom w:val="none" w:sz="0" w:space="0" w:color="auto"/>
            <w:right w:val="none" w:sz="0" w:space="0" w:color="auto"/>
          </w:divBdr>
          <w:divsChild>
            <w:div w:id="148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303">
      <w:bodyDiv w:val="1"/>
      <w:marLeft w:val="0"/>
      <w:marRight w:val="0"/>
      <w:marTop w:val="0"/>
      <w:marBottom w:val="0"/>
      <w:divBdr>
        <w:top w:val="none" w:sz="0" w:space="0" w:color="auto"/>
        <w:left w:val="none" w:sz="0" w:space="0" w:color="auto"/>
        <w:bottom w:val="none" w:sz="0" w:space="0" w:color="auto"/>
        <w:right w:val="none" w:sz="0" w:space="0" w:color="auto"/>
      </w:divBdr>
      <w:divsChild>
        <w:div w:id="524749690">
          <w:marLeft w:val="0"/>
          <w:marRight w:val="0"/>
          <w:marTop w:val="0"/>
          <w:marBottom w:val="0"/>
          <w:divBdr>
            <w:top w:val="none" w:sz="0" w:space="0" w:color="auto"/>
            <w:left w:val="none" w:sz="0" w:space="0" w:color="auto"/>
            <w:bottom w:val="none" w:sz="0" w:space="0" w:color="auto"/>
            <w:right w:val="none" w:sz="0" w:space="0" w:color="auto"/>
          </w:divBdr>
          <w:divsChild>
            <w:div w:id="20075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385">
      <w:bodyDiv w:val="1"/>
      <w:marLeft w:val="0"/>
      <w:marRight w:val="0"/>
      <w:marTop w:val="0"/>
      <w:marBottom w:val="0"/>
      <w:divBdr>
        <w:top w:val="none" w:sz="0" w:space="0" w:color="auto"/>
        <w:left w:val="none" w:sz="0" w:space="0" w:color="auto"/>
        <w:bottom w:val="none" w:sz="0" w:space="0" w:color="auto"/>
        <w:right w:val="none" w:sz="0" w:space="0" w:color="auto"/>
      </w:divBdr>
    </w:div>
    <w:div w:id="1874033997">
      <w:bodyDiv w:val="1"/>
      <w:marLeft w:val="0"/>
      <w:marRight w:val="0"/>
      <w:marTop w:val="0"/>
      <w:marBottom w:val="0"/>
      <w:divBdr>
        <w:top w:val="none" w:sz="0" w:space="0" w:color="auto"/>
        <w:left w:val="none" w:sz="0" w:space="0" w:color="auto"/>
        <w:bottom w:val="none" w:sz="0" w:space="0" w:color="auto"/>
        <w:right w:val="none" w:sz="0" w:space="0" w:color="auto"/>
      </w:divBdr>
      <w:divsChild>
        <w:div w:id="172184588">
          <w:marLeft w:val="0"/>
          <w:marRight w:val="0"/>
          <w:marTop w:val="0"/>
          <w:marBottom w:val="0"/>
          <w:divBdr>
            <w:top w:val="none" w:sz="0" w:space="0" w:color="auto"/>
            <w:left w:val="none" w:sz="0" w:space="0" w:color="auto"/>
            <w:bottom w:val="none" w:sz="0" w:space="0" w:color="auto"/>
            <w:right w:val="none" w:sz="0" w:space="0" w:color="auto"/>
          </w:divBdr>
          <w:divsChild>
            <w:div w:id="728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ature.com/articles/s41592-018-0019-x" TargetMode="External"/><Relationship Id="rId39" Type="http://schemas.openxmlformats.org/officeDocument/2006/relationships/hyperlink" Target="https://pmc.ncbi.nlm.nih.gov/articles/PMC10298658/" TargetMode="External"/><Relationship Id="rId21" Type="http://schemas.openxmlformats.org/officeDocument/2006/relationships/image" Target="media/image12.png"/><Relationship Id="rId34" Type="http://schemas.openxmlformats.org/officeDocument/2006/relationships/hyperlink" Target="https://scikit-learn.org/stable/modules/generated/sklearn.model_selection.GroupKFold.html" TargetMode="External"/><Relationship Id="rId42" Type="http://schemas.openxmlformats.org/officeDocument/2006/relationships/hyperlink" Target="https://scikit-learn.org/stable/modules/generated/sklearn.svm.SVR.html" TargetMode="External"/><Relationship Id="rId47" Type="http://schemas.openxmlformats.org/officeDocument/2006/relationships/hyperlink" Target="https://vizhub.healthdata.org/gbd-results/" TargetMode="External"/><Relationship Id="rId50" Type="http://schemas.openxmlformats.org/officeDocument/2006/relationships/hyperlink" Target="https://genderdata.worldbank.org/en/topics/health"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iris.who.int/bitstream/handle/10665/381012/9789240108462-eng.pdf?sequence=1" TargetMode="External"/><Relationship Id="rId11" Type="http://schemas.openxmlformats.org/officeDocument/2006/relationships/image" Target="media/image3.png"/><Relationship Id="rId24" Type="http://schemas.openxmlformats.org/officeDocument/2006/relationships/hyperlink" Target="https://scikit-learn.org/stable/modules/generated/sklearn.impute.KNNImputer.html" TargetMode="External"/><Relationship Id="rId32" Type="http://schemas.openxmlformats.org/officeDocument/2006/relationships/hyperlink" Target="https://pmc.ncbi.nlm.nih.gov/articles/PMC11117177/pdf/jogh-14-04128.pdf" TargetMode="External"/><Relationship Id="rId37" Type="http://schemas.openxmlformats.org/officeDocument/2006/relationships/hyperlink" Target="https://lightgbm.readthedocs.io/en/latest/Parameters.html" TargetMode="External"/><Relationship Id="rId40" Type="http://schemas.openxmlformats.org/officeDocument/2006/relationships/hyperlink" Target="https://scikit-learn.org/stable/modules/generated/sklearn.model_selection.train_test_split.html" TargetMode="External"/><Relationship Id="rId45" Type="http://schemas.openxmlformats.org/officeDocument/2006/relationships/hyperlink" Target="https://www.nature.com/articles/s41598-024-71934-x" TargetMode="External"/><Relationship Id="rId53" Type="http://schemas.openxmlformats.org/officeDocument/2006/relationships/hyperlink" Target="https://www.who.int/data/sets/health-inequality-monitor-dataset"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pubmed.ncbi.nlm.nih.gov/27642018/" TargetMode="External"/><Relationship Id="rId44" Type="http://schemas.openxmlformats.org/officeDocument/2006/relationships/hyperlink" Target="file:///Users/rosalitarosenberg/Downloads/B_STCO.0000035301.49549.88.pdf" TargetMode="External"/><Relationship Id="rId52" Type="http://schemas.openxmlformats.org/officeDocument/2006/relationships/hyperlink" Target="https://www.who.int/data/sets/health-inequality-monitor-datas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link.springer.com/article/10.1186/s40537-021-00516-9" TargetMode="External"/><Relationship Id="rId27" Type="http://schemas.openxmlformats.org/officeDocument/2006/relationships/hyperlink" Target="https://jmai.amegroups.org/article/view/8590/html" TargetMode="External"/><Relationship Id="rId30" Type="http://schemas.openxmlformats.org/officeDocument/2006/relationships/hyperlink" Target="https://onlinelibrary.wiley.com/doi/10.5694/mja2.52452" TargetMode="External"/><Relationship Id="rId35" Type="http://schemas.openxmlformats.org/officeDocument/2006/relationships/hyperlink" Target="https://scikit-learn.org/stable/modules/generated/sklearn.ensemble.RandomForestRegressor.html" TargetMode="External"/><Relationship Id="rId43" Type="http://schemas.openxmlformats.org/officeDocument/2006/relationships/hyperlink" Target="https://academic.oup.com/jrsssb/article/67/2/301/7109482" TargetMode="External"/><Relationship Id="rId48" Type="http://schemas.openxmlformats.org/officeDocument/2006/relationships/hyperlink" Target="https://doi.org/10.7910/DVN/UBGY9P" TargetMode="External"/><Relationship Id="rId56" Type="http://schemas.openxmlformats.org/officeDocument/2006/relationships/theme" Target="theme/theme1.xml"/><Relationship Id="rId8" Type="http://schemas.openxmlformats.org/officeDocument/2006/relationships/hyperlink" Target="https://github.com/R0sle/health_economics_honours" TargetMode="External"/><Relationship Id="rId51" Type="http://schemas.openxmlformats.org/officeDocument/2006/relationships/hyperlink" Target="https://www.who.int/data/sets/health-inequality-monitor-dataset" TargetMode="External"/><Relationship Id="rId3" Type="http://schemas.openxmlformats.org/officeDocument/2006/relationships/styles" Target="styles.xml"/><Relationship Id="rId12" Type="http://schemas.openxmlformats.org/officeDocument/2006/relationships/hyperlink" Target="https://www.iban.com/country-codes" TargetMode="External"/><Relationship Id="rId17" Type="http://schemas.openxmlformats.org/officeDocument/2006/relationships/image" Target="media/image8.png"/><Relationship Id="rId25" Type="http://schemas.openxmlformats.org/officeDocument/2006/relationships/hyperlink" Target="https://scikit-learn.org/stable/modules/generated/sklearn.decomposition.PCA.html" TargetMode="External"/><Relationship Id="rId33" Type="http://schemas.openxmlformats.org/officeDocument/2006/relationships/hyperlink" Target="https://www.sciencedirect.com/science/article/pii/S2589537024002323" TargetMode="External"/><Relationship Id="rId38" Type="http://schemas.openxmlformats.org/officeDocument/2006/relationships/hyperlink" Target="https://dl.acm.org/doi/10.1145/3292500.3330701" TargetMode="External"/><Relationship Id="rId46" Type="http://schemas.openxmlformats.org/officeDocument/2006/relationships/hyperlink" Target="https://www.who.int/data/gho/data/indicators/indicator-details/GHO/maternal-mortality-ratio-(per-100-000-live-births)" TargetMode="External"/><Relationship Id="rId20" Type="http://schemas.openxmlformats.org/officeDocument/2006/relationships/image" Target="media/image11.png"/><Relationship Id="rId41" Type="http://schemas.openxmlformats.org/officeDocument/2006/relationships/hyperlink" Target="https://scikit-learn.org/stable/modules/generated/sklearn.linear_model.ElasticNet.html" TargetMode="External"/><Relationship Id="rId54" Type="http://schemas.openxmlformats.org/officeDocument/2006/relationships/hyperlink" Target="https://www.who.int/data/sets/health-inequality-monitor-datas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ink.springer.com/article/10.1007/s40273-023-01297-0" TargetMode="External"/><Relationship Id="rId28" Type="http://schemas.openxmlformats.org/officeDocument/2006/relationships/hyperlink" Target="https://www.sciencedirect.com/science/article/pii/S0169023X23000587?pes=vor&amp;utm_source=scopus&amp;getft_integrator=scopus" TargetMode="External"/><Relationship Id="rId36" Type="http://schemas.openxmlformats.org/officeDocument/2006/relationships/hyperlink" Target="https://xgboost.readthedocs.io/en/stable/parameter.html" TargetMode="External"/><Relationship Id="rId49" Type="http://schemas.openxmlformats.org/officeDocument/2006/relationships/hyperlink" Target="https://genderdata.worldbank.org/en/indicator/sh-sta-mmrt?estimate=Na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7A47-A028-064C-B4C2-6FDB7350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24</Pages>
  <Words>8687</Words>
  <Characters>47348</Characters>
  <Application>Microsoft Office Word</Application>
  <DocSecurity>0</DocSecurity>
  <Lines>1392</Lines>
  <Paragraphs>709</Paragraphs>
  <ScaleCrop>false</ScaleCrop>
  <Company/>
  <LinksUpToDate>false</LinksUpToDate>
  <CharactersWithSpaces>55326</CharactersWithSpaces>
  <SharedDoc>false</SharedDoc>
  <HLinks>
    <vt:vector size="60" baseType="variant">
      <vt:variant>
        <vt:i4>3014704</vt:i4>
      </vt:variant>
      <vt:variant>
        <vt:i4>27</vt:i4>
      </vt:variant>
      <vt:variant>
        <vt:i4>0</vt:i4>
      </vt:variant>
      <vt:variant>
        <vt:i4>5</vt:i4>
      </vt:variant>
      <vt:variant>
        <vt:lpwstr>https://www.nature.com/articles/s41598-024-56706-x</vt:lpwstr>
      </vt:variant>
      <vt:variant>
        <vt:lpwstr>Sec10</vt:lpwstr>
      </vt:variant>
      <vt:variant>
        <vt:i4>7864357</vt:i4>
      </vt:variant>
      <vt:variant>
        <vt:i4>24</vt:i4>
      </vt:variant>
      <vt:variant>
        <vt:i4>0</vt:i4>
      </vt:variant>
      <vt:variant>
        <vt:i4>5</vt:i4>
      </vt:variant>
      <vt:variant>
        <vt:lpwstr>https://pmc.ncbi.nlm.nih.gov/articles/PMC6902303/</vt:lpwstr>
      </vt:variant>
      <vt:variant>
        <vt:lpwstr>sec1-7</vt:lpwstr>
      </vt:variant>
      <vt:variant>
        <vt:i4>7995424</vt:i4>
      </vt:variant>
      <vt:variant>
        <vt:i4>21</vt:i4>
      </vt:variant>
      <vt:variant>
        <vt:i4>0</vt:i4>
      </vt:variant>
      <vt:variant>
        <vt:i4>5</vt:i4>
      </vt:variant>
      <vt:variant>
        <vt:lpwstr>https://www.nature.com/articles/s41598-024-56706-x</vt:lpwstr>
      </vt:variant>
      <vt:variant>
        <vt:lpwstr/>
      </vt:variant>
      <vt:variant>
        <vt:i4>786439</vt:i4>
      </vt:variant>
      <vt:variant>
        <vt:i4>18</vt:i4>
      </vt:variant>
      <vt:variant>
        <vt:i4>0</vt:i4>
      </vt:variant>
      <vt:variant>
        <vt:i4>5</vt:i4>
      </vt:variant>
      <vt:variant>
        <vt:lpwstr>https://link.springer.com/article/10.1007/s10462-025-11198-7</vt:lpwstr>
      </vt:variant>
      <vt:variant>
        <vt:lpwstr/>
      </vt:variant>
      <vt:variant>
        <vt:i4>2097206</vt:i4>
      </vt:variant>
      <vt:variant>
        <vt:i4>15</vt:i4>
      </vt:variant>
      <vt:variant>
        <vt:i4>0</vt:i4>
      </vt:variant>
      <vt:variant>
        <vt:i4>5</vt:i4>
      </vt:variant>
      <vt:variant>
        <vt:lpwstr>https://www.jclinepi.com/article/S0895-4356(18)30871-0/pdf</vt:lpwstr>
      </vt:variant>
      <vt:variant>
        <vt:lpwstr/>
      </vt:variant>
      <vt:variant>
        <vt:i4>262155</vt:i4>
      </vt:variant>
      <vt:variant>
        <vt:i4>12</vt:i4>
      </vt:variant>
      <vt:variant>
        <vt:i4>0</vt:i4>
      </vt:variant>
      <vt:variant>
        <vt:i4>5</vt:i4>
      </vt:variant>
      <vt:variant>
        <vt:lpwstr>https://link.springer.com/article/10.1186/s40537-021-00516-9</vt:lpwstr>
      </vt:variant>
      <vt:variant>
        <vt:lpwstr/>
      </vt:variant>
      <vt:variant>
        <vt:i4>4521985</vt:i4>
      </vt:variant>
      <vt:variant>
        <vt:i4>9</vt:i4>
      </vt:variant>
      <vt:variant>
        <vt:i4>0</vt:i4>
      </vt:variant>
      <vt:variant>
        <vt:i4>5</vt:i4>
      </vt:variant>
      <vt:variant>
        <vt:lpwstr>https://www.who.int/data/inequality-monitor/data</vt:lpwstr>
      </vt:variant>
      <vt:variant>
        <vt:lpwstr/>
      </vt:variant>
      <vt:variant>
        <vt:i4>2293804</vt:i4>
      </vt:variant>
      <vt:variant>
        <vt:i4>6</vt:i4>
      </vt:variant>
      <vt:variant>
        <vt:i4>0</vt:i4>
      </vt:variant>
      <vt:variant>
        <vt:i4>5</vt:i4>
      </vt:variant>
      <vt:variant>
        <vt:lpwstr>https://genderdata.worldbank.org/en/topics/health</vt:lpwstr>
      </vt:variant>
      <vt:variant>
        <vt:lpwstr>idAllIndicators</vt:lpwstr>
      </vt:variant>
      <vt:variant>
        <vt:i4>524290</vt:i4>
      </vt:variant>
      <vt:variant>
        <vt:i4>3</vt:i4>
      </vt:variant>
      <vt:variant>
        <vt:i4>0</vt:i4>
      </vt:variant>
      <vt:variant>
        <vt:i4>5</vt:i4>
      </vt:variant>
      <vt:variant>
        <vt:lpwstr>https://genderdata.worldbank.org/en/indicator/sh-sta-mmrt</vt:lpwstr>
      </vt:variant>
      <vt:variant>
        <vt:lpwstr/>
      </vt:variant>
      <vt:variant>
        <vt:i4>2687085</vt:i4>
      </vt:variant>
      <vt:variant>
        <vt:i4>0</vt:i4>
      </vt:variant>
      <vt:variant>
        <vt:i4>0</vt:i4>
      </vt:variant>
      <vt:variant>
        <vt:i4>5</vt:i4>
      </vt:variant>
      <vt:variant>
        <vt:lpwstr>https://drmkc.jrc.ec.europa.eu/inform-index/Portals/0/InfoRM/Publications/EUR 30037 - Imputation of missing values in the INFORM Global Risk Index - print.pdf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1786</cp:revision>
  <dcterms:created xsi:type="dcterms:W3CDTF">2025-06-24T18:20:00Z</dcterms:created>
  <dcterms:modified xsi:type="dcterms:W3CDTF">2025-09-26T03:20:00Z</dcterms:modified>
</cp:coreProperties>
</file>