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1985" w:leader="none"/>
        </w:tabs>
        <w:spacing w:lineRule="auto" w:line="360" w:before="0" w:after="0"/>
        <w:ind w:left="0" w:right="-1" w:hanging="0"/>
        <w:jc w:val="center"/>
        <w:rPr/>
      </w:pPr>
      <w:r>
        <w:rPr/>
        <w:drawing>
          <wp:inline distT="0" distB="0" distL="0" distR="0">
            <wp:extent cx="2219960" cy="48641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08"/>
          <w:tab w:val="left" w:pos="1985" w:leader="none"/>
        </w:tabs>
        <w:spacing w:lineRule="auto" w:line="240" w:before="4" w:after="0"/>
        <w:ind w:left="0" w:right="-1" w:hanging="0"/>
        <w:jc w:val="center"/>
        <w:rPr>
          <w:rFonts w:ascii="Times New Roman" w:hAnsi="Times New Roman" w:eastAsia="Times New Roman" w:cs="Times New Roman"/>
          <w:sz w:val="29"/>
          <w:szCs w:val="24"/>
          <w:lang w:val="es-ES"/>
        </w:rPr>
      </w:pPr>
      <w:r>
        <w:rPr>
          <w:rFonts w:eastAsia="Times New Roman" w:cs="Times New Roman" w:ascii="Times New Roman" w:hAnsi="Times New Roman"/>
          <w:sz w:val="29"/>
          <w:szCs w:val="24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12" w:after="0"/>
        <w:ind w:left="0" w:right="-1" w:hanging="0"/>
        <w:jc w:val="center"/>
        <w:rPr/>
      </w:pPr>
      <w:r>
        <w:rPr>
          <w:rFonts w:eastAsia="Calibri" w:cs="Arial" w:ascii="Arial" w:hAnsi="Arial"/>
          <w:b/>
          <w:bCs/>
          <w:sz w:val="36"/>
          <w:szCs w:val="36"/>
          <w:lang w:val="es-ES"/>
        </w:rPr>
        <w:t>FACULTAD</w:t>
      </w:r>
      <w:r>
        <w:rPr>
          <w:rFonts w:eastAsia="Calibri" w:cs="Arial" w:ascii="Arial" w:hAnsi="Arial"/>
          <w:b/>
          <w:bCs/>
          <w:spacing w:val="-6"/>
          <w:sz w:val="36"/>
          <w:szCs w:val="36"/>
          <w:lang w:val="es-ES"/>
        </w:rPr>
        <w:t xml:space="preserve"> </w:t>
      </w:r>
      <w:r>
        <w:rPr>
          <w:rFonts w:eastAsia="Calibri" w:cs="Arial" w:ascii="Arial" w:hAnsi="Arial"/>
          <w:b/>
          <w:bCs/>
          <w:sz w:val="36"/>
          <w:szCs w:val="36"/>
          <w:lang w:val="es-ES"/>
        </w:rPr>
        <w:t>DE</w:t>
      </w:r>
      <w:r>
        <w:rPr>
          <w:rFonts w:eastAsia="Calibri" w:cs="Arial" w:ascii="Arial" w:hAnsi="Arial"/>
          <w:b/>
          <w:bCs/>
          <w:spacing w:val="-4"/>
          <w:sz w:val="36"/>
          <w:szCs w:val="36"/>
          <w:lang w:val="es-ES"/>
        </w:rPr>
        <w:t xml:space="preserve"> </w:t>
      </w:r>
      <w:r>
        <w:rPr>
          <w:rFonts w:eastAsia="Calibri" w:cs="Arial" w:ascii="Arial" w:hAnsi="Arial"/>
          <w:b/>
          <w:bCs/>
          <w:sz w:val="36"/>
          <w:szCs w:val="36"/>
          <w:lang w:val="es-ES"/>
        </w:rPr>
        <w:t>INGENIERÍA</w:t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left="0"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2" w:after="0"/>
        <w:ind w:left="0" w:right="-1" w:hanging="0"/>
        <w:jc w:val="center"/>
        <w:rPr/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softHyphen/>
      </w:r>
      <w:r>
        <w:rPr>
          <w:rFonts w:eastAsia="Calibri" w:cs="Arial" w:ascii="Arial" w:hAnsi="Arial"/>
          <w:b/>
          <w:bCs/>
          <w:sz w:val="28"/>
          <w:szCs w:val="28"/>
          <w:lang w:val="es-ES"/>
        </w:rPr>
        <w:t>Carrera Profesional de Ingeniería de Sistemas e Informática</w:t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5" w:after="0"/>
        <w:ind w:left="0" w:right="-1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left="0" w:right="-1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spacing w:lineRule="auto" w:line="240" w:before="0" w:after="0"/>
        <w:ind w:left="0" w:right="-1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701" w:right="1700" w:hanging="0"/>
        <w:jc w:val="center"/>
        <w:rPr/>
      </w:pPr>
      <w:r>
        <w:rPr>
          <w:rFonts w:eastAsia="Times New Roman" w:cs="Arial" w:ascii="Arial" w:hAnsi="Arial"/>
          <w:b/>
          <w:sz w:val="28"/>
          <w:szCs w:val="28"/>
          <w:lang w:val="es-ES"/>
        </w:rPr>
        <w:t xml:space="preserve">Tarea </w:t>
      </w:r>
      <w:r>
        <w:rPr>
          <w:rFonts w:eastAsia="Times New Roman" w:cs="Arial" w:ascii="Arial" w:hAnsi="Arial"/>
          <w:b/>
          <w:bCs/>
          <w:sz w:val="28"/>
          <w:szCs w:val="28"/>
          <w:lang w:val="es-ES"/>
        </w:rPr>
        <w:t>4</w:t>
      </w:r>
    </w:p>
    <w:p>
      <w:pPr>
        <w:pStyle w:val="Normal"/>
        <w:widowControl w:val="false"/>
        <w:spacing w:lineRule="auto" w:line="240" w:before="0" w:after="0"/>
        <w:ind w:left="1701" w:right="1700" w:hanging="0"/>
        <w:jc w:val="center"/>
        <w:rPr>
          <w:rFonts w:ascii="Arial" w:hAnsi="Arial" w:eastAsia="Times New Roman" w:cs="Arial"/>
          <w:b/>
          <w:b/>
          <w:sz w:val="28"/>
          <w:szCs w:val="28"/>
          <w:lang w:val="es-ES"/>
        </w:rPr>
      </w:pPr>
      <w:r>
        <w:rPr>
          <w:rFonts w:eastAsia="Times New Roman" w:cs="Arial" w:ascii="Arial" w:hAnsi="Arial"/>
          <w:b/>
          <w:sz w:val="28"/>
          <w:szCs w:val="28"/>
          <w:lang w:val="es-ES"/>
        </w:rPr>
      </w:r>
    </w:p>
    <w:p>
      <w:pPr>
        <w:pStyle w:val="Ttulo1"/>
        <w:jc w:val="center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auto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auto"/>
          <w:spacing w:val="0"/>
        </w:rPr>
        <w:t>Relaciones existentes entre la ISO 27001 COBIT e ITIL</w:t>
      </w:r>
    </w:p>
    <w:p>
      <w:pPr>
        <w:pStyle w:val="Normal"/>
        <w:jc w:val="center"/>
        <w:rPr>
          <w:rFonts w:ascii="Arial" w:hAnsi="Arial" w:cs="Arial"/>
          <w:b w:val="false"/>
          <w:b w:val="false"/>
          <w:sz w:val="28"/>
          <w:szCs w:val="28"/>
        </w:rPr>
      </w:pPr>
      <w:r>
        <w:rPr>
          <w:rFonts w:cs="Arial" w:ascii="Arial" w:hAnsi="Arial"/>
          <w:b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Curso: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Seguridad Informática 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Sección: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31437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Docente:</w:t>
      </w:r>
    </w:p>
    <w:p>
      <w:pPr>
        <w:pStyle w:val="Normal"/>
        <w:jc w:val="center"/>
        <w:rPr/>
      </w:pPr>
      <w:r>
        <w:rPr/>
        <w:t>ENZO RUBEN HEREDIA MELENDEZ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Presentado por:</w:t>
      </w:r>
    </w:p>
    <w:p>
      <w:pPr>
        <w:pStyle w:val="ListParagraph"/>
        <w:tabs>
          <w:tab w:val="clear" w:pos="708"/>
          <w:tab w:val="left" w:pos="3119" w:leader="none"/>
        </w:tabs>
        <w:spacing w:lineRule="auto" w:line="480"/>
        <w:ind w:left="0" w:right="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Cutimbo Jibaja, Daniel Alberto</w:t>
      </w:r>
    </w:p>
    <w:p>
      <w:pPr>
        <w:pStyle w:val="Normal"/>
        <w:spacing w:lineRule="auto" w:line="276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3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Arequipa – Perú</w:t>
      </w:r>
    </w:p>
    <w:p>
      <w:pPr>
        <w:pStyle w:val="Normal"/>
        <w:spacing w:lineRule="auto" w:line="33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2022 </w:t>
      </w:r>
      <w:r>
        <w:br w:type="page"/>
      </w:r>
    </w:p>
    <w:p>
      <w:pPr>
        <w:pStyle w:val="NormalWeb"/>
        <w:jc w:val="both"/>
        <w:rPr/>
      </w:pPr>
      <w:r>
        <w:rPr>
          <w:rStyle w:val="Destaquemayor"/>
          <w:rFonts w:ascii="Times New Roman" w:hAnsi="Times New Roman"/>
          <w:i/>
          <w:iCs/>
        </w:rPr>
        <w:t>Identifica las relaciones existentes entre la ISO 27001, COBIT e ITIL, contemplando las normativas existentes.</w:t>
      </w:r>
    </w:p>
    <w:p>
      <w:pPr>
        <w:pStyle w:val="NormalWeb"/>
        <w:jc w:val="both"/>
        <w:rPr/>
      </w:pPr>
      <w:r>
        <w:rPr>
          <w:rStyle w:val="Destaquemayor"/>
          <w:rFonts w:ascii="Times New Roman" w:hAnsi="Times New Roman"/>
        </w:rPr>
        <w:t>ISO 27001:</w:t>
      </w:r>
    </w:p>
    <w:p>
      <w:pPr>
        <w:pStyle w:val="NormalWeb"/>
        <w:jc w:val="both"/>
        <w:rPr/>
      </w:pPr>
      <w:r>
        <w:rPr>
          <w:rStyle w:val="Destaquemayor"/>
          <w:rFonts w:ascii="Times New Roman" w:hAnsi="Times New Roman"/>
          <w:b w:val="false"/>
          <w:bCs w:val="false"/>
        </w:rPr>
        <w:t>Las normas ISO (International Standart Organization)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son est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s-PE" w:eastAsia="es-PE" w:bidi="ar-SA"/>
        </w:rPr>
        <w:t>ándares internacionales para ser aplicados en productos y servicios para mejorar la eficiencia y rentabilidad económica.</w:t>
      </w:r>
    </w:p>
    <w:p>
      <w:pPr>
        <w:pStyle w:val="NormalWeb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s-PE" w:eastAsia="es-PE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s-PE" w:eastAsia="es-PE" w:bidi="ar-SA"/>
        </w:rPr>
        <w:t>La Organización Internacional de Estandarización (ISO) mediante la ISO 27000 establece una implementación efectiva y necesaria de la seguridad de la información desarrolladas específicamente en la ISO 27001 y 27002.</w:t>
      </w:r>
    </w:p>
    <w:p>
      <w:pPr>
        <w:pStyle w:val="NormalWeb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s-PE" w:eastAsia="es-PE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s-PE" w:eastAsia="es-PE" w:bidi="ar-SA"/>
        </w:rPr>
        <w:t>Estas normativas permiten establecer los requerimientos, límites y alcances de las políticas y medidas a implementar integrado a la mejora continua.</w:t>
      </w:r>
    </w:p>
    <w:p>
      <w:pPr>
        <w:pStyle w:val="NormalWeb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es-PE" w:eastAsia="es-PE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es-PE" w:eastAsia="es-PE" w:bidi="ar-SA"/>
        </w:rPr>
        <w:t>COBIT:</w:t>
      </w:r>
    </w:p>
    <w:p>
      <w:pPr>
        <w:pStyle w:val="NormalWeb"/>
        <w:jc w:val="both"/>
        <w:rPr/>
      </w:pPr>
      <w:r>
        <w:rPr>
          <w:rStyle w:val="Destaquemayor"/>
          <w:b w:val="false"/>
          <w:bCs w:val="false"/>
        </w:rPr>
        <w:t>Son un conjunto de herramientas para garantizar el control y seguimiento de los Sistemas de Informaci</w:t>
      </w:r>
      <w:r>
        <w:rPr>
          <w:rStyle w:val="Destaquemayor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s-PE" w:eastAsia="es-PE" w:bidi="ar-SA"/>
        </w:rPr>
        <w:t>ón mediante la aplicación de auditorias.</w:t>
      </w:r>
    </w:p>
    <w:p>
      <w:pPr>
        <w:pStyle w:val="NormalWeb"/>
        <w:jc w:val="both"/>
        <w:rPr/>
      </w:pPr>
      <w:r>
        <w:rPr>
          <w:rStyle w:val="Destaquemayor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s-PE" w:eastAsia="es-PE" w:bidi="ar-SA"/>
        </w:rPr>
        <w:t>El COBIT (Control Objectives for Information and Related Technology – Objetivos de control para la información y tecnologías relacionadas) recopila las mejores prácticas desarrolladas por expertos en TI desarrolladas y para ser aplicadas en diversos sectores.</w:t>
      </w:r>
    </w:p>
    <w:p>
      <w:pPr>
        <w:pStyle w:val="NormalWeb"/>
        <w:jc w:val="both"/>
        <w:rPr/>
      </w:pPr>
      <w:r>
        <w:rPr>
          <w:rStyle w:val="Destaquemayor"/>
          <w:rFonts w:eastAsia="Times New Roman" w:cs="Times New Roman"/>
          <w:b/>
          <w:bCs/>
          <w:color w:val="auto"/>
          <w:kern w:val="0"/>
          <w:sz w:val="24"/>
          <w:szCs w:val="24"/>
          <w:lang w:val="es-PE" w:eastAsia="es-PE" w:bidi="ar-SA"/>
        </w:rPr>
        <w:t>ITIL</w:t>
      </w:r>
      <w:r>
        <w:rPr>
          <w:rStyle w:val="Destaquemayor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s-PE" w:eastAsia="es-PE" w:bidi="ar-SA"/>
        </w:rPr>
        <w:t>:</w:t>
      </w:r>
    </w:p>
    <w:p>
      <w:pPr>
        <w:pStyle w:val="NormalWeb"/>
        <w:jc w:val="both"/>
        <w:rPr/>
      </w:pPr>
      <w:r>
        <w:rPr>
          <w:rStyle w:val="Destaquemayor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s-PE" w:eastAsia="es-PE" w:bidi="ar-SA"/>
        </w:rPr>
        <w:t>El ITIL (Information Technology Infraestructure Library) es una recopilación de las mejores prácticas para una administración efectiva de los Sistemas de Información (SI).</w:t>
      </w:r>
    </w:p>
    <w:p>
      <w:pPr>
        <w:pStyle w:val="NormalWeb"/>
        <w:jc w:val="both"/>
        <w:rPr/>
      </w:pPr>
      <w:r>
        <w:rPr>
          <w:rStyle w:val="Destaquemayor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s-PE" w:eastAsia="es-PE" w:bidi="ar-SA"/>
        </w:rPr>
        <w:t>A pesar de ser desarrollado originalmente para el sector público, actualmente es implementado en el sector privado debido a su eficiencia y resultados.</w:t>
      </w:r>
    </w:p>
    <w:p>
      <w:pPr>
        <w:pStyle w:val="NormalWeb"/>
        <w:jc w:val="both"/>
        <w:rPr>
          <w:rStyle w:val="Destaquemayo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es-PE" w:eastAsia="es-PE" w:bidi="ar-SA"/>
        </w:rPr>
      </w:pPr>
      <w:r>
        <w:rPr/>
      </w:r>
    </w:p>
    <w:p>
      <w:pPr>
        <w:pStyle w:val="NormalWeb"/>
        <w:jc w:val="both"/>
        <w:rPr/>
      </w:pPr>
      <w:r>
        <w:rPr>
          <w:rStyle w:val="Destaquemayor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s-PE" w:eastAsia="es-PE" w:bidi="ar-SA"/>
        </w:rPr>
        <w:t>Su relación radica en su propia interacción para salvaguardar los datos e información, el COBIT brinda las herramientas informáticas necesarias para la protección de los datos, el ITIL son los métodos y practicas mayormente recomendados y las normativas ISO establecen los alcances y límites.</w:t>
      </w:r>
      <w:r>
        <w:br w:type="page"/>
      </w:r>
    </w:p>
    <w:p>
      <w:pPr>
        <w:pStyle w:val="NormalWeb"/>
        <w:spacing w:lineRule="auto" w:line="360" w:before="280" w:after="280"/>
        <w:jc w:val="both"/>
        <w:rPr/>
      </w:pPr>
      <w:r>
        <w:rPr>
          <w:rStyle w:val="Destaquemayor"/>
          <w:rFonts w:eastAsia="Times New Roman" w:cs="Times New Roman"/>
          <w:i/>
          <w:iCs/>
          <w:color w:val="auto"/>
          <w:kern w:val="0"/>
          <w:sz w:val="24"/>
          <w:szCs w:val="24"/>
          <w:lang w:val="es-PE" w:eastAsia="es-PE" w:bidi="ar-SA"/>
        </w:rPr>
        <w:t>Bibliograf</w:t>
      </w:r>
      <w:r>
        <w:rPr>
          <w:rStyle w:val="Destaquemayor"/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es-PE" w:eastAsia="es-PE" w:bidi="ar-SA"/>
        </w:rPr>
        <w:t>í</w:t>
      </w:r>
      <w:r>
        <w:rPr>
          <w:rStyle w:val="Destaquemayor"/>
          <w:rFonts w:eastAsia="Times New Roman" w:cs="Times New Roman"/>
          <w:i/>
          <w:iCs/>
          <w:color w:val="auto"/>
          <w:kern w:val="0"/>
          <w:sz w:val="24"/>
          <w:szCs w:val="24"/>
          <w:lang w:val="es-PE" w:eastAsia="es-PE" w:bidi="ar-SA"/>
        </w:rPr>
        <w:t>a:</w:t>
      </w:r>
    </w:p>
    <w:p>
      <w:pPr>
        <w:pStyle w:val="NormalWeb"/>
        <w:numPr>
          <w:ilvl w:val="0"/>
          <w:numId w:val="2"/>
        </w:numPr>
        <w:spacing w:lineRule="auto" w:line="360" w:before="280" w:after="0"/>
        <w:jc w:val="both"/>
        <w:rPr/>
      </w:pPr>
      <w:r>
        <w:rPr>
          <w:rStyle w:val="Destaquemayor"/>
          <w:rFonts w:eastAsia="Times New Roman" w:cs="Times New Roman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s-PE" w:eastAsia="es-PE" w:bidi="ar-SA"/>
        </w:rPr>
        <w:t>ISO/IEC 27002:2013, Information technology — Security Techniques — Code of practice for information security controls (Tecnología de la información – Técnicas de seguridad – Código de práctica para controles de seguridad de la información)</w:t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Style w:val="Destaquemayor"/>
          <w:rFonts w:eastAsia="Times New Roman" w:cs="Times New Roman" w:ascii="Open Sans;sans-serif" w:hAnsi="Open Sans;sans-serif"/>
          <w:b w:val="false"/>
          <w:i/>
          <w:iCs/>
          <w:caps w:val="false"/>
          <w:smallCaps w:val="false"/>
          <w:color w:val="000000"/>
          <w:spacing w:val="0"/>
          <w:kern w:val="0"/>
          <w:sz w:val="21"/>
          <w:szCs w:val="24"/>
          <w:lang w:val="es-PE" w:eastAsia="es-PE" w:bidi="ar-SA"/>
        </w:rPr>
        <w:t>AEC - COBIT</w:t>
      </w:r>
      <w:r>
        <w:rPr>
          <w:rStyle w:val="Destaquemayor"/>
          <w:rFonts w:eastAsia="Times New Roman" w:cs="Times New Roman" w:ascii="Open Sans;sans-serif" w:hAnsi="Open Sans;sans-serif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1"/>
          <w:szCs w:val="24"/>
          <w:lang w:val="es-PE" w:eastAsia="es-PE" w:bidi="ar-SA"/>
        </w:rPr>
        <w:t>. (s. f.). AEC: Asociación Española para la Calidad - Impulsamos la Calidad. </w:t>
      </w:r>
      <w:hyperlink r:id="rId4">
        <w:r>
          <w:rPr>
            <w:rStyle w:val="EnlacedeInternet"/>
            <w:rFonts w:eastAsia="Times New Roman" w:cs="Times New Roman" w:ascii="Open Sans;sans-serif" w:hAnsi="Open Sans;sans-serif"/>
            <w:b w:val="false"/>
            <w:bCs/>
            <w:i w:val="false"/>
            <w:iCs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1"/>
            <w:szCs w:val="24"/>
            <w:u w:val="none"/>
            <w:effect w:val="none"/>
            <w:lang w:val="es-PE" w:eastAsia="es-PE" w:bidi="ar-SA"/>
          </w:rPr>
          <w:t>https://www.aec.es/web/guest/centro-conocimiento/cobit</w:t>
        </w:r>
      </w:hyperlink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Style w:val="Destaquemayor"/>
          <w:rFonts w:ascii="Open Sans;sans-serif" w:hAnsi="Open Sans;sans-serif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u w:val="none"/>
          <w:effect w:val="none"/>
          <w:lang w:val="es-PE" w:eastAsia="es-PE" w:bidi="ar-SA"/>
        </w:rPr>
      </w:pPr>
      <w:r>
        <w:rPr>
          <w:rStyle w:val="Destaquemayor"/>
          <w:rFonts w:eastAsia="Times New Roman" w:cs="Times New Roman" w:ascii="Open Sans;sans-serif" w:hAnsi="Open Sans;sans-serif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1"/>
          <w:szCs w:val="24"/>
          <w:u w:val="none"/>
          <w:effect w:val="none"/>
          <w:lang w:val="es-PE" w:eastAsia="es-PE" w:bidi="ar-SA"/>
        </w:rPr>
        <w:t>¿Qué es ITIL? – ¿Qué beneficios tiene ITIL?</w:t>
      </w:r>
      <w:r>
        <w:rPr>
          <w:rStyle w:val="Destaquemayor"/>
          <w:rFonts w:eastAsia="Times New Roman" w:cs="Times New Roman" w:ascii="Open Sans;sans-serif" w:hAnsi="Open Sans;sans-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u w:val="none"/>
          <w:effect w:val="none"/>
          <w:lang w:val="es-PE" w:eastAsia="es-PE" w:bidi="ar-SA"/>
        </w:rPr>
        <w:t> </w:t>
      </w:r>
      <w:r>
        <w:rPr>
          <w:rStyle w:val="Destaquemayor"/>
          <w:rFonts w:eastAsia="Times New Roman" w:cs="Times New Roman" w:ascii="Open Sans;sans-serif" w:hAnsi="Open Sans;sans-serif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0"/>
          <w:sz w:val="21"/>
          <w:szCs w:val="24"/>
          <w:u w:val="none"/>
          <w:effect w:val="none"/>
          <w:lang w:val="es-PE" w:eastAsia="es-PE" w:bidi="ar-SA"/>
        </w:rPr>
        <w:t>(s. f.). Nextech. </w:t>
      </w:r>
      <w:hyperlink r:id="rId5" w:tgtFrame="_blank">
        <w:r>
          <w:rPr>
            <w:rStyle w:val="EnlacedeInternet"/>
            <w:rFonts w:eastAsia="Times New Roman" w:cs="Times New Roman" w:ascii="Open Sans;sans-serif" w:hAnsi="Open Sans;sans-serif"/>
            <w:b w:val="false"/>
            <w:bCs/>
            <w:i w:val="false"/>
            <w:iCs/>
            <w:caps w:val="false"/>
            <w:smallCaps w:val="false"/>
            <w:strike w:val="false"/>
            <w:dstrike w:val="false"/>
            <w:color w:val="000000"/>
            <w:spacing w:val="0"/>
            <w:kern w:val="0"/>
            <w:sz w:val="21"/>
            <w:szCs w:val="24"/>
            <w:u w:val="none"/>
            <w:effect w:val="none"/>
            <w:lang w:val="es-PE" w:eastAsia="es-PE" w:bidi="ar-SA"/>
          </w:rPr>
          <w:t>https://nextech.pe/que-es-itil-que-beneficios-tiene-itil/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ato Extended">
    <w:altName w:val="Lato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0" w:after="120"/>
      <w:outlineLvl w:val="0"/>
    </w:pPr>
    <w:rPr>
      <w:rFonts w:ascii="Calibri Light" w:hAnsi="Calibri Light" w:eastAsia="Calibri" w:cs="DejaVu Sans"/>
      <w:b/>
      <w:color w:val="2F5496"/>
      <w:szCs w:val="32"/>
    </w:rPr>
  </w:style>
  <w:style w:type="paragraph" w:styleId="Ttulo2">
    <w:name w:val="Heading 2"/>
    <w:basedOn w:val="Normal"/>
    <w:next w:val="Normal"/>
    <w:link w:val="Ttulo2Car"/>
    <w:autoRedefine/>
    <w:qFormat/>
    <w:pPr>
      <w:keepNext w:val="true"/>
      <w:keepLines/>
      <w:numPr>
        <w:ilvl w:val="0"/>
        <w:numId w:val="0"/>
      </w:numPr>
      <w:spacing w:before="0" w:after="120"/>
      <w:outlineLvl w:val="1"/>
    </w:pPr>
    <w:rPr>
      <w:rFonts w:ascii="Calibri Light" w:hAnsi="Calibri Light" w:eastAsia="Calibri" w:cs="DejaVu Sans"/>
      <w:b/>
      <w:szCs w:val="26"/>
    </w:rPr>
  </w:style>
  <w:style w:type="character" w:styleId="DefaultParagraphFont">
    <w:name w:val="Default Paragraph Font"/>
    <w:qFormat/>
    <w:rPr/>
  </w:style>
  <w:style w:type="character" w:styleId="Ttulo2Car">
    <w:name w:val="Título 2 Car"/>
    <w:basedOn w:val="DefaultParagraphFont"/>
    <w:qFormat/>
    <w:rPr>
      <w:rFonts w:ascii="Calibri Light" w:hAnsi="Calibri Light" w:eastAsia="Calibri" w:cs="DejaVu Sans"/>
      <w:b/>
      <w:szCs w:val="26"/>
    </w:rPr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b/>
      <w:color w:val="2F5496"/>
      <w:szCs w:val="32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nlacedeInternetvisitado">
    <w:name w:val="Enlace de Internet visitado"/>
    <w:basedOn w:val="DefaultParagraphFont"/>
    <w:rPr>
      <w:color w:val="954F72"/>
      <w:u w:val="single"/>
    </w:rPr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Normaltextrun">
    <w:name w:val="normaltextrun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Paragraph">
    <w:name w:val="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numbering" w:styleId="TranscripcionesNetacad">
    <w:name w:val="Transcripciones Netacad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aec.es/web/guest/centro-conocimiento/cobit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nextech.pe/que-es-itil-que-beneficios-tiene-itil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LibreOffice/7.3.5.2$Linux_X86_64 LibreOffice_project/30$Build-2</Application>
  <AppVersion>15.0000</AppVersion>
  <Pages>3</Pages>
  <Words>342</Words>
  <Characters>2170</Characters>
  <CharactersWithSpaces>2487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2022-08-20T02:25:00Z</dcterms:created>
  <dc:creator>SammaeL</dc:creator>
  <dc:description/>
  <dc:language>es-PE</dc:language>
  <cp:lastModifiedBy/>
  <cp:lastPrinted>2022-07-23T00:06:00Z</cp:lastPrinted>
  <dcterms:modified xsi:type="dcterms:W3CDTF">2022-09-12T01:00:50Z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0x010100F3E58A8A76DAC249A81362B5182584AE</vt:lpwstr>
  </property>
</Properties>
</file>