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B1530"/>
          <w:sz w:val="52"/>
          <w:szCs w:val="52"/>
        </w:rPr>
        <w:t xml:space="preserve">ApeByte</w:t>
      </w:r>
      <w:r>
        <w:rPr>
          <w:rFonts w:ascii="Calibri" w:cs="Calibri" w:eastAsia="Calibri" w:hAnsi="Calibri"/>
          <w:b/>
          <w:bCs/>
          <w:color w:val="1A6FF0"/>
          <w:sz w:val="52"/>
          <w:szCs w:val="52"/>
        </w:rPr>
        <w:t xml:space="preserve"> Cloud Platform</w:t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0B1530"/>
          <w:sz w:val="34"/>
          <w:szCs w:val="34"/>
        </w:rPr>
        <w:t xml:space="preserve">Identidad visual del sitio</w:t>
      </w:r>
    </w:p>
    <w:p>
      <w:pPr>
        <w:spacing w:after="60" w:before="0"/>
      </w:pPr>
      <w:r>
        <w:rPr>
          <w:rFonts w:ascii="Calibri" w:cs="Calibri" w:eastAsia="Calibri" w:hAnsi="Calibri"/>
          <w:color w:val="5F6778"/>
          <w:sz w:val="21"/>
          <w:szCs w:val="21"/>
        </w:rPr>
        <w:t xml:space="preserve">Decisiones visuales que se aplican en todas las páginas, para que el sitio se vea coherente de principio a fin. Cada valor tiene un nombre de variable CSS, que se convertirá en el bloque :root al construir el sitio (HTML, CSS y JavaScript).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a)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Paleta de colores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Salen del logo: azul marino y azul brillante, sobre blanco y grises fríos. El azul se reserva para acciones; así el ojo sabe siempre dónde hacer clic.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80"/>
      </w:tblGrid>
      <w:tr>
        <w:trPr>
          <w:tblHeader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Primario (azul ApeByte)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--color-primario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A6F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#1A6FF0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Botón primario, enlaces, ítem activo del menú, botón "Iniciar sesión", ilustraciones de acento.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Primario hover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--color-primario-hover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558C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#1558C4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Botón primario al pasar el cursor o presionar; enlaces sobre fondo gris.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Primario suave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--color-primario-suave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E8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1530"/>
                <w:sz w:val="20"/>
                <w:szCs w:val="20"/>
              </w:rPr>
              <w:t xml:space="preserve">#E8F0FE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de etiquetas (badges), ítem seleccionado, hover del botón secundario.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Oscuro (azul marino)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--color-oscuro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#0B1530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Títulos, banda de cierre (CTA), pie de página, bloques de código.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--color-texto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B22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#1B2233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Texto de párrafos y etiquetas de formularios.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Texto suave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--color-texto-suave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5F677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#5F6778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Subtítulos, textos de ayuda, fechas, placeholders.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Fondo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--color-fondo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1530"/>
                <w:sz w:val="20"/>
                <w:szCs w:val="20"/>
              </w:rPr>
              <w:t xml:space="preserve">#FFFFFF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general de las páginas.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Fondo alterno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--color-fondo-alterno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1530"/>
                <w:sz w:val="20"/>
                <w:szCs w:val="20"/>
              </w:rPr>
              <w:t xml:space="preserve">#F3F5F9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Secciones alternadas, tarjetas y fondo de la pantalla de login.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Borde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--color-borde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D5DA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B1530"/>
                <w:sz w:val="20"/>
                <w:szCs w:val="20"/>
              </w:rPr>
              <w:t xml:space="preserve">#D5DAE3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Bordes de tarjetas, campos, líneas divisorias y tablas.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Éxito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--color-exito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A7F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#1A7F4F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Proyecto desplegado, mensaje enviado, estado "en ejecución".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--color-error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C935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#C93535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Errores de formulario, despliegue fallido, estado "detenido".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Advertencia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F6778"/>
                <w:sz w:val="16"/>
                <w:szCs w:val="16"/>
              </w:rPr>
              <w:t xml:space="preserve">--color-advertencia</w:t>
            </w:r>
          </w:p>
        </w:tc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9A5B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#9A5B00</w:t>
            </w:r>
          </w:p>
        </w:tc>
        <w:tc>
          <w:tcPr>
            <w:tcW w:type="dxa" w:w="48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Avisos, tecnología no reconocida, acciones que requieren atención.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233"/>
          <w:sz w:val="8"/>
          <w:szCs w:val="8"/>
        </w:rPr>
        <w:t xml:space="preserve"> </w:t>
      </w:r>
    </w:p>
    <w:p>
      <w:pPr>
        <w:spacing w:after="100" w:before="0"/>
      </w:pPr>
      <w:r>
        <w:rPr>
          <w:rFonts w:ascii="Calibri" w:cs="Calibri" w:eastAsia="Calibri" w:hAnsi="Calibri"/>
          <w:color w:val="5F6778"/>
          <w:sz w:val="21"/>
          <w:szCs w:val="21"/>
        </w:rPr>
        <w:t xml:space="preserve">Contraste (WCAG AA): los pares de texto y fondo de uso normal cumplen 4,5:1 o más (el azul primario con blanco da 4,6:1). Sobre fondos grises o azul suave, los enlaces y textos azules usan el tono hover (#1558C4). El botón deshabilitado queda fuera de la regla por estar inactivo.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b)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Tipografías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Una sola familia (Barlow) para títulos y cuerpo, la misma de los wireframes. Como la plataforma corre en red local sin Internet, los archivos de la fuente (400, 500 y 700) se guardan en el propio proyecto, no se cargan desde Google Fonts. Arial queda como respaldo.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1500"/>
        <w:gridCol w:w="3380"/>
      </w:tblGrid>
      <w:tr>
        <w:trPr>
          <w:tblHeader/>
        </w:trPr>
        <w:tc>
          <w:tcPr>
            <w:tcW w:type="dxa" w:w="2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PESOS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Títulos</w:t>
            </w:r>
          </w:p>
        </w:tc>
        <w:tc>
          <w:tcPr>
            <w:tcW w:type="dxa" w:w="3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"Barlow", Arial, sans-serif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Bold 700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H1, H2, H3, nombre del sitio, botones.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Cuerpo</w:t>
            </w:r>
          </w:p>
        </w:tc>
        <w:tc>
          <w:tcPr>
            <w:tcW w:type="dxa" w:w="3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"Barlow", Arial, sans-serif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Regular 400 / Medium 500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Párrafos, menú, formularios, tablas.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Código</w:t>
            </w:r>
          </w:p>
        </w:tc>
        <w:tc>
          <w:tcPr>
            <w:tcW w:type="dxa" w:w="3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"Cascadia Mono", Consolas, "Courier New", monospace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Comandos, URLs locales, logs, bloques de código.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c)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Tamaños de texto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Base de 16 px, interlineado 1,5 en párrafos y 1,2 en títulos. En móvil (menos de 768 px) los títulos bajan de tamaño.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3680"/>
      </w:tblGrid>
      <w:tr>
        <w:trPr>
          <w:tblHeader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ESCRITORIO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MÓVIL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H1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--texto-h1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44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32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Título principal de cada página (uno por página).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H2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--texto-h2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32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26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Títulos de sección.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H3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--texto-h3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22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20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Títulos de tarjetas y subsecciones.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Texto grande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--texto-l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20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18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Subtítulo del hero, introducciones.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Texto base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--texto-base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16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16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Párrafos, menú, botones, campos.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6"/>
                <w:szCs w:val="16"/>
              </w:rPr>
              <w:t xml:space="preserve">--texto-s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14 px</w:t>
            </w:r>
          </w:p>
        </w:tc>
        <w:tc>
          <w:tcPr>
            <w:tcW w:type="dxa" w:w="1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14 px</w:t>
            </w:r>
          </w:p>
        </w:tc>
        <w:tc>
          <w:tcPr>
            <w:tcW w:type="dxa" w:w="3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Notas, pie de página, ayudas.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d)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Espaciados y medidas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Escala basada en múltiplos de 8 px (con un paso de 4 px). Se usa siempre un valor de la escala, nunca números sueltos.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680"/>
      </w:tblGrid>
      <w:tr>
        <w:trPr>
          <w:tblHeader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--espacio-xs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4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Entre un ícono y su texto.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--espacio-s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8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Entre etiqueta y campo; separación mínima entre elementos.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--espacio-m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16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Padding base, espacio entre párrafos, márgenes laterales en móvil.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--espacio-l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24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Padding interno de tarjetas; separación entre tarjetas.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--espacio-xl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32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Separación entre título de sección y su contenido.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--espacio-2xl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48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Separación entre bloques grandes dentro de una sección.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--espacio-3xl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64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Padding vertical de cada sección de la página.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--ancho-contenido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1100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Ancho máximo del contenido, centrado.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2233"/>
                <w:sz w:val="17"/>
                <w:szCs w:val="17"/>
              </w:rPr>
              <w:t xml:space="preserve">--radio-m / --radio-l</w:t>
            </w:r>
          </w:p>
        </w:tc>
        <w:tc>
          <w:tcPr>
            <w:tcW w:type="dxa" w:w="1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8 px / 12 px</w:t>
            </w:r>
          </w:p>
        </w:tc>
        <w:tc>
          <w:tcPr>
            <w:tcW w:type="dxa" w:w="66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Esquinas de botones y campos / de tarjetas.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e)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Estilo de botones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Todos comparten: padding 12 px 24 px, esquinas de 8 px, texto de 16 px en Bold, altura mínima de 44 px (cómodo en móvil) y transición suave de 150 ms. Al navegar con teclado, el foco se marca con un contorno de 3 px en #1A6FF0 separado 2 px del botón.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380"/>
        <w:gridCol w:w="3000"/>
      </w:tblGrid>
      <w:tr>
        <w:trPr>
          <w:tblHeader/>
        </w:trPr>
        <w:tc>
          <w:tcPr>
            <w:tcW w:type="dxa" w:w="1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Primario</w:t>
            </w:r>
          </w:p>
        </w:tc>
        <w:tc>
          <w:tcPr>
            <w:tcW w:type="dxa" w:w="2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A6F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Comenzar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#1A6FF0, texto blanco. Hover: fondo #1558C4.</w:t>
            </w:r>
          </w:p>
        </w:tc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Acción principal de cada pantalla (máximo una).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Secundario</w:t>
            </w:r>
          </w:p>
        </w:tc>
        <w:tc>
          <w:tcPr>
            <w:tcW w:type="dxa" w:w="2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FF0"/>
                <w:sz w:val="20"/>
                <w:szCs w:val="20"/>
              </w:rPr>
              <w:t xml:space="preserve">Ver cómo funciona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transparente, borde 2 px #1A6FF0, texto #1A6FF0. Hover: fondo #E8F0FE y texto #1558C4.</w:t>
            </w:r>
          </w:p>
        </w:tc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Acción alternativa junto al primario.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Deshabilitado</w:t>
            </w:r>
          </w:p>
        </w:tc>
        <w:tc>
          <w:tcPr>
            <w:tcW w:type="dxa" w:w="2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D5DAE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6778"/>
                <w:sz w:val="20"/>
                <w:szCs w:val="20"/>
              </w:rPr>
              <w:t xml:space="preserve">Enviar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#D5DAE3, texto #5F6778, sin hover; cursor "not-allowed".</w:t>
            </w:r>
          </w:p>
        </w:tc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Formulario incompleto o proceso en curso.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Peligro</w:t>
            </w:r>
          </w:p>
        </w:tc>
        <w:tc>
          <w:tcPr>
            <w:tcW w:type="dxa" w:w="2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C935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Eliminar proyecto</w:t>
            </w:r>
          </w:p>
        </w:tc>
        <w:tc>
          <w:tcPr>
            <w:tcW w:type="dxa" w:w="33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Fondo #C93535, texto blanco. Hover: más oscuro.</w:t>
            </w:r>
          </w:p>
        </w:tc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Eliminar o detener (a partir del dashboard).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f)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Íconos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233"/>
          <w:sz w:val="20"/>
          <w:szCs w:val="20"/>
        </w:rPr>
        <w:t xml:space="preserve">Librería: Lucide (gratuita, licencia ISC). Se descargan los SVG al proyecto, sin depender de Internet.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233"/>
          <w:sz w:val="20"/>
          <w:szCs w:val="20"/>
        </w:rPr>
        <w:t xml:space="preserve">Estilo: línea (outline), trazo de 2 px, extremos redondeados, un solo color con currentColor.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233"/>
          <w:sz w:val="20"/>
          <w:szCs w:val="20"/>
        </w:rPr>
        <w:t xml:space="preserve">Tamaños: 16 px (junto al texto), 24 px (botones y menú), 32 px (tarjetas de características).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233"/>
          <w:sz w:val="20"/>
          <w:szCs w:val="20"/>
        </w:rPr>
        <w:t xml:space="preserve">Color: azul primario en tarjetas; heredan el color del texto en botones y menú.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5280"/>
      </w:tblGrid>
      <w:tr>
        <w:trPr>
          <w:tblHeader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ÍCONO (Lucide)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Carga ZIP / Git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upload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paso "Subir proyecto".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Detección automática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scan-search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paso "Detectar tecnología".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Despliegue con Docker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container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paso "Desplegar".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Bases de datos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database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grupo de tecnologías.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URLs locales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link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paso "Acceder por URL".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Logs y monitoreo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activity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Tarjeta de característica; sección de logs del dashboard.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Correo / Ubicación / Repositorio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mail · map-pin · git-branch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Datos de contacto.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Menú móvil</w:t>
            </w:r>
          </w:p>
        </w:tc>
        <w:tc>
          <w:tcPr>
            <w:tcW w:type="dxa" w:w="25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menu</w:t>
            </w:r>
          </w:p>
        </w:tc>
        <w:tc>
          <w:tcPr>
            <w:tcW w:type="dxa" w:w="52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Botón hamburguesa del encabezado.</w:t>
            </w:r>
          </w:p>
        </w:tc>
      </w:tr>
    </w:tbl>
    <w:p>
      <w:pPr>
        <w:pStyle w:val="Heading2"/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Variables CSS (borrador)</w:t>
      </w:r>
    </w:p>
    <w:p>
      <w:pPr>
        <w:spacing w:after="100" w:before="0"/>
      </w:pPr>
      <w:r>
        <w:rPr>
          <w:rFonts w:ascii="Calibri" w:cs="Calibri" w:eastAsia="Calibri" w:hAnsi="Calibri"/>
          <w:color w:val="1B2233"/>
          <w:sz w:val="21"/>
          <w:szCs w:val="21"/>
        </w:rPr>
        <w:t xml:space="preserve">Resumen de todo lo anterior en el formato que va al archivo de estilos. Se puede copiar tal cual al inicio de styles.css.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:root {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/* Colores */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--color-primario: #1A6FF0;        --color-primario-hover: #1558C4;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--color-primario-suave: #E8F0FE;  --color-oscuro: #0B1530;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--color-texto: #1B2233;           --color-texto-suave: #5F6778;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--color-fondo: #FFFFFF;           --color-fondo-alterno: #F3F5F9;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--color-borde: #D5DAE3;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--color-exito: #1A7F4F;           --color-error: #C93535;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--color-advertencia: #9A5B00;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/* Tipografía */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--fuente-titulos: "Barlow", Arial, sans-serif;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--fuente-cuerpo:  "Barlow", Arial, sans-serif;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--fuente-codigo:  "Cascadia Mono", Consolas, "Courier New", monospace;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--texto-h1: 44px;  --texto-h2: 32px;  --texto-h3: 22px;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--texto-l: 20px;   --texto-base: 16px; --texto-s: 14px;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/* Espaciado y medidas */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--espacio-xs: 4px;  --espacio-s: 8px;   --espacio-m: 16px;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--espacio-l: 24px;  --espacio-xl: 32px; --espacio-2xl: 48px;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--espacio-3xl: 64px; --ancho-contenido: 1100px;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--radio-m: 8px;     --radio-l: 12px;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/* Botones e íconos */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--boton-padding: 12px 24px;  --boton-alto-min: 44px;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  --icono-s: 16px;  --icono-m: 24px;  --icono-l: 32px;</w:t>
      </w:r>
    </w:p>
    <w:p>
      <w:pPr>
        <w:keepLines/>
        <w:shd w:fill="F3F5F9" w:color="auto" w:val="clear"/>
        <w:spacing w:after="0" w:before="0" w:line="200" w:lineRule="exact"/>
      </w:pPr>
      <w:r>
        <w:rPr>
          <w:rFonts w:ascii="Courier New" w:cs="Courier New" w:eastAsia="Courier New" w:hAnsi="Courier New"/>
          <w:color w:val="1B2233"/>
          <w:sz w:val="17"/>
          <w:szCs w:val="17"/>
        </w:rPr>
        <w:t xml:space="preserve">}</w:t>
      </w:r>
    </w:p>
    <w:sectPr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 · Identidad visual</dc:title>
  <dc:creator>ApeByte Cloud Platform</dc:creator>
  <cp:lastModifiedBy>Un-named</cp:lastModifiedBy>
  <cp:revision>1</cp:revision>
  <dcterms:created xsi:type="dcterms:W3CDTF">2026-10-05T18:55:29.919Z</dcterms:created>
  <dcterms:modified xsi:type="dcterms:W3CDTF">2026-10-05T18:55:29.919Z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