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F29" w:rsidRPr="00052F29" w:rsidRDefault="00052F29">
      <w:pPr>
        <w:rPr>
          <w:rFonts w:ascii="Times New Roman" w:hAnsi="Times New Roman" w:cs="Times New Roman"/>
          <w:sz w:val="28"/>
          <w:szCs w:val="28"/>
        </w:rPr>
      </w:pPr>
      <w:r>
        <w:rPr>
          <w:rFonts w:ascii="Times New Roman" w:hAnsi="Times New Roman" w:cs="Times New Roman"/>
          <w:sz w:val="28"/>
          <w:szCs w:val="28"/>
        </w:rPr>
        <w:t xml:space="preserve">  </w:t>
      </w:r>
      <w:r w:rsidRPr="00052F29">
        <w:rPr>
          <w:rFonts w:ascii="Times New Roman" w:hAnsi="Times New Roman" w:cs="Times New Roman"/>
          <w:sz w:val="28"/>
          <w:szCs w:val="28"/>
        </w:rPr>
        <w:t>Здесь можно увидеть процессы обработки информации, потоки данных, накопители данных и внешние сущности, которые являются источником или приемником данных за границами системы. Таким образом, видно, как процессы формируют накопители данных, например, процесс «Учет сотрудника» формирует накопитель данных «Сотрудник». Если поступает запрос на въезд, то происходит внесение за счет процесса «Ведение данных о клиенте» необходимых данных в накопители «Автомобиль» и «Клиент», после чего осуществляется въезд на территорию автостоянки. Иначе, если поступает запрос на выезд, сотрудник внесенные данные извлекает и проводит расчет оплаты, после чего на выходе формируется квитанция об оплате.</w:t>
      </w:r>
    </w:p>
    <w:sectPr w:rsidR="00052F29" w:rsidRPr="00052F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52F29"/>
    <w:rsid w:val="00052F29"/>
    <w:rsid w:val="00B209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102</Words>
  <Characters>588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2018-12-23T13:41:00Z</dcterms:created>
  <dcterms:modified xsi:type="dcterms:W3CDTF">2018-12-23T23:36:00Z</dcterms:modified>
</cp:coreProperties>
</file>