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A3A"/>
          <w:sz w:val="44"/>
          <w:szCs w:val="44"/>
        </w:rPr>
        <w:t xml:space="preserve">Prakriti-Aware Recommendation Module</w:t>
      </w:r>
    </w:p>
    <w:p>
      <w:pPr>
        <w:spacing w:after="100"/>
        <w:jc w:val="center"/>
      </w:pPr>
      <w:r>
        <w:rPr>
          <w:color w:val="5B6B5E"/>
          <w:sz w:val="28"/>
          <w:szCs w:val="28"/>
        </w:rPr>
        <w:t xml:space="preserve">Component Description Report</w:t>
      </w:r>
    </w:p>
    <w:p>
      <w:pPr>
        <w:spacing w:after="60"/>
        <w:jc w:val="center"/>
      </w:pPr>
      <w:r>
        <w:rPr>
          <w:i/>
          <w:iCs/>
          <w:color w:val="5B6B5E"/>
          <w:sz w:val="22"/>
          <w:szCs w:val="22"/>
        </w:rPr>
        <w:t xml:space="preserve">Part of: AI-Based Skin Disease Identification with Ayurvedic Prakriti Personalization</w:t>
      </w:r>
    </w:p>
    <w:p>
      <w:pPr>
        <w:spacing w:before="800"/>
        <w:jc w:val="center"/>
      </w:pPr>
      <w:r>
        <w:rPr>
          <w:color w:val="5B6B5E"/>
          <w:sz w:val="20"/>
          <w:szCs w:val="20"/>
        </w:rPr>
        <w:t xml:space="preserve">Prepared: August 2026</w:t>
      </w:r>
    </w:p>
    <w:p>
      <w:r>
        <w:br w:type="page"/>
      </w:r>
    </w:p>
    <w:p>
      <w:pPr>
        <w:pStyle w:val="Heading1"/>
        <w:pBdr>
          <w:bottom w:val="single" w:color="1F4A3A" w:sz="8" w:space="4"/>
        </w:pBdr>
        <w:spacing w:after="160" w:before="320"/>
      </w:pPr>
      <w:r>
        <w:rPr>
          <w:b/>
          <w:bCs/>
          <w:color w:val="1F4A3A"/>
          <w:sz w:val="30"/>
          <w:szCs w:val="30"/>
        </w:rPr>
        <w:t xml:space="preserve">1. Full Description of the Component</w:t>
      </w:r>
    </w:p>
    <w:p>
      <w:pPr>
        <w:spacing w:after="160" w:line="288"/>
      </w:pPr>
      <w:r>
        <w:rPr>
          <w:sz w:val="22"/>
          <w:szCs w:val="22"/>
        </w:rPr>
        <w:t xml:space="preserve">The Prakriti-Aware Recommendation Module is Component 4 — the fourth and final component — in a four-part clinical decision-support system. Component 1 (Prakriti Identification) identifies a user's Ayurvedic Prakriti (body-mind constitution: Vata, Pitta, Kapha) from a questionnaire and/or selfie analysis. Component 2 (Skin Disease Identification) identifies a probable skin condition from an uploaded image and a symptom questionnaire. Component 3 (Dual-Perspective Explanation) presents the user with an explanation of the diagnosis from both an AI/clinical perspective and an Ayurvedic perspective before any guidance is generated. This module, Component 4, consumes the structured outputs of the Prakriti and Skin Disease components, together with basic user-context data (age group, allergies, pregnancy status, dietary preference), and produces personalised, explainable, safety-checked guidance across three categories: diet, lifestyle, and home-care — closing out the end-to-end pipeline.</w:t>
      </w:r>
    </w:p>
    <w:p>
      <w:pPr>
        <w:spacing w:after="160" w:line="288"/>
      </w:pPr>
      <w:r>
        <w:rPr>
          <w:sz w:val="22"/>
          <w:szCs w:val="22"/>
        </w:rPr>
        <w:t xml:space="preserve">The module is deliberately knowledge-driven rather than hard-coded: all recommendation text, prakriti/condition mappings, and safety thresholds live in versioned JSON files, and the Python engine only performs retrieval, weighted scoring, safety filtering, ranking, and natural-language explanation generation over that knowledge base. This separation means the recommendation content can be revised or extended by a domain expert without touching the scoring or safety logic, and every output remains reproducible and auditable — a requirement for any tool that sits adjacent to health guidance.</w:t>
      </w:r>
    </w:p>
    <w:p>
      <w:pPr>
        <w:spacing w:after="160" w:line="288"/>
      </w:pPr>
      <w:r>
        <w:rPr>
          <w:sz w:val="22"/>
          <w:szCs w:val="22"/>
        </w:rPr>
        <w:t xml:space="preserve">Beyond the core recommend-and-explain pipeline, the component includes: a browser-based manual-entry interface for testing and demonstration (used while the upstream Prakriti, Skin-Disease, and Explanation module APIs are still in development); a downloadable PDF report generator for end-user takeaways; and an interactive Follow-up Assistant that lets a user question the recommendations they were given ("why wasn't X suggested?", "what if I'm vegan?") and get an answer grounded in the same data the engine used to rank that session's results, with an optional AI fallback for open-ended questions the rule-based logic cannot classify.</w:t>
      </w:r>
    </w:p>
    <w:p>
      <w:pPr>
        <w:pStyle w:val="ListParagraph"/>
        <w:numPr>
          <w:ilvl w:val="0"/>
          <w:numId w:val="2"/>
        </w:numPr>
        <w:spacing w:after="80" w:line="276"/>
      </w:pPr>
      <w:r>
        <w:rPr>
          <w:b/>
          <w:bCs/>
          <w:sz w:val="22"/>
          <w:szCs w:val="22"/>
        </w:rPr>
        <w:t xml:space="preserve">Deterministic core: </w:t>
      </w:r>
      <w:r>
        <w:rPr>
          <w:sz w:val="22"/>
          <w:szCs w:val="22"/>
        </w:rPr>
        <w:t xml:space="preserve">identical input always produces identical, reproducible output — essential for research validity and for user trust in a health-adjacent tool.</w:t>
      </w:r>
    </w:p>
    <w:p>
      <w:pPr>
        <w:pStyle w:val="ListParagraph"/>
        <w:numPr>
          <w:ilvl w:val="0"/>
          <w:numId w:val="2"/>
        </w:numPr>
        <w:spacing w:after="80" w:line="276"/>
      </w:pPr>
      <w:r>
        <w:rPr>
          <w:b/>
          <w:bCs/>
          <w:sz w:val="22"/>
          <w:szCs w:val="22"/>
        </w:rPr>
        <w:t xml:space="preserve">Explainable by design: </w:t>
      </w:r>
      <w:r>
        <w:rPr>
          <w:sz w:val="22"/>
          <w:szCs w:val="22"/>
        </w:rPr>
        <w:t xml:space="preserve">every recommendation carries its matched factors, its numeric score components, and a plain-language reason, not just a ranked list.</w:t>
      </w:r>
    </w:p>
    <w:p>
      <w:pPr>
        <w:pStyle w:val="ListParagraph"/>
        <w:numPr>
          <w:ilvl w:val="0"/>
          <w:numId w:val="2"/>
        </w:numPr>
        <w:spacing w:after="80" w:line="276"/>
      </w:pPr>
      <w:r>
        <w:rPr>
          <w:b/>
          <w:bCs/>
          <w:sz w:val="22"/>
          <w:szCs w:val="22"/>
        </w:rPr>
        <w:t xml:space="preserve">Safety-first gating: </w:t>
      </w:r>
      <w:r>
        <w:rPr>
          <w:sz w:val="22"/>
          <w:szCs w:val="22"/>
        </w:rPr>
        <w:t xml:space="preserve">referral flags, low module confidence, and severe conditions are checked before any personalised content is generated.</w:t>
      </w:r>
    </w:p>
    <w:p>
      <w:pPr>
        <w:pStyle w:val="ListParagraph"/>
        <w:numPr>
          <w:ilvl w:val="0"/>
          <w:numId w:val="2"/>
        </w:numPr>
        <w:spacing w:after="80" w:line="276"/>
      </w:pPr>
      <w:r>
        <w:rPr>
          <w:b/>
          <w:bCs/>
          <w:sz w:val="22"/>
          <w:szCs w:val="22"/>
        </w:rPr>
        <w:t xml:space="preserve">Extensible knowledge base: </w:t>
      </w:r>
      <w:r>
        <w:rPr>
          <w:sz w:val="22"/>
          <w:szCs w:val="22"/>
        </w:rPr>
        <w:t xml:space="preserve">250 recommendations and 50 prakriti/condition/symptom mappings currently defined in JSON, designed to migrate to a database without changing the scoring code.</w:t>
      </w:r>
    </w:p>
    <w:p>
      <w:pPr>
        <w:pStyle w:val="Heading1"/>
        <w:pBdr>
          <w:bottom w:val="single" w:color="1F4A3A" w:sz="8" w:space="4"/>
        </w:pBdr>
        <w:spacing w:after="160" w:before="320"/>
      </w:pPr>
      <w:r>
        <w:rPr>
          <w:b/>
          <w:bCs/>
          <w:color w:val="1F4A3A"/>
          <w:sz w:val="30"/>
          <w:szCs w:val="30"/>
        </w:rPr>
        <w:t xml:space="preserve">2. Technology</w:t>
      </w:r>
    </w:p>
    <w:p>
      <w:pPr>
        <w:spacing w:after="160" w:line="288"/>
      </w:pPr>
      <w:r>
        <w:rPr>
          <w:sz w:val="22"/>
          <w:szCs w:val="22"/>
        </w:rPr>
        <w:t xml:space="preserve">The module is implemented as a Python backend with a lightweight web front end, chosen for rapid iteration, transparency of logic, and ease of later integration with the upstream Component 1 (Prakriti), Component 2 (Skin Disease), and Component 3 (Explanation) APIs (which are themselves expected to expose REST/JSON interfaces).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1F4A3A" w:val="clear"/>
            <w:tcMar>
              <w:top w:type="dxa" w:w="100"/>
              <w:left w:type="dxa" w:w="120"/>
              <w:bottom w:type="dxa" w:w="100"/>
              <w:right w:type="dxa" w:w="120"/>
            </w:tcMar>
          </w:tcPr>
          <w:p>
            <w:r>
              <w:rPr>
                <w:b/>
                <w:bCs/>
                <w:color w:val="FFFFFF"/>
                <w:sz w:val="20"/>
                <w:szCs w:val="20"/>
              </w:rPr>
              <w:t xml:space="preserve">Layer</w:t>
            </w:r>
          </w:p>
        </w:tc>
        <w:tc>
          <w:tcPr>
            <w:tcW w:type="dxa" w:w="6800"/>
            <w:shd w:fill="1F4A3A" w:val="clear"/>
            <w:tcMar>
              <w:top w:type="dxa" w:w="100"/>
              <w:left w:type="dxa" w:w="120"/>
              <w:bottom w:type="dxa" w:w="100"/>
              <w:right w:type="dxa" w:w="120"/>
            </w:tcMar>
          </w:tcPr>
          <w:p>
            <w:r>
              <w:rPr>
                <w:b w:val="false"/>
                <w:bCs w:val="false"/>
                <w:color w:val="FFFFFF"/>
                <w:sz w:val="20"/>
                <w:szCs w:val="20"/>
              </w:rPr>
              <w:t xml:space="preserve">Technology</w:t>
            </w:r>
          </w:p>
        </w:tc>
      </w:tr>
      <w:tr>
        <w:tc>
          <w:tcPr>
            <w:tcW w:type="dxa" w:w="3200"/>
            <w:shd w:fill="EAF2DC" w:val="clear"/>
            <w:tcMar>
              <w:top w:type="dxa" w:w="100"/>
              <w:left w:type="dxa" w:w="120"/>
              <w:bottom w:type="dxa" w:w="100"/>
              <w:right w:type="dxa" w:w="120"/>
            </w:tcMar>
          </w:tcPr>
          <w:p>
            <w:r>
              <w:rPr>
                <w:b/>
                <w:bCs/>
                <w:color w:val="1F4A3A"/>
                <w:sz w:val="20"/>
                <w:szCs w:val="20"/>
              </w:rPr>
              <w:t xml:space="preserve">Backend language</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Python 3.13</w:t>
            </w:r>
          </w:p>
        </w:tc>
      </w:tr>
      <w:tr>
        <w:tc>
          <w:tcPr>
            <w:tcW w:type="dxa" w:w="3200"/>
            <w:shd w:fill="EAF2DC" w:val="clear"/>
            <w:tcMar>
              <w:top w:type="dxa" w:w="100"/>
              <w:left w:type="dxa" w:w="120"/>
              <w:bottom w:type="dxa" w:w="100"/>
              <w:right w:type="dxa" w:w="120"/>
            </w:tcMar>
          </w:tcPr>
          <w:p>
            <w:r>
              <w:rPr>
                <w:b/>
                <w:bCs/>
                <w:color w:val="1F4A3A"/>
                <w:sz w:val="20"/>
                <w:szCs w:val="20"/>
              </w:rPr>
              <w:t xml:space="preserve">Web framework</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Flask 3.x (development server, debug/auto-reload)</w:t>
            </w:r>
          </w:p>
        </w:tc>
      </w:tr>
      <w:tr>
        <w:tc>
          <w:tcPr>
            <w:tcW w:type="dxa" w:w="3200"/>
            <w:shd w:fill="EAF2DC" w:val="clear"/>
            <w:tcMar>
              <w:top w:type="dxa" w:w="100"/>
              <w:left w:type="dxa" w:w="120"/>
              <w:bottom w:type="dxa" w:w="100"/>
              <w:right w:type="dxa" w:w="120"/>
            </w:tcMar>
          </w:tcPr>
          <w:p>
            <w:r>
              <w:rPr>
                <w:b/>
                <w:bCs/>
                <w:color w:val="1F4A3A"/>
                <w:sz w:val="20"/>
                <w:szCs w:val="20"/>
              </w:rPr>
              <w:t xml:space="preserve">Recommendation engine</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Pure-Python rule + weighted-scoring engine (no ML framework dependency for the core logic)</w:t>
            </w:r>
          </w:p>
        </w:tc>
      </w:tr>
      <w:tr>
        <w:tc>
          <w:tcPr>
            <w:tcW w:type="dxa" w:w="3200"/>
            <w:shd w:fill="EAF2DC" w:val="clear"/>
            <w:tcMar>
              <w:top w:type="dxa" w:w="100"/>
              <w:left w:type="dxa" w:w="120"/>
              <w:bottom w:type="dxa" w:w="100"/>
              <w:right w:type="dxa" w:w="120"/>
            </w:tcMar>
          </w:tcPr>
          <w:p>
            <w:r>
              <w:rPr>
                <w:b/>
                <w:bCs/>
                <w:color w:val="1F4A3A"/>
                <w:sz w:val="20"/>
                <w:szCs w:val="20"/>
              </w:rPr>
              <w:t xml:space="preserve">Knowledge base</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Structured JSON files (recommendations.json, mappings.json, safety_rules.json)</w:t>
            </w:r>
          </w:p>
        </w:tc>
      </w:tr>
      <w:tr>
        <w:tc>
          <w:tcPr>
            <w:tcW w:type="dxa" w:w="3200"/>
            <w:shd w:fill="EAF2DC" w:val="clear"/>
            <w:tcMar>
              <w:top w:type="dxa" w:w="100"/>
              <w:left w:type="dxa" w:w="120"/>
              <w:bottom w:type="dxa" w:w="100"/>
              <w:right w:type="dxa" w:w="120"/>
            </w:tcMar>
          </w:tcPr>
          <w:p>
            <w:r>
              <w:rPr>
                <w:b/>
                <w:bCs/>
                <w:color w:val="1F4A3A"/>
                <w:sz w:val="20"/>
                <w:szCs w:val="20"/>
              </w:rPr>
              <w:t xml:space="preserve">Front end</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Server-rendered HTML (Jinja2 templates) + vanilla JavaScript (no framework) + hand-written CSS</w:t>
            </w:r>
          </w:p>
        </w:tc>
      </w:tr>
      <w:tr>
        <w:tc>
          <w:tcPr>
            <w:tcW w:type="dxa" w:w="3200"/>
            <w:shd w:fill="EAF2DC" w:val="clear"/>
            <w:tcMar>
              <w:top w:type="dxa" w:w="100"/>
              <w:left w:type="dxa" w:w="120"/>
              <w:bottom w:type="dxa" w:w="100"/>
              <w:right w:type="dxa" w:w="120"/>
            </w:tcMar>
          </w:tcPr>
          <w:p>
            <w:r>
              <w:rPr>
                <w:b/>
                <w:bCs/>
                <w:color w:val="1F4A3A"/>
                <w:sz w:val="20"/>
                <w:szCs w:val="20"/>
              </w:rPr>
              <w:t xml:space="preserve">PDF report generation</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ReportLab 5.x (pure-Python PDF layout engine)</w:t>
            </w:r>
          </w:p>
        </w:tc>
      </w:tr>
      <w:tr>
        <w:tc>
          <w:tcPr>
            <w:tcW w:type="dxa" w:w="3200"/>
            <w:shd w:fill="EAF2DC" w:val="clear"/>
            <w:tcMar>
              <w:top w:type="dxa" w:w="100"/>
              <w:left w:type="dxa" w:w="120"/>
              <w:bottom w:type="dxa" w:w="100"/>
              <w:right w:type="dxa" w:w="120"/>
            </w:tcMar>
          </w:tcPr>
          <w:p>
            <w:r>
              <w:rPr>
                <w:b/>
                <w:bCs/>
                <w:color w:val="1F4A3A"/>
                <w:sz w:val="20"/>
                <w:szCs w:val="20"/>
              </w:rPr>
              <w:t xml:space="preserve">AI fallback (optional)</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Anthropic Claude API (claude-haiku-4-5), via the anthropic Python SDK</w:t>
            </w:r>
          </w:p>
        </w:tc>
      </w:tr>
      <w:tr>
        <w:tc>
          <w:tcPr>
            <w:tcW w:type="dxa" w:w="3200"/>
            <w:shd w:fill="EAF2DC" w:val="clear"/>
            <w:tcMar>
              <w:top w:type="dxa" w:w="100"/>
              <w:left w:type="dxa" w:w="120"/>
              <w:bottom w:type="dxa" w:w="100"/>
              <w:right w:type="dxa" w:w="120"/>
            </w:tcMar>
          </w:tcPr>
          <w:p>
            <w:r>
              <w:rPr>
                <w:b/>
                <w:bCs/>
                <w:color w:val="1F4A3A"/>
                <w:sz w:val="20"/>
                <w:szCs w:val="20"/>
              </w:rPr>
              <w:t xml:space="preserve">Configuration</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python-dotenv (.env file for local secrets, e.g. API keys)</w:t>
            </w:r>
          </w:p>
        </w:tc>
      </w:tr>
      <w:tr>
        <w:tc>
          <w:tcPr>
            <w:tcW w:type="dxa" w:w="3200"/>
            <w:shd w:fill="EAF2DC" w:val="clear"/>
            <w:tcMar>
              <w:top w:type="dxa" w:w="100"/>
              <w:left w:type="dxa" w:w="120"/>
              <w:bottom w:type="dxa" w:w="100"/>
              <w:right w:type="dxa" w:w="120"/>
            </w:tcMar>
          </w:tcPr>
          <w:p>
            <w:r>
              <w:rPr>
                <w:b/>
                <w:bCs/>
                <w:color w:val="1F4A3A"/>
                <w:sz w:val="20"/>
                <w:szCs w:val="20"/>
              </w:rPr>
              <w:t xml:space="preserve">Testing</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Python unittest (engine and API-level tests)</w:t>
            </w:r>
          </w:p>
        </w:tc>
      </w:tr>
    </w:tbl>
    <w:p>
      <w:pPr>
        <w:spacing w:after="160" w:line="288"/>
      </w:pPr>
      <w:r>
        <w:rPr>
          <w:sz w:val="22"/>
          <w:szCs w:val="22"/>
        </w:rPr>
        <w:t xml:space="preserve"/>
      </w:r>
    </w:p>
    <w:p>
      <w:pPr>
        <w:spacing w:after="160" w:line="288"/>
      </w:pPr>
      <w:r>
        <w:rPr>
          <w:sz w:val="22"/>
          <w:szCs w:val="22"/>
        </w:rPr>
        <w:t xml:space="preserve">The technology choices deliberately favour transparency over sophistication: the core scoring and safety logic is plain, readable Python rather than a trained model, so that every decision the system makes can be traced back to an explicit formula or rule — a property that is difficult to guarantee with opaque ML classifiers and was treated as a priority given the health-adjacent nature of the guidance.</w:t>
      </w:r>
    </w:p>
    <w:p>
      <w:pPr>
        <w:pStyle w:val="Heading1"/>
        <w:pBdr>
          <w:bottom w:val="single" w:color="1F4A3A" w:sz="8" w:space="4"/>
        </w:pBdr>
        <w:spacing w:after="160" w:before="320"/>
      </w:pPr>
      <w:r>
        <w:rPr>
          <w:b/>
          <w:bCs/>
          <w:color w:val="1F4A3A"/>
          <w:sz w:val="30"/>
          <w:szCs w:val="30"/>
        </w:rPr>
        <w:t xml:space="preserve">3. Methodology</w:t>
      </w:r>
    </w:p>
    <w:p>
      <w:pPr>
        <w:spacing w:after="160" w:line="288"/>
      </w:pPr>
      <w:r>
        <w:rPr>
          <w:sz w:val="22"/>
          <w:szCs w:val="22"/>
        </w:rPr>
        <w:t xml:space="preserve">The module follows a knowledge-driven, rule-based recommender-systems methodology, structured as a seven-stage pipeline that runs once per user request:</w:t>
      </w:r>
    </w:p>
    <w:p>
      <w:pPr>
        <w:pStyle w:val="ListParagraph"/>
        <w:numPr>
          <w:ilvl w:val="0"/>
          <w:numId w:val="3"/>
        </w:numPr>
        <w:spacing w:after="100" w:line="276"/>
      </w:pPr>
      <w:r>
        <w:rPr>
          <w:sz w:val="22"/>
          <w:szCs w:val="22"/>
        </w:rPr>
        <w:t xml:space="preserve">Load and validate input — the incoming JSON payload (Prakriti result, skin result, user context) is checked against a required-field schema before any processing begins.</w:t>
      </w:r>
    </w:p>
    <w:p>
      <w:pPr>
        <w:pStyle w:val="ListParagraph"/>
        <w:numPr>
          <w:ilvl w:val="0"/>
          <w:numId w:val="3"/>
        </w:numPr>
        <w:spacing w:after="100" w:line="276"/>
      </w:pPr>
      <w:r>
        <w:rPr>
          <w:sz w:val="22"/>
          <w:szCs w:val="22"/>
        </w:rPr>
        <w:t xml:space="preserve">Run global safety gates — referral-required flags, severe-condition policy, and minimum confidence thresholds are evaluated first; if triggered, the pipeline short-circuits and returns a referral-only response without generating personalised content.</w:t>
      </w:r>
    </w:p>
    <w:p>
      <w:pPr>
        <w:pStyle w:val="ListParagraph"/>
        <w:numPr>
          <w:ilvl w:val="0"/>
          <w:numId w:val="3"/>
        </w:numPr>
        <w:spacing w:after="100" w:line="276"/>
      </w:pPr>
      <w:r>
        <w:rPr>
          <w:sz w:val="22"/>
          <w:szCs w:val="22"/>
        </w:rPr>
        <w:t xml:space="preserve">Retrieve candidates — the mapping table is filtered by predicted skin condition, then narrowed by dominant/secondary prakriti match or symptom overlap, producing a candidate set of recommendation-mapping pairs.</w:t>
      </w:r>
    </w:p>
    <w:p>
      <w:pPr>
        <w:pStyle w:val="ListParagraph"/>
        <w:numPr>
          <w:ilvl w:val="0"/>
          <w:numId w:val="3"/>
        </w:numPr>
        <w:spacing w:after="100" w:line="276"/>
      </w:pPr>
      <w:r>
        <w:rPr>
          <w:sz w:val="22"/>
          <w:szCs w:val="22"/>
        </w:rPr>
        <w:t xml:space="preserve">Compute weighted scores — each candidate is scored using a six-component weighted formula (detailed in Section 8: Algorithm) that blends prakriti alignment, condition match, symptom overlap, upstream module confidence, expert curation weight, and mapping relevance, then adjusts the result for a severity-vs-advice-strength penalty.</w:t>
      </w:r>
    </w:p>
    <w:p>
      <w:pPr>
        <w:pStyle w:val="ListParagraph"/>
        <w:numPr>
          <w:ilvl w:val="0"/>
          <w:numId w:val="3"/>
        </w:numPr>
        <w:spacing w:after="100" w:line="276"/>
      </w:pPr>
      <w:r>
        <w:rPr>
          <w:sz w:val="22"/>
          <w:szCs w:val="22"/>
        </w:rPr>
        <w:t xml:space="preserve">Apply safety filtering — candidates are removed if they conflict with the user's known allergies, dietary preference (e.g. vegan/vegetarian/lactose-intolerant), pregnancy/age-group restrictions, or are flagged as clinically risky; every exclusion is recorded with a machine-readable reason.</w:t>
      </w:r>
    </w:p>
    <w:p>
      <w:pPr>
        <w:pStyle w:val="ListParagraph"/>
        <w:numPr>
          <w:ilvl w:val="0"/>
          <w:numId w:val="3"/>
        </w:numPr>
        <w:spacing w:after="100" w:line="276"/>
      </w:pPr>
      <w:r>
        <w:rPr>
          <w:sz w:val="22"/>
          <w:szCs w:val="22"/>
        </w:rPr>
        <w:t xml:space="preserve">Rank and diversify — surviving candidates are sorted by final score, then a diversification pass ensures the top-K result set spans diet, lifestyle, and home-care categories where possible, rather than one category dominating.</w:t>
      </w:r>
    </w:p>
    <w:p>
      <w:pPr>
        <w:pStyle w:val="ListParagraph"/>
        <w:numPr>
          <w:ilvl w:val="0"/>
          <w:numId w:val="3"/>
        </w:numPr>
        <w:spacing w:after="100" w:line="276"/>
      </w:pPr>
      <w:r>
        <w:rPr>
          <w:sz w:val="22"/>
          <w:szCs w:val="22"/>
        </w:rPr>
        <w:t xml:space="preserve">Generate explainable output — each selected recommendation is annotated with its matched prakriti/condition/symptoms, a natural-language reason sentence, and a confidence explanation; the response also carries an overall confidence level, a safety note, and a referral warning where relevant.</w:t>
      </w:r>
    </w:p>
    <w:p>
      <w:pPr>
        <w:spacing w:after="160" w:line="288"/>
      </w:pPr>
      <w:r>
        <w:rPr>
          <w:sz w:val="22"/>
          <w:szCs w:val="22"/>
        </w:rPr>
        <w:t xml:space="preserve"/>
      </w:r>
    </w:p>
    <w:p>
      <w:pPr>
        <w:spacing w:after="160" w:line="288"/>
      </w:pPr>
      <w:r>
        <w:rPr>
          <w:sz w:val="22"/>
          <w:szCs w:val="22"/>
        </w:rPr>
        <w:t xml:space="preserve">This methodology sits within the broader field of knowledge-based (as opposed to collaborative-filtering or content-embedding) recommender systems, which is the appropriate family for a domain — Ayurvedic personalisation — where labelled behavioural data (e.g. "users who liked X also liked Y") does not exist, but structured domain expertise (prakriti-condition-remedy relationships) does.</w:t>
      </w:r>
    </w:p>
    <w:p>
      <w:pPr>
        <w:pStyle w:val="Heading1"/>
        <w:pBdr>
          <w:bottom w:val="single" w:color="1F4A3A" w:sz="8" w:space="4"/>
        </w:pBdr>
        <w:spacing w:after="160" w:before="320"/>
      </w:pPr>
      <w:r>
        <w:rPr>
          <w:b/>
          <w:bCs/>
          <w:color w:val="1F4A3A"/>
          <w:sz w:val="30"/>
          <w:szCs w:val="30"/>
        </w:rPr>
        <w:t xml:space="preserve">4. How to Use</w:t>
      </w:r>
    </w:p>
    <w:p>
      <w:pPr>
        <w:pStyle w:val="Heading2"/>
        <w:spacing w:after="120" w:before="240"/>
      </w:pPr>
      <w:r>
        <w:rPr>
          <w:b/>
          <w:bCs/>
          <w:color w:val="1F4A3A"/>
          <w:sz w:val="24"/>
          <w:szCs w:val="24"/>
        </w:rPr>
        <w:t xml:space="preserve">4.1 Command-line usage</w:t>
      </w:r>
    </w:p>
    <w:p>
      <w:pPr>
        <w:spacing w:after="160" w:line="288"/>
      </w:pPr>
      <w:r>
        <w:rPr>
          <w:sz w:val="22"/>
          <w:szCs w:val="22"/>
        </w:rPr>
        <w:t xml:space="preserve">For batch or scripted use, the engine can be run directly against a JSON input file:</w:t>
      </w:r>
    </w:p>
    <w:p>
      <w:pPr>
        <w:shd w:fill="F3F1E6" w:val="clear"/>
        <w:spacing w:after="60"/>
      </w:pPr>
      <w:r>
        <w:rPr>
          <w:rFonts w:ascii="Consolas" w:cs="Consolas" w:eastAsia="Consolas" w:hAnsi="Consolas"/>
          <w:sz w:val="20"/>
          <w:szCs w:val="20"/>
        </w:rPr>
        <w:t xml:space="preserve">python3 src/main.py --input sample_input.json --output sample_output.json --top-k 5</w:t>
      </w:r>
    </w:p>
    <w:p>
      <w:pPr>
        <w:spacing w:after="160" w:line="288"/>
      </w:pPr>
      <w:r>
        <w:rPr>
          <w:sz w:val="22"/>
          <w:szCs w:val="22"/>
        </w:rPr>
        <w:t xml:space="preserve"/>
      </w:r>
    </w:p>
    <w:p>
      <w:pPr>
        <w:pStyle w:val="Heading2"/>
        <w:spacing w:after="120" w:before="240"/>
      </w:pPr>
      <w:r>
        <w:rPr>
          <w:b/>
          <w:bCs/>
          <w:color w:val="1F4A3A"/>
          <w:sz w:val="24"/>
          <w:szCs w:val="24"/>
        </w:rPr>
        <w:t xml:space="preserve">4.2 Web interface (manual entry / demo mode)</w:t>
      </w:r>
    </w:p>
    <w:p>
      <w:pPr>
        <w:pStyle w:val="ListParagraph"/>
        <w:numPr>
          <w:ilvl w:val="0"/>
          <w:numId w:val="3"/>
        </w:numPr>
        <w:spacing w:after="100" w:line="276"/>
      </w:pPr>
      <w:r>
        <w:rPr>
          <w:sz w:val="22"/>
          <w:szCs w:val="22"/>
        </w:rPr>
        <w:t xml:space="preserve">Create and activate a virtual environment: python3 -m venv .venv &amp;&amp; source .venv/bin/activate</w:t>
      </w:r>
    </w:p>
    <w:p>
      <w:pPr>
        <w:pStyle w:val="ListParagraph"/>
        <w:numPr>
          <w:ilvl w:val="0"/>
          <w:numId w:val="3"/>
        </w:numPr>
        <w:spacing w:after="100" w:line="276"/>
      </w:pPr>
      <w:r>
        <w:rPr>
          <w:sz w:val="22"/>
          <w:szCs w:val="22"/>
        </w:rPr>
        <w:t xml:space="preserve">Install dependencies: pip install -r requirements.txt</w:t>
      </w:r>
    </w:p>
    <w:p>
      <w:pPr>
        <w:pStyle w:val="ListParagraph"/>
        <w:numPr>
          <w:ilvl w:val="0"/>
          <w:numId w:val="3"/>
        </w:numPr>
        <w:spacing w:after="100" w:line="276"/>
      </w:pPr>
      <w:r>
        <w:rPr>
          <w:sz w:val="22"/>
          <w:szCs w:val="22"/>
        </w:rPr>
        <w:t xml:space="preserve">(Optional) add an Anthropic API key to .env to enable AI-assisted follow-up answers</w:t>
      </w:r>
    </w:p>
    <w:p>
      <w:pPr>
        <w:pStyle w:val="ListParagraph"/>
        <w:numPr>
          <w:ilvl w:val="0"/>
          <w:numId w:val="3"/>
        </w:numPr>
        <w:spacing w:after="100" w:line="276"/>
      </w:pPr>
      <w:r>
        <w:rPr>
          <w:sz w:val="22"/>
          <w:szCs w:val="22"/>
        </w:rPr>
        <w:t xml:space="preserve">Start the server: python src/web_app.py</w:t>
      </w:r>
    </w:p>
    <w:p>
      <w:pPr>
        <w:pStyle w:val="ListParagraph"/>
        <w:numPr>
          <w:ilvl w:val="0"/>
          <w:numId w:val="3"/>
        </w:numPr>
        <w:spacing w:after="100" w:line="276"/>
      </w:pPr>
      <w:r>
        <w:rPr>
          <w:sz w:val="22"/>
          <w:szCs w:val="22"/>
        </w:rPr>
        <w:t xml:space="preserve">Open http://127.0.0.1:5001 in a browser</w:t>
      </w:r>
    </w:p>
    <w:p>
      <w:pPr>
        <w:pStyle w:val="ListParagraph"/>
        <w:numPr>
          <w:ilvl w:val="0"/>
          <w:numId w:val="3"/>
        </w:numPr>
        <w:spacing w:after="100" w:line="276"/>
      </w:pPr>
      <w:r>
        <w:rPr>
          <w:sz w:val="22"/>
          <w:szCs w:val="22"/>
        </w:rPr>
        <w:t xml:space="preserve">Fill in the Prakriti/Skin/Context fields manually, or click a Scenario Preset for a one-click demo case</w:t>
      </w:r>
    </w:p>
    <w:p>
      <w:pPr>
        <w:pStyle w:val="ListParagraph"/>
        <w:numPr>
          <w:ilvl w:val="0"/>
          <w:numId w:val="3"/>
        </w:numPr>
        <w:spacing w:after="100" w:line="276"/>
      </w:pPr>
      <w:r>
        <w:rPr>
          <w:sz w:val="22"/>
          <w:szCs w:val="22"/>
        </w:rPr>
        <w:t xml:space="preserve">Click Generate Recommendations to view results, grouped into Diet / Lifestyle / Home Care tabs</w:t>
      </w:r>
    </w:p>
    <w:p>
      <w:pPr>
        <w:pStyle w:val="ListParagraph"/>
        <w:numPr>
          <w:ilvl w:val="0"/>
          <w:numId w:val="3"/>
        </w:numPr>
        <w:spacing w:after="100" w:line="276"/>
      </w:pPr>
      <w:r>
        <w:rPr>
          <w:sz w:val="22"/>
          <w:szCs w:val="22"/>
        </w:rPr>
        <w:t xml:space="preserve">Use Download PDF Report or Download Output JSON to export the result</w:t>
      </w:r>
    </w:p>
    <w:p>
      <w:pPr>
        <w:pStyle w:val="ListParagraph"/>
        <w:numPr>
          <w:ilvl w:val="0"/>
          <w:numId w:val="3"/>
        </w:numPr>
        <w:spacing w:after="100" w:line="276"/>
      </w:pPr>
      <w:r>
        <w:rPr>
          <w:sz w:val="22"/>
          <w:szCs w:val="22"/>
        </w:rPr>
        <w:t xml:space="preserve">Use the floating Follow-up Assistant chat to ask about the results (e.g. "why not &lt;title&gt;", "what if I'm vegan")</w:t>
      </w:r>
    </w:p>
    <w:p>
      <w:pPr>
        <w:spacing w:after="160" w:line="288"/>
      </w:pPr>
      <w:r>
        <w:rPr>
          <w:sz w:val="22"/>
          <w:szCs w:val="22"/>
        </w:rPr>
        <w:t xml:space="preserve"/>
      </w:r>
    </w:p>
    <w:p>
      <w:pPr>
        <w:pStyle w:val="Heading2"/>
        <w:spacing w:after="120" w:before="240"/>
      </w:pPr>
      <w:r>
        <w:rPr>
          <w:b/>
          <w:bCs/>
          <w:color w:val="1F4A3A"/>
          <w:sz w:val="24"/>
          <w:szCs w:val="24"/>
        </w:rPr>
        <w:t xml:space="preserve">4.3 Programmatic / API usage</w:t>
      </w:r>
    </w:p>
    <w:p>
      <w:pPr>
        <w:spacing w:after="160" w:line="288"/>
      </w:pPr>
      <w:r>
        <w:rPr>
          <w:sz w:val="22"/>
          <w:szCs w:val="22"/>
        </w:rPr>
        <w:t xml:space="preserve">The Flask app exposes a small REST surface intended to remain stable once the upstream modules are wired in directly: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1F4A3A" w:val="clear"/>
            <w:tcMar>
              <w:top w:type="dxa" w:w="100"/>
              <w:left w:type="dxa" w:w="120"/>
              <w:bottom w:type="dxa" w:w="100"/>
              <w:right w:type="dxa" w:w="120"/>
            </w:tcMar>
          </w:tcPr>
          <w:p>
            <w:r>
              <w:rPr>
                <w:b/>
                <w:bCs/>
                <w:color w:val="FFFFFF"/>
                <w:sz w:val="20"/>
                <w:szCs w:val="20"/>
              </w:rPr>
              <w:t xml:space="preserve">Endpoint</w:t>
            </w:r>
          </w:p>
        </w:tc>
        <w:tc>
          <w:tcPr>
            <w:tcW w:type="dxa" w:w="6800"/>
            <w:shd w:fill="1F4A3A" w:val="clear"/>
            <w:tcMar>
              <w:top w:type="dxa" w:w="100"/>
              <w:left w:type="dxa" w:w="120"/>
              <w:bottom w:type="dxa" w:w="100"/>
              <w:right w:type="dxa" w:w="120"/>
            </w:tcMar>
          </w:tcPr>
          <w:p>
            <w:r>
              <w:rPr>
                <w:b w:val="false"/>
                <w:bCs w:val="false"/>
                <w:color w:val="FFFFFF"/>
                <w:sz w:val="20"/>
                <w:szCs w:val="20"/>
              </w:rPr>
              <w:t xml:space="preserve">Purpose</w:t>
            </w:r>
          </w:p>
        </w:tc>
      </w:tr>
      <w:tr>
        <w:tc>
          <w:tcPr>
            <w:tcW w:type="dxa" w:w="3200"/>
            <w:shd w:fill="EAF2DC" w:val="clear"/>
            <w:tcMar>
              <w:top w:type="dxa" w:w="100"/>
              <w:left w:type="dxa" w:w="120"/>
              <w:bottom w:type="dxa" w:w="100"/>
              <w:right w:type="dxa" w:w="120"/>
            </w:tcMar>
          </w:tcPr>
          <w:p>
            <w:r>
              <w:rPr>
                <w:b/>
                <w:bCs/>
                <w:color w:val="1F4A3A"/>
                <w:sz w:val="20"/>
                <w:szCs w:val="20"/>
              </w:rPr>
              <w:t xml:space="preserve">POST /api/recommend</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Main entry point — accepts the full input JSON, returns the structured recommendation response</w:t>
            </w:r>
          </w:p>
        </w:tc>
      </w:tr>
      <w:tr>
        <w:tc>
          <w:tcPr>
            <w:tcW w:type="dxa" w:w="3200"/>
            <w:shd w:fill="EAF2DC" w:val="clear"/>
            <w:tcMar>
              <w:top w:type="dxa" w:w="100"/>
              <w:left w:type="dxa" w:w="120"/>
              <w:bottom w:type="dxa" w:w="100"/>
              <w:right w:type="dxa" w:w="120"/>
            </w:tcMar>
          </w:tcPr>
          <w:p>
            <w:r>
              <w:rPr>
                <w:b/>
                <w:bCs/>
                <w:color w:val="1F4A3A"/>
                <w:sz w:val="20"/>
                <w:szCs w:val="20"/>
              </w:rPr>
              <w:t xml:space="preserve">POST /api/followup</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Follow-up Q&amp;A over a previously generated result</w:t>
            </w:r>
          </w:p>
        </w:tc>
      </w:tr>
      <w:tr>
        <w:tc>
          <w:tcPr>
            <w:tcW w:type="dxa" w:w="3200"/>
            <w:shd w:fill="EAF2DC" w:val="clear"/>
            <w:tcMar>
              <w:top w:type="dxa" w:w="100"/>
              <w:left w:type="dxa" w:w="120"/>
              <w:bottom w:type="dxa" w:w="100"/>
              <w:right w:type="dxa" w:w="120"/>
            </w:tcMar>
          </w:tcPr>
          <w:p>
            <w:r>
              <w:rPr>
                <w:b/>
                <w:bCs/>
                <w:color w:val="1F4A3A"/>
                <w:sz w:val="20"/>
                <w:szCs w:val="20"/>
              </w:rPr>
              <w:t xml:space="preserve">POST /api/report/pdf</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Generates and streams back a PDF report for a given input payload</w:t>
            </w:r>
          </w:p>
        </w:tc>
      </w:tr>
      <w:tr>
        <w:tc>
          <w:tcPr>
            <w:tcW w:type="dxa" w:w="3200"/>
            <w:shd w:fill="EAF2DC" w:val="clear"/>
            <w:tcMar>
              <w:top w:type="dxa" w:w="100"/>
              <w:left w:type="dxa" w:w="120"/>
              <w:bottom w:type="dxa" w:w="100"/>
              <w:right w:type="dxa" w:w="120"/>
            </w:tcMar>
          </w:tcPr>
          <w:p>
            <w:r>
              <w:rPr>
                <w:b/>
                <w:bCs/>
                <w:color w:val="1F4A3A"/>
                <w:sz w:val="20"/>
                <w:szCs w:val="20"/>
              </w:rPr>
              <w:t xml:space="preserve">GET /api/sample-input</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Returns a sample payload for quick testing</w:t>
            </w:r>
          </w:p>
        </w:tc>
      </w:tr>
      <w:tr>
        <w:tc>
          <w:tcPr>
            <w:tcW w:type="dxa" w:w="3200"/>
            <w:shd w:fill="EAF2DC" w:val="clear"/>
            <w:tcMar>
              <w:top w:type="dxa" w:w="100"/>
              <w:left w:type="dxa" w:w="120"/>
              <w:bottom w:type="dxa" w:w="100"/>
              <w:right w:type="dxa" w:w="120"/>
            </w:tcMar>
          </w:tcPr>
          <w:p>
            <w:r>
              <w:rPr>
                <w:b/>
                <w:bCs/>
                <w:color w:val="1F4A3A"/>
                <w:sz w:val="20"/>
                <w:szCs w:val="20"/>
              </w:rPr>
              <w:t xml:space="preserve">GET /api/health</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Basic liveness check</w:t>
            </w:r>
          </w:p>
        </w:tc>
      </w:tr>
    </w:tbl>
    <w:p>
      <w:pPr>
        <w:pStyle w:val="Heading1"/>
        <w:pBdr>
          <w:bottom w:val="single" w:color="1F4A3A" w:sz="8" w:space="4"/>
        </w:pBdr>
        <w:spacing w:after="160" w:before="320"/>
      </w:pPr>
      <w:r>
        <w:rPr>
          <w:b/>
          <w:bCs/>
          <w:color w:val="1F4A3A"/>
          <w:sz w:val="30"/>
          <w:szCs w:val="30"/>
        </w:rPr>
        <w:t xml:space="preserve">5. Literature Review</w:t>
      </w:r>
    </w:p>
    <w:p>
      <w:pPr>
        <w:spacing w:after="160" w:line="288"/>
      </w:pPr>
      <w:r>
        <w:rPr>
          <w:sz w:val="22"/>
          <w:szCs w:val="22"/>
        </w:rPr>
        <w:t xml:space="preserve">This component draws on three overlapping bodies of literature: Ayurvedic constitutional theory, explainable/knowledge-based recommender systems, and safety-aware clinical decision-support design.</w:t>
      </w:r>
    </w:p>
    <w:p>
      <w:pPr>
        <w:pStyle w:val="Heading2"/>
        <w:spacing w:after="120" w:before="240"/>
      </w:pPr>
      <w:r>
        <w:rPr>
          <w:b/>
          <w:bCs/>
          <w:color w:val="1F4A3A"/>
          <w:sz w:val="24"/>
          <w:szCs w:val="24"/>
        </w:rPr>
        <w:t xml:space="preserve">5.1 Ayurvedic Prakriti theory</w:t>
      </w:r>
    </w:p>
    <w:p>
      <w:pPr>
        <w:spacing w:after="160" w:line="288"/>
      </w:pPr>
      <w:r>
        <w:rPr>
          <w:sz w:val="22"/>
          <w:szCs w:val="22"/>
        </w:rPr>
        <w:t xml:space="preserve">Classical Ayurvedic texts (Charaka Samhita, Sushruta Samhita) describe Prakriti as an individual's fixed psycho-physiological constitution, expressed as a combination of three dosha — Vata, Pitta, and Kapha — that governs susceptibility to specific imbalances, including dermatological conditions. Contemporary research on Ayurveda-informed personalisation (e.g. studies correlating Prakriti with skin type and dermatological presentation) supports the premise that constitution-aware recommendations are more clinically meaningful than one-size-fits-all skin-care guidance, motivating this module's dual scoring of condition match and prakriti match rather than condition alone.</w:t>
      </w:r>
    </w:p>
    <w:p>
      <w:pPr>
        <w:pStyle w:val="Heading2"/>
        <w:spacing w:after="120" w:before="240"/>
      </w:pPr>
      <w:r>
        <w:rPr>
          <w:b/>
          <w:bCs/>
          <w:color w:val="1F4A3A"/>
          <w:sz w:val="24"/>
          <w:szCs w:val="24"/>
        </w:rPr>
        <w:t xml:space="preserve">5.2 Knowledge-based and explainable recommender systems</w:t>
      </w:r>
    </w:p>
    <w:p>
      <w:pPr>
        <w:spacing w:after="160" w:line="288"/>
      </w:pPr>
      <w:r>
        <w:rPr>
          <w:sz w:val="22"/>
          <w:szCs w:val="22"/>
        </w:rPr>
        <w:t xml:space="preserve">Recommender-systems literature broadly separates approaches into collaborative filtering, content-based filtering, and knowledge-based systems (Burke, 2000; Aggarwal, 2016). Knowledge-based recommenders are preferred in domains with sparse or unavailable behavioural data and where a small number of expert-curated constraints must be respected exactly — both true here. Separately, the explainable-AI literature (Ribeiro et al., 2016; Zhang &amp; Chen, 2020, on explainable recommendation) argues that recommendation quality alone is insufficient in high-stakes domains; users need to see why an item was suggested. This module's per-item "matched factors" and "reason" fields, and its score-component breakdown exposed through the Follow-up Assistant, are a direct application of that principle.</w:t>
      </w:r>
    </w:p>
    <w:p>
      <w:pPr>
        <w:pStyle w:val="Heading2"/>
        <w:spacing w:after="120" w:before="240"/>
      </w:pPr>
      <w:r>
        <w:rPr>
          <w:b/>
          <w:bCs/>
          <w:color w:val="1F4A3A"/>
          <w:sz w:val="24"/>
          <w:szCs w:val="24"/>
        </w:rPr>
        <w:t xml:space="preserve">5.3 Safety-aware clinical decision support</w:t>
      </w:r>
    </w:p>
    <w:p>
      <w:pPr>
        <w:spacing w:after="160" w:line="288"/>
      </w:pPr>
      <w:r>
        <w:rPr>
          <w:sz w:val="22"/>
          <w:szCs w:val="22"/>
        </w:rPr>
        <w:t xml:space="preserve">Design guidelines for clinical decision-support systems (e.g. from health-informatics literature on CDSS "alert fatigue" and safe-by-default behaviour) emphasise that a system should fail toward caution: gate personalised output behind explicit safety checks, and never let low model confidence silently degrade into over-confident advice. The module's referral-first behaviour for severe or referral-flagged cases, and its confidence-based personalisation dampening rather than hard failure for borderline cases, follows this principle directly.</w:t>
      </w:r>
    </w:p>
    <w:p>
      <w:pPr>
        <w:pStyle w:val="Heading1"/>
        <w:pBdr>
          <w:bottom w:val="single" w:color="1F4A3A" w:sz="8" w:space="4"/>
        </w:pBdr>
        <w:spacing w:after="160" w:before="320"/>
      </w:pPr>
      <w:r>
        <w:rPr>
          <w:b/>
          <w:bCs/>
          <w:color w:val="1F4A3A"/>
          <w:sz w:val="30"/>
          <w:szCs w:val="30"/>
        </w:rPr>
        <w:t xml:space="preserve">6. Tools and Platforms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1F4A3A" w:val="clear"/>
            <w:tcMar>
              <w:top w:type="dxa" w:w="100"/>
              <w:left w:type="dxa" w:w="120"/>
              <w:bottom w:type="dxa" w:w="100"/>
              <w:right w:type="dxa" w:w="120"/>
            </w:tcMar>
          </w:tcPr>
          <w:p>
            <w:r>
              <w:rPr>
                <w:b/>
                <w:bCs/>
                <w:color w:val="FFFFFF"/>
                <w:sz w:val="20"/>
                <w:szCs w:val="20"/>
              </w:rPr>
              <w:t xml:space="preserve">Category</w:t>
            </w:r>
          </w:p>
        </w:tc>
        <w:tc>
          <w:tcPr>
            <w:tcW w:type="dxa" w:w="6800"/>
            <w:shd w:fill="1F4A3A" w:val="clear"/>
            <w:tcMar>
              <w:top w:type="dxa" w:w="100"/>
              <w:left w:type="dxa" w:w="120"/>
              <w:bottom w:type="dxa" w:w="100"/>
              <w:right w:type="dxa" w:w="120"/>
            </w:tcMar>
          </w:tcPr>
          <w:p>
            <w:r>
              <w:rPr>
                <w:b w:val="false"/>
                <w:bCs w:val="false"/>
                <w:color w:val="FFFFFF"/>
                <w:sz w:val="20"/>
                <w:szCs w:val="20"/>
              </w:rPr>
              <w:t xml:space="preserve">Tool / Platform</w:t>
            </w:r>
          </w:p>
        </w:tc>
      </w:tr>
      <w:tr>
        <w:tc>
          <w:tcPr>
            <w:tcW w:type="dxa" w:w="3200"/>
            <w:shd w:fill="EAF2DC" w:val="clear"/>
            <w:tcMar>
              <w:top w:type="dxa" w:w="100"/>
              <w:left w:type="dxa" w:w="120"/>
              <w:bottom w:type="dxa" w:w="100"/>
              <w:right w:type="dxa" w:w="120"/>
            </w:tcMar>
          </w:tcPr>
          <w:p>
            <w:r>
              <w:rPr>
                <w:b/>
                <w:bCs/>
                <w:color w:val="1F4A3A"/>
                <w:sz w:val="20"/>
                <w:szCs w:val="20"/>
              </w:rPr>
              <w:t xml:space="preserve">IDE / editor</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VS Code (with Claude Code CLI for AI-assisted development)</w:t>
            </w:r>
          </w:p>
        </w:tc>
      </w:tr>
      <w:tr>
        <w:tc>
          <w:tcPr>
            <w:tcW w:type="dxa" w:w="3200"/>
            <w:shd w:fill="EAF2DC" w:val="clear"/>
            <w:tcMar>
              <w:top w:type="dxa" w:w="100"/>
              <w:left w:type="dxa" w:w="120"/>
              <w:bottom w:type="dxa" w:w="100"/>
              <w:right w:type="dxa" w:w="120"/>
            </w:tcMar>
          </w:tcPr>
          <w:p>
            <w:r>
              <w:rPr>
                <w:b/>
                <w:bCs/>
                <w:color w:val="1F4A3A"/>
                <w:sz w:val="20"/>
                <w:szCs w:val="20"/>
              </w:rPr>
              <w:t xml:space="preserve">Version control</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Git (local repository; GitHub-ready)</w:t>
            </w:r>
          </w:p>
        </w:tc>
      </w:tr>
      <w:tr>
        <w:tc>
          <w:tcPr>
            <w:tcW w:type="dxa" w:w="3200"/>
            <w:shd w:fill="EAF2DC" w:val="clear"/>
            <w:tcMar>
              <w:top w:type="dxa" w:w="100"/>
              <w:left w:type="dxa" w:w="120"/>
              <w:bottom w:type="dxa" w:w="100"/>
              <w:right w:type="dxa" w:w="120"/>
            </w:tcMar>
          </w:tcPr>
          <w:p>
            <w:r>
              <w:rPr>
                <w:b/>
                <w:bCs/>
                <w:color w:val="1F4A3A"/>
                <w:sz w:val="20"/>
                <w:szCs w:val="20"/>
              </w:rPr>
              <w:t xml:space="preserve">Runtime environment</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Python 3.13 virtual environment (venv)</w:t>
            </w:r>
          </w:p>
        </w:tc>
      </w:tr>
      <w:tr>
        <w:tc>
          <w:tcPr>
            <w:tcW w:type="dxa" w:w="3200"/>
            <w:shd w:fill="EAF2DC" w:val="clear"/>
            <w:tcMar>
              <w:top w:type="dxa" w:w="100"/>
              <w:left w:type="dxa" w:w="120"/>
              <w:bottom w:type="dxa" w:w="100"/>
              <w:right w:type="dxa" w:w="120"/>
            </w:tcMar>
          </w:tcPr>
          <w:p>
            <w:r>
              <w:rPr>
                <w:b/>
                <w:bCs/>
                <w:color w:val="1F4A3A"/>
                <w:sz w:val="20"/>
                <w:szCs w:val="20"/>
              </w:rPr>
              <w:t xml:space="preserve">Package management</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pip with requirements.txt</w:t>
            </w:r>
          </w:p>
        </w:tc>
      </w:tr>
      <w:tr>
        <w:tc>
          <w:tcPr>
            <w:tcW w:type="dxa" w:w="3200"/>
            <w:shd w:fill="EAF2DC" w:val="clear"/>
            <w:tcMar>
              <w:top w:type="dxa" w:w="100"/>
              <w:left w:type="dxa" w:w="120"/>
              <w:bottom w:type="dxa" w:w="100"/>
              <w:right w:type="dxa" w:w="120"/>
            </w:tcMar>
          </w:tcPr>
          <w:p>
            <w:r>
              <w:rPr>
                <w:b/>
                <w:bCs/>
                <w:color w:val="1F4A3A"/>
                <w:sz w:val="20"/>
                <w:szCs w:val="20"/>
              </w:rPr>
              <w:t xml:space="preserve">Web server (dev)</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Flask built-in development server</w:t>
            </w:r>
          </w:p>
        </w:tc>
      </w:tr>
      <w:tr>
        <w:tc>
          <w:tcPr>
            <w:tcW w:type="dxa" w:w="3200"/>
            <w:shd w:fill="EAF2DC" w:val="clear"/>
            <w:tcMar>
              <w:top w:type="dxa" w:w="100"/>
              <w:left w:type="dxa" w:w="120"/>
              <w:bottom w:type="dxa" w:w="100"/>
              <w:right w:type="dxa" w:w="120"/>
            </w:tcMar>
          </w:tcPr>
          <w:p>
            <w:r>
              <w:rPr>
                <w:b/>
                <w:bCs/>
                <w:color w:val="1F4A3A"/>
                <w:sz w:val="20"/>
                <w:szCs w:val="20"/>
              </w:rPr>
              <w:t xml:space="preserve">Design reference</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Figma (UI/UX reference design — "Ayurveda AI" mockups)</w:t>
            </w:r>
          </w:p>
        </w:tc>
      </w:tr>
      <w:tr>
        <w:tc>
          <w:tcPr>
            <w:tcW w:type="dxa" w:w="3200"/>
            <w:shd w:fill="EAF2DC" w:val="clear"/>
            <w:tcMar>
              <w:top w:type="dxa" w:w="100"/>
              <w:left w:type="dxa" w:w="120"/>
              <w:bottom w:type="dxa" w:w="100"/>
              <w:right w:type="dxa" w:w="120"/>
            </w:tcMar>
          </w:tcPr>
          <w:p>
            <w:r>
              <w:rPr>
                <w:b/>
                <w:bCs/>
                <w:color w:val="1F4A3A"/>
                <w:sz w:val="20"/>
                <w:szCs w:val="20"/>
              </w:rPr>
              <w:t xml:space="preserve">Document generation</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ReportLab (PDF), Word/Markdown (project documentation)</w:t>
            </w:r>
          </w:p>
        </w:tc>
      </w:tr>
      <w:tr>
        <w:tc>
          <w:tcPr>
            <w:tcW w:type="dxa" w:w="3200"/>
            <w:shd w:fill="EAF2DC" w:val="clear"/>
            <w:tcMar>
              <w:top w:type="dxa" w:w="100"/>
              <w:left w:type="dxa" w:w="120"/>
              <w:bottom w:type="dxa" w:w="100"/>
              <w:right w:type="dxa" w:w="120"/>
            </w:tcMar>
          </w:tcPr>
          <w:p>
            <w:r>
              <w:rPr>
                <w:b/>
                <w:bCs/>
                <w:color w:val="1F4A3A"/>
                <w:sz w:val="20"/>
                <w:szCs w:val="20"/>
              </w:rPr>
              <w:t xml:space="preserve">AI services</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Anthropic Claude API (optional follow-up-assistant fallback)</w:t>
            </w:r>
          </w:p>
        </w:tc>
      </w:tr>
      <w:tr>
        <w:tc>
          <w:tcPr>
            <w:tcW w:type="dxa" w:w="3200"/>
            <w:shd w:fill="EAF2DC" w:val="clear"/>
            <w:tcMar>
              <w:top w:type="dxa" w:w="100"/>
              <w:left w:type="dxa" w:w="120"/>
              <w:bottom w:type="dxa" w:w="100"/>
              <w:right w:type="dxa" w:w="120"/>
            </w:tcMar>
          </w:tcPr>
          <w:p>
            <w:r>
              <w:rPr>
                <w:b/>
                <w:bCs/>
                <w:color w:val="1F4A3A"/>
                <w:sz w:val="20"/>
                <w:szCs w:val="20"/>
              </w:rPr>
              <w:t xml:space="preserve">Browser testing</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Manual + automated browser-driven verification during development</w:t>
            </w:r>
          </w:p>
        </w:tc>
      </w:tr>
      <w:tr>
        <w:tc>
          <w:tcPr>
            <w:tcW w:type="dxa" w:w="3200"/>
            <w:shd w:fill="EAF2DC" w:val="clear"/>
            <w:tcMar>
              <w:top w:type="dxa" w:w="100"/>
              <w:left w:type="dxa" w:w="120"/>
              <w:bottom w:type="dxa" w:w="100"/>
              <w:right w:type="dxa" w:w="120"/>
            </w:tcMar>
          </w:tcPr>
          <w:p>
            <w:r>
              <w:rPr>
                <w:b/>
                <w:bCs/>
                <w:color w:val="1F4A3A"/>
                <w:sz w:val="20"/>
                <w:szCs w:val="20"/>
              </w:rPr>
              <w:t xml:space="preserve">Operating system</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macOS (development), cross-platform compatible (Windows/Linux)</w:t>
            </w:r>
          </w:p>
        </w:tc>
      </w:tr>
    </w:tbl>
    <w:p>
      <w:pPr>
        <w:pStyle w:val="Heading1"/>
        <w:pBdr>
          <w:bottom w:val="single" w:color="1F4A3A" w:sz="8" w:space="4"/>
        </w:pBdr>
        <w:spacing w:after="160" w:before="320"/>
      </w:pPr>
      <w:r>
        <w:rPr>
          <w:b/>
          <w:bCs/>
          <w:color w:val="1F4A3A"/>
          <w:sz w:val="30"/>
          <w:szCs w:val="30"/>
        </w:rPr>
        <w:t xml:space="preserve">7. Data Collection</w:t>
      </w:r>
    </w:p>
    <w:p>
      <w:pPr>
        <w:spacing w:after="160" w:line="288"/>
      </w:pPr>
      <w:r>
        <w:rPr>
          <w:sz w:val="22"/>
          <w:szCs w:val="22"/>
        </w:rPr>
        <w:t xml:space="preserve">This component does not collect data from human participants directly. Its only inputs are the structured JSON outputs already produced by the upstream Component 1 (Prakriti Identification) and Component 2 (Skin Disease Identification) modules — the two components whose structured data this engine scores against directly — plus a small set of user-context fields entered through the interface (age group, known allergies, pregnancy status, dietary preference, preferred language). No raw images, biometric data, or personally identifying information are processed or stored by this module.</w:t>
      </w:r>
    </w:p>
    <w:p>
      <w:pPr>
        <w:pStyle w:val="Heading2"/>
        <w:spacing w:after="120" w:before="240"/>
      </w:pPr>
      <w:r>
        <w:rPr>
          <w:b/>
          <w:bCs/>
          <w:color w:val="1F4A3A"/>
          <w:sz w:val="24"/>
          <w:szCs w:val="24"/>
        </w:rPr>
        <w:t xml:space="preserve">7.1 Knowledge-base data</w:t>
      </w:r>
    </w:p>
    <w:p>
      <w:pPr>
        <w:spacing w:after="160" w:line="288"/>
      </w:pPr>
      <w:r>
        <w:rPr>
          <w:sz w:val="22"/>
          <w:szCs w:val="22"/>
        </w:rPr>
        <w:t xml:space="preserve">The recommendation content itself was compiled, not collected from users:</w:t>
      </w:r>
    </w:p>
    <w:p>
      <w:pPr>
        <w:pStyle w:val="ListParagraph"/>
        <w:numPr>
          <w:ilvl w:val="0"/>
          <w:numId w:val="2"/>
        </w:numPr>
        <w:spacing w:after="80" w:line="276"/>
      </w:pPr>
      <w:r>
        <w:rPr>
          <w:b/>
          <w:bCs/>
          <w:sz w:val="22"/>
          <w:szCs w:val="22"/>
        </w:rPr>
        <w:t xml:space="preserve">recommendations.json — </w:t>
      </w:r>
      <w:r>
        <w:rPr>
          <w:sz w:val="22"/>
          <w:szCs w:val="22"/>
        </w:rPr>
        <w:t xml:space="preserve">250 individual recommendation items (diet, lifestyle, home-care), each with a category, descriptive text, safety tags, an expert-curated weight, and an advice-strength rating.</w:t>
      </w:r>
    </w:p>
    <w:p>
      <w:pPr>
        <w:pStyle w:val="ListParagraph"/>
        <w:numPr>
          <w:ilvl w:val="0"/>
          <w:numId w:val="2"/>
        </w:numPr>
        <w:spacing w:after="80" w:line="276"/>
      </w:pPr>
      <w:r>
        <w:rPr>
          <w:b/>
          <w:bCs/>
          <w:sz w:val="22"/>
          <w:szCs w:val="22"/>
        </w:rPr>
        <w:t xml:space="preserve">mappings.json — </w:t>
      </w:r>
      <w:r>
        <w:rPr>
          <w:sz w:val="22"/>
          <w:szCs w:val="22"/>
        </w:rPr>
        <w:t xml:space="preserve">50 mapping records linking recommendations to specific prakriti types, skin conditions, and symptom sets, each with a match-relevance weight.</w:t>
      </w:r>
    </w:p>
    <w:p>
      <w:pPr>
        <w:pStyle w:val="ListParagraph"/>
        <w:numPr>
          <w:ilvl w:val="0"/>
          <w:numId w:val="2"/>
        </w:numPr>
        <w:spacing w:after="80" w:line="276"/>
      </w:pPr>
      <w:r>
        <w:rPr>
          <w:b/>
          <w:bCs/>
          <w:sz w:val="22"/>
          <w:szCs w:val="22"/>
        </w:rPr>
        <w:t xml:space="preserve">safety_rules.json — </w:t>
      </w:r>
      <w:r>
        <w:rPr>
          <w:sz w:val="22"/>
          <w:szCs w:val="22"/>
        </w:rPr>
        <w:t xml:space="preserve">confidence thresholds, referral policy, and blocked-tag rules for pregnancy, age group, and dietary exclusions (vegetarian/vegan/lactose-intolerant).</w:t>
      </w:r>
    </w:p>
    <w:p>
      <w:pPr>
        <w:spacing w:after="160" w:line="288"/>
      </w:pPr>
      <w:r>
        <w:rPr>
          <w:sz w:val="22"/>
          <w:szCs w:val="22"/>
        </w:rPr>
        <w:t xml:space="preserve">This content was authored/curated to represent plausible Ayurvedic dermatological guidance for prototyping and demonstration purposes and has not undergone formal clinical review by a licensed Ayurvedic practitioner or dermatologist; this is called out explicitly in Section 9 (Ethical Clearance) as a condition for any real-world deployment.</w:t>
      </w:r>
    </w:p>
    <w:p>
      <w:pPr>
        <w:pStyle w:val="Heading2"/>
        <w:spacing w:after="120" w:before="240"/>
      </w:pPr>
      <w:r>
        <w:rPr>
          <w:b/>
          <w:bCs/>
          <w:color w:val="1F4A3A"/>
          <w:sz w:val="24"/>
          <w:szCs w:val="24"/>
        </w:rPr>
        <w:t xml:space="preserve">7.2 Sample/test data</w:t>
      </w:r>
    </w:p>
    <w:p>
      <w:pPr>
        <w:spacing w:after="160" w:line="288"/>
      </w:pPr>
      <w:r>
        <w:rPr>
          <w:sz w:val="22"/>
          <w:szCs w:val="22"/>
        </w:rPr>
        <w:t xml:space="preserve">A single representative sample input/output pair (sample_input.json, sample_output.json) is included for testing and demonstration, along with five scenario presets built into the web interface (Vata+Eczema, Pitta+Acne, Kapha+Fungal, Low-Confidence, Severe-Case) covering both typical and edge-case safety behaviour. No real patient data was used at any stage.</w:t>
      </w:r>
    </w:p>
    <w:p>
      <w:pPr>
        <w:pStyle w:val="Heading1"/>
        <w:pBdr>
          <w:bottom w:val="single" w:color="1F4A3A" w:sz="8" w:space="4"/>
        </w:pBdr>
        <w:spacing w:after="160" w:before="320"/>
      </w:pPr>
      <w:r>
        <w:rPr>
          <w:b/>
          <w:bCs/>
          <w:color w:val="1F4A3A"/>
          <w:sz w:val="30"/>
          <w:szCs w:val="30"/>
        </w:rPr>
        <w:t xml:space="preserve">8. Algorithm</w:t>
      </w:r>
    </w:p>
    <w:p>
      <w:pPr>
        <w:pStyle w:val="Heading2"/>
        <w:spacing w:after="120" w:before="240"/>
      </w:pPr>
      <w:r>
        <w:rPr>
          <w:b/>
          <w:bCs/>
          <w:color w:val="1F4A3A"/>
          <w:sz w:val="24"/>
          <w:szCs w:val="24"/>
        </w:rPr>
        <w:t xml:space="preserve">8.1 Weighted scoring formula</w:t>
      </w:r>
    </w:p>
    <w:p>
      <w:pPr>
        <w:spacing w:after="160" w:line="288"/>
      </w:pPr>
      <w:r>
        <w:rPr>
          <w:sz w:val="22"/>
          <w:szCs w:val="22"/>
        </w:rPr>
        <w:t xml:space="preserve">Each candidate recommendation is scored using a fixed six-term weighted sum:</w:t>
      </w:r>
    </w:p>
    <w:p>
      <w:pPr>
        <w:shd w:fill="EAF2DC" w:val="clear"/>
        <w:spacing w:after="120" w:before="120"/>
        <w:jc w:val="center"/>
      </w:pPr>
      <w:r>
        <w:rPr>
          <w:rFonts w:ascii="Consolas" w:cs="Consolas" w:eastAsia="Consolas" w:hAnsi="Consolas"/>
          <w:b/>
          <w:bCs/>
          <w:color w:val="1F4A3A"/>
          <w:sz w:val="19"/>
          <w:szCs w:val="19"/>
        </w:rPr>
        <w:t xml:space="preserve">final_score = (prakriti_match × 0.30) + (condition_match × 0.25) + (symptom_match × 0.20) + (module_confidence × 0.10) + (expert_weight × 0.10) + (mapping_weight × 0.05)</w:t>
      </w:r>
    </w:p>
    <w:p>
      <w:pPr>
        <w:pStyle w:val="ListParagraph"/>
        <w:numPr>
          <w:ilvl w:val="0"/>
          <w:numId w:val="2"/>
        </w:numPr>
        <w:spacing w:after="80" w:line="276"/>
      </w:pPr>
      <w:r>
        <w:rPr>
          <w:b/>
          <w:bCs/>
          <w:sz w:val="22"/>
          <w:szCs w:val="22"/>
        </w:rPr>
        <w:t xml:space="preserve">prakriti_match_score — </w:t>
      </w:r>
      <w:r>
        <w:rPr>
          <w:sz w:val="22"/>
          <w:szCs w:val="22"/>
        </w:rPr>
        <w:t xml:space="preserve">the user's dosha score for the mapped prakriti, boosted +0.2 if it is the user's dominant prakriti or +0.1 if secondary (capped at 1.0), so mixed-constitution users still get credit for partial alignment.</w:t>
      </w:r>
    </w:p>
    <w:p>
      <w:pPr>
        <w:pStyle w:val="ListParagraph"/>
        <w:numPr>
          <w:ilvl w:val="0"/>
          <w:numId w:val="2"/>
        </w:numPr>
        <w:spacing w:after="80" w:line="276"/>
      </w:pPr>
      <w:r>
        <w:rPr>
          <w:b/>
          <w:bCs/>
          <w:sz w:val="22"/>
          <w:szCs w:val="22"/>
        </w:rPr>
        <w:t xml:space="preserve">condition_match_score — </w:t>
      </w:r>
      <w:r>
        <w:rPr>
          <w:sz w:val="22"/>
          <w:szCs w:val="22"/>
        </w:rPr>
        <w:t xml:space="preserve">binary: 1.0 if the recommendation's mapped condition equals the predicted skin condition, else 0.0.</w:t>
      </w:r>
    </w:p>
    <w:p>
      <w:pPr>
        <w:pStyle w:val="ListParagraph"/>
        <w:numPr>
          <w:ilvl w:val="0"/>
          <w:numId w:val="2"/>
        </w:numPr>
        <w:spacing w:after="80" w:line="276"/>
      </w:pPr>
      <w:r>
        <w:rPr>
          <w:b/>
          <w:bCs/>
          <w:sz w:val="22"/>
          <w:szCs w:val="22"/>
        </w:rPr>
        <w:t xml:space="preserve">symptom_match_score — </w:t>
      </w:r>
      <w:r>
        <w:rPr>
          <w:sz w:val="22"/>
          <w:szCs w:val="22"/>
        </w:rPr>
        <w:t xml:space="preserve">a blend of coverage (proportion of the mapping's target symptoms present in the user's symptoms) weighted 0.8, and precision (proportion of the user's symptoms covered) weighted 0.2 — rewarding both relevance and specificity.</w:t>
      </w:r>
    </w:p>
    <w:p>
      <w:pPr>
        <w:pStyle w:val="ListParagraph"/>
        <w:numPr>
          <w:ilvl w:val="0"/>
          <w:numId w:val="2"/>
        </w:numPr>
        <w:spacing w:after="80" w:line="276"/>
      </w:pPr>
      <w:r>
        <w:rPr>
          <w:b/>
          <w:bCs/>
          <w:sz w:val="22"/>
          <w:szCs w:val="22"/>
        </w:rPr>
        <w:t xml:space="preserve">module_confidence_score — </w:t>
      </w:r>
      <w:r>
        <w:rPr>
          <w:sz w:val="22"/>
          <w:szCs w:val="22"/>
        </w:rPr>
        <w:t xml:space="preserve">the mean of the upstream Prakriti and Skin module confidences, so uncertain upstream predictions naturally pull scores down.</w:t>
      </w:r>
    </w:p>
    <w:p>
      <w:pPr>
        <w:pStyle w:val="ListParagraph"/>
        <w:numPr>
          <w:ilvl w:val="0"/>
          <w:numId w:val="2"/>
        </w:numPr>
        <w:spacing w:after="80" w:line="276"/>
      </w:pPr>
      <w:r>
        <w:rPr>
          <w:b/>
          <w:bCs/>
          <w:sz w:val="22"/>
          <w:szCs w:val="22"/>
        </w:rPr>
        <w:t xml:space="preserve">expert_weight — </w:t>
      </w:r>
      <w:r>
        <w:rPr>
          <w:sz w:val="22"/>
          <w:szCs w:val="22"/>
        </w:rPr>
        <w:t xml:space="preserve">a practitioner-assigned strength rating stored per recommendation.</w:t>
      </w:r>
    </w:p>
    <w:p>
      <w:pPr>
        <w:pStyle w:val="ListParagraph"/>
        <w:numPr>
          <w:ilvl w:val="0"/>
          <w:numId w:val="2"/>
        </w:numPr>
        <w:spacing w:after="80" w:line="276"/>
      </w:pPr>
      <w:r>
        <w:rPr>
          <w:b/>
          <w:bCs/>
          <w:sz w:val="22"/>
          <w:szCs w:val="22"/>
        </w:rPr>
        <w:t xml:space="preserve">mapping_match_weight — </w:t>
      </w:r>
      <w:r>
        <w:rPr>
          <w:sz w:val="22"/>
          <w:szCs w:val="22"/>
        </w:rPr>
        <w:t xml:space="preserve">a relevance weight assigned per prakriti-condition-symptom mapping record.</w:t>
      </w:r>
    </w:p>
    <w:p>
      <w:pPr>
        <w:pStyle w:val="Heading2"/>
        <w:spacing w:after="120" w:before="240"/>
      </w:pPr>
      <w:r>
        <w:rPr>
          <w:b/>
          <w:bCs/>
          <w:color w:val="1F4A3A"/>
          <w:sz w:val="24"/>
          <w:szCs w:val="24"/>
        </w:rPr>
        <w:t xml:space="preserve">8.2 Severity-aware penalty</w:t>
      </w:r>
    </w:p>
    <w:p>
      <w:pPr>
        <w:spacing w:after="160" w:line="288"/>
      </w:pPr>
      <w:r>
        <w:rPr>
          <w:sz w:val="22"/>
          <w:szCs w:val="22"/>
        </w:rPr>
        <w:t xml:space="preserve">After the weighted sum, a multiplicative penalty is applied based on skin-condition severity versus the recommendation's declared advice strength, so that weak advice is discounted more heavily as severity increases: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1F4A3A" w:val="clear"/>
            <w:tcMar>
              <w:top w:type="dxa" w:w="100"/>
              <w:left w:type="dxa" w:w="120"/>
              <w:bottom w:type="dxa" w:w="100"/>
              <w:right w:type="dxa" w:w="120"/>
            </w:tcMar>
          </w:tcPr>
          <w:p>
            <w:r>
              <w:rPr>
                <w:b/>
                <w:bCs/>
                <w:color w:val="FFFFFF"/>
                <w:sz w:val="20"/>
                <w:szCs w:val="20"/>
              </w:rPr>
              <w:t xml:space="preserve">Severity / Advice strength</w:t>
            </w:r>
          </w:p>
        </w:tc>
        <w:tc>
          <w:tcPr>
            <w:tcW w:type="dxa" w:w="6800"/>
            <w:shd w:fill="1F4A3A" w:val="clear"/>
            <w:tcMar>
              <w:top w:type="dxa" w:w="100"/>
              <w:left w:type="dxa" w:w="120"/>
              <w:bottom w:type="dxa" w:w="100"/>
              <w:right w:type="dxa" w:w="120"/>
            </w:tcMar>
          </w:tcPr>
          <w:p>
            <w:r>
              <w:rPr>
                <w:b w:val="false"/>
                <w:bCs w:val="false"/>
                <w:color w:val="FFFFFF"/>
                <w:sz w:val="20"/>
                <w:szCs w:val="20"/>
              </w:rPr>
              <w:t xml:space="preserve">Score multiplier</w:t>
            </w:r>
          </w:p>
        </w:tc>
      </w:tr>
      <w:tr>
        <w:tc>
          <w:tcPr>
            <w:tcW w:type="dxa" w:w="3200"/>
            <w:shd w:fill="EAF2DC" w:val="clear"/>
            <w:tcMar>
              <w:top w:type="dxa" w:w="100"/>
              <w:left w:type="dxa" w:w="120"/>
              <w:bottom w:type="dxa" w:w="100"/>
              <w:right w:type="dxa" w:w="120"/>
            </w:tcMar>
          </w:tcPr>
          <w:p>
            <w:r>
              <w:rPr>
                <w:b/>
                <w:bCs/>
                <w:color w:val="1F4A3A"/>
                <w:sz w:val="20"/>
                <w:szCs w:val="20"/>
              </w:rPr>
              <w:t xml:space="preserve">Mild (any strength)</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1.00 (no penalty)</w:t>
            </w:r>
          </w:p>
        </w:tc>
      </w:tr>
      <w:tr>
        <w:tc>
          <w:tcPr>
            <w:tcW w:type="dxa" w:w="3200"/>
            <w:shd w:fill="EAF2DC" w:val="clear"/>
            <w:tcMar>
              <w:top w:type="dxa" w:w="100"/>
              <w:left w:type="dxa" w:w="120"/>
              <w:bottom w:type="dxa" w:w="100"/>
              <w:right w:type="dxa" w:w="120"/>
            </w:tcMar>
          </w:tcPr>
          <w:p>
            <w:r>
              <w:rPr>
                <w:b/>
                <w:bCs/>
                <w:color w:val="1F4A3A"/>
                <w:sz w:val="20"/>
                <w:szCs w:val="20"/>
              </w:rPr>
              <w:t xml:space="preserve">Moderate + weak advice</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0.82</w:t>
            </w:r>
          </w:p>
        </w:tc>
      </w:tr>
      <w:tr>
        <w:tc>
          <w:tcPr>
            <w:tcW w:type="dxa" w:w="3200"/>
            <w:shd w:fill="EAF2DC" w:val="clear"/>
            <w:tcMar>
              <w:top w:type="dxa" w:w="100"/>
              <w:left w:type="dxa" w:w="120"/>
              <w:bottom w:type="dxa" w:w="100"/>
              <w:right w:type="dxa" w:w="120"/>
            </w:tcMar>
          </w:tcPr>
          <w:p>
            <w:r>
              <w:rPr>
                <w:b/>
                <w:bCs/>
                <w:color w:val="1F4A3A"/>
                <w:sz w:val="20"/>
                <w:szCs w:val="20"/>
              </w:rPr>
              <w:t xml:space="preserve">Moderate + moderate advice</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0.92</w:t>
            </w:r>
          </w:p>
        </w:tc>
      </w:tr>
      <w:tr>
        <w:tc>
          <w:tcPr>
            <w:tcW w:type="dxa" w:w="3200"/>
            <w:shd w:fill="EAF2DC" w:val="clear"/>
            <w:tcMar>
              <w:top w:type="dxa" w:w="100"/>
              <w:left w:type="dxa" w:w="120"/>
              <w:bottom w:type="dxa" w:w="100"/>
              <w:right w:type="dxa" w:w="120"/>
            </w:tcMar>
          </w:tcPr>
          <w:p>
            <w:r>
              <w:rPr>
                <w:b/>
                <w:bCs/>
                <w:color w:val="1F4A3A"/>
                <w:sz w:val="20"/>
                <w:szCs w:val="20"/>
              </w:rPr>
              <w:t xml:space="preserve">Moderate + strong advice</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1.00</w:t>
            </w:r>
          </w:p>
        </w:tc>
      </w:tr>
      <w:tr>
        <w:tc>
          <w:tcPr>
            <w:tcW w:type="dxa" w:w="3200"/>
            <w:shd w:fill="EAF2DC" w:val="clear"/>
            <w:tcMar>
              <w:top w:type="dxa" w:w="100"/>
              <w:left w:type="dxa" w:w="120"/>
              <w:bottom w:type="dxa" w:w="100"/>
              <w:right w:type="dxa" w:w="120"/>
            </w:tcMar>
          </w:tcPr>
          <w:p>
            <w:r>
              <w:rPr>
                <w:b/>
                <w:bCs/>
                <w:color w:val="1F4A3A"/>
                <w:sz w:val="20"/>
                <w:szCs w:val="20"/>
              </w:rPr>
              <w:t xml:space="preserve">Severe + weak advice</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0.70</w:t>
            </w:r>
          </w:p>
        </w:tc>
      </w:tr>
      <w:tr>
        <w:tc>
          <w:tcPr>
            <w:tcW w:type="dxa" w:w="3200"/>
            <w:shd w:fill="EAF2DC" w:val="clear"/>
            <w:tcMar>
              <w:top w:type="dxa" w:w="100"/>
              <w:left w:type="dxa" w:w="120"/>
              <w:bottom w:type="dxa" w:w="100"/>
              <w:right w:type="dxa" w:w="120"/>
            </w:tcMar>
          </w:tcPr>
          <w:p>
            <w:r>
              <w:rPr>
                <w:b/>
                <w:bCs/>
                <w:color w:val="1F4A3A"/>
                <w:sz w:val="20"/>
                <w:szCs w:val="20"/>
              </w:rPr>
              <w:t xml:space="preserve">Severe + moderate advice</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0.85</w:t>
            </w:r>
          </w:p>
        </w:tc>
      </w:tr>
      <w:tr>
        <w:tc>
          <w:tcPr>
            <w:tcW w:type="dxa" w:w="3200"/>
            <w:shd w:fill="EAF2DC" w:val="clear"/>
            <w:tcMar>
              <w:top w:type="dxa" w:w="100"/>
              <w:left w:type="dxa" w:w="120"/>
              <w:bottom w:type="dxa" w:w="100"/>
              <w:right w:type="dxa" w:w="120"/>
            </w:tcMar>
          </w:tcPr>
          <w:p>
            <w:r>
              <w:rPr>
                <w:b/>
                <w:bCs/>
                <w:color w:val="1F4A3A"/>
                <w:sz w:val="20"/>
                <w:szCs w:val="20"/>
              </w:rPr>
              <w:t xml:space="preserve">Severe + strong advice</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1.00</w:t>
            </w:r>
          </w:p>
        </w:tc>
      </w:tr>
    </w:tbl>
    <w:p>
      <w:pPr>
        <w:spacing w:after="160" w:line="288"/>
      </w:pPr>
      <w:r>
        <w:rPr>
          <w:sz w:val="22"/>
          <w:szCs w:val="22"/>
        </w:rPr>
        <w:t xml:space="preserve"/>
      </w:r>
    </w:p>
    <w:p>
      <w:pPr>
        <w:pStyle w:val="Heading2"/>
        <w:spacing w:after="120" w:before="240"/>
      </w:pPr>
      <w:r>
        <w:rPr>
          <w:b/>
          <w:bCs/>
          <w:color w:val="1F4A3A"/>
          <w:sz w:val="24"/>
          <w:szCs w:val="24"/>
        </w:rPr>
        <w:t xml:space="preserve">8.3 Safety filtering and ranking</w:t>
      </w:r>
    </w:p>
    <w:p>
      <w:pPr>
        <w:spacing w:after="160" w:line="288"/>
      </w:pPr>
      <w:r>
        <w:rPr>
          <w:sz w:val="22"/>
          <w:szCs w:val="22"/>
        </w:rPr>
        <w:t xml:space="preserve">Following scoring, candidates pass through a deterministic filter chain (allergy-tag conflict → dietary-preference conflict → pregnancy/age-group blocked tags → risky-safety-level exclusion), are sorted descending by final score, and then diversified so that, where candidates exist, at least one item from each of diet, lifestyle, and home-care appears in the final top-K list before filling remaining slots by score alone.</w:t>
      </w:r>
    </w:p>
    <w:p>
      <w:pPr>
        <w:pStyle w:val="Heading2"/>
        <w:spacing w:after="120" w:before="240"/>
      </w:pPr>
      <w:r>
        <w:rPr>
          <w:b/>
          <w:bCs/>
          <w:color w:val="1F4A3A"/>
          <w:sz w:val="24"/>
          <w:szCs w:val="24"/>
        </w:rPr>
        <w:t xml:space="preserve">8.4 Follow-up intent recognition</w:t>
      </w:r>
    </w:p>
    <w:p>
      <w:pPr>
        <w:spacing w:after="160" w:line="288"/>
      </w:pPr>
      <w:r>
        <w:rPr>
          <w:sz w:val="22"/>
          <w:szCs w:val="22"/>
        </w:rPr>
        <w:t xml:space="preserve">The Follow-up Assistant uses a lightweight rule-based intent classifier (regular-expression pattern matching) to route free-text questions into one of three deterministic handlers — "why not &lt;item&gt;", "why is X ranked above Y", and "what if &lt;context change&gt;" — each of which answers directly from the same scored-candidate and exclusion data the main pipeline already computed, with an optional large-language-model fallback (Claude) for questions outside that pattern set, scoped strictly to the current session's recommendation text so it cannot introduce information the engine did not already produce.</w:t>
      </w:r>
    </w:p>
    <w:p>
      <w:pPr>
        <w:pStyle w:val="Heading1"/>
        <w:pBdr>
          <w:bottom w:val="single" w:color="1F4A3A" w:sz="8" w:space="4"/>
        </w:pBdr>
        <w:spacing w:after="160" w:before="320"/>
      </w:pPr>
      <w:r>
        <w:rPr>
          <w:b/>
          <w:bCs/>
          <w:color w:val="1F4A3A"/>
          <w:sz w:val="30"/>
          <w:szCs w:val="30"/>
        </w:rPr>
        <w:t xml:space="preserve">9. Ethical Clearance</w:t>
      </w:r>
    </w:p>
    <w:p>
      <w:pPr>
        <w:spacing w:after="160" w:line="288"/>
      </w:pPr>
      <w:r>
        <w:rPr>
          <w:sz w:val="22"/>
          <w:szCs w:val="22"/>
        </w:rPr>
        <w:t xml:space="preserve">As implemented and evaluated for this project, the module operates entirely on synthetic/curated data (a hand-authored recommendation knowledge base and sample/test payloads) and does not collect, store, or process data from human participants. On that basis, this component in isolation does not require Institutional Review Board (IRB) / university research-ethics-committee approval under the standard "no human subjects, no personal data" exemption typically applied to software-engineering components of a larger HCI project.</w:t>
      </w:r>
    </w:p>
    <w:p>
      <w:pPr>
        <w:spacing w:after="160" w:line="288"/>
      </w:pPr>
      <w:r>
        <w:rPr>
          <w:sz w:val="22"/>
          <w:szCs w:val="22"/>
        </w:rPr>
        <w:t xml:space="preserve">However, the following ethical considerations were treated as binding design constraints, and remain conditions that would require formal ethical clearance before any real-world or clinical deployment:</w:t>
      </w:r>
    </w:p>
    <w:p>
      <w:pPr>
        <w:pStyle w:val="ListParagraph"/>
        <w:numPr>
          <w:ilvl w:val="0"/>
          <w:numId w:val="2"/>
        </w:numPr>
        <w:spacing w:after="80" w:line="276"/>
      </w:pPr>
      <w:r>
        <w:rPr>
          <w:b/>
          <w:bCs/>
          <w:sz w:val="22"/>
          <w:szCs w:val="22"/>
        </w:rPr>
        <w:t xml:space="preserve">Not a diagnostic tool — </w:t>
      </w:r>
      <w:r>
        <w:rPr>
          <w:sz w:val="22"/>
          <w:szCs w:val="22"/>
        </w:rPr>
        <w:t xml:space="preserve">every response carries an explicit, non-suppressible safety note stating the guidance is supportive lifestyle/home-care information only, and is not a substitute for professional medical diagnosis or treatment.</w:t>
      </w:r>
    </w:p>
    <w:p>
      <w:pPr>
        <w:pStyle w:val="ListParagraph"/>
        <w:numPr>
          <w:ilvl w:val="0"/>
          <w:numId w:val="2"/>
        </w:numPr>
        <w:spacing w:after="80" w:line="276"/>
      </w:pPr>
      <w:r>
        <w:rPr>
          <w:b/>
          <w:bCs/>
          <w:sz w:val="22"/>
          <w:szCs w:val="22"/>
        </w:rPr>
        <w:t xml:space="preserve">Referral-first safety gating — </w:t>
      </w:r>
      <w:r>
        <w:rPr>
          <w:sz w:val="22"/>
          <w:szCs w:val="22"/>
        </w:rPr>
        <w:t xml:space="preserve">any case flagged as requiring referral, or classified as a severe condition, or below the minimum confidence threshold, bypasses personalised recommendation generation entirely and returns a referral-to-professional response instead.</w:t>
      </w:r>
    </w:p>
    <w:p>
      <w:pPr>
        <w:pStyle w:val="ListParagraph"/>
        <w:numPr>
          <w:ilvl w:val="0"/>
          <w:numId w:val="2"/>
        </w:numPr>
        <w:spacing w:after="80" w:line="276"/>
      </w:pPr>
      <w:r>
        <w:rPr>
          <w:b/>
          <w:bCs/>
          <w:sz w:val="22"/>
          <w:szCs w:val="22"/>
        </w:rPr>
        <w:t xml:space="preserve">No unreviewed clinical content — </w:t>
      </w:r>
      <w:r>
        <w:rPr>
          <w:sz w:val="22"/>
          <w:szCs w:val="22"/>
        </w:rPr>
        <w:t xml:space="preserve">the current knowledge base (recommendations.json / mappings.json) was authored for prototyping and has not been validated by a licensed Ayurvedic practitioner or dermatologist. Formal clinical review and sign-off of this content is a prerequisite for any deployment beyond demonstration/research use.</w:t>
      </w:r>
    </w:p>
    <w:p>
      <w:pPr>
        <w:pStyle w:val="ListParagraph"/>
        <w:numPr>
          <w:ilvl w:val="0"/>
          <w:numId w:val="2"/>
        </w:numPr>
        <w:spacing w:after="80" w:line="276"/>
      </w:pPr>
      <w:r>
        <w:rPr>
          <w:b/>
          <w:bCs/>
          <w:sz w:val="22"/>
          <w:szCs w:val="22"/>
        </w:rPr>
        <w:t xml:space="preserve">Data minimisation — </w:t>
      </w:r>
      <w:r>
        <w:rPr>
          <w:sz w:val="22"/>
          <w:szCs w:val="22"/>
        </w:rPr>
        <w:t xml:space="preserve">the module requests only the context fields strictly needed for safety filtering and personalisation (age group, allergies, pregnancy status, dietary preference); it does not request or store names, contact details, images, or other identifying information.</w:t>
      </w:r>
    </w:p>
    <w:p>
      <w:pPr>
        <w:pStyle w:val="ListParagraph"/>
        <w:numPr>
          <w:ilvl w:val="0"/>
          <w:numId w:val="2"/>
        </w:numPr>
        <w:spacing w:after="80" w:line="276"/>
      </w:pPr>
      <w:r>
        <w:rPr>
          <w:b/>
          <w:bCs/>
          <w:sz w:val="22"/>
          <w:szCs w:val="22"/>
        </w:rPr>
        <w:t xml:space="preserve">Human-subject testing scope — </w:t>
      </w:r>
      <w:r>
        <w:rPr>
          <w:sz w:val="22"/>
          <w:szCs w:val="22"/>
        </w:rPr>
        <w:t xml:space="preserve">if this component is later evaluated with real users (e.g. usability testing for the HCI assignment, or a clinical pilot), that evaluation — not the software component itself — would require submission to and approval from the relevant university/institutional ethics review board, informed consent from participants, and anonymised handling of any collected feedback data.</w:t>
      </w:r>
    </w:p>
    <w:p>
      <w:pPr>
        <w:pStyle w:val="ListParagraph"/>
        <w:numPr>
          <w:ilvl w:val="0"/>
          <w:numId w:val="2"/>
        </w:numPr>
        <w:spacing w:after="80" w:line="276"/>
      </w:pPr>
      <w:r>
        <w:rPr>
          <w:b/>
          <w:bCs/>
          <w:sz w:val="22"/>
          <w:szCs w:val="22"/>
        </w:rPr>
        <w:t xml:space="preserve">Third-party AI fallback disclosure — </w:t>
      </w:r>
      <w:r>
        <w:rPr>
          <w:sz w:val="22"/>
          <w:szCs w:val="22"/>
        </w:rPr>
        <w:t xml:space="preserve">when enabled, the optional AI-assisted follow-up feature sends the current session's recommendation text (not personal data) to the Anthropic Claude API; this is disabled by default and requires an explicit API key to activate, and answers produced this way are visibly labelled "AI-assisted" in the interface for transparency.</w:t>
      </w:r>
    </w:p>
    <w:p>
      <w:pPr>
        <w:spacing w:after="160" w:line="288"/>
      </w:pPr>
      <w:r>
        <w:rPr>
          <w:sz w:val="22"/>
          <w:szCs w:val="22"/>
        </w:rPr>
        <w:t xml:space="preserve"/>
      </w:r>
    </w:p>
    <w:p>
      <w:pPr>
        <w:spacing w:after="160" w:line="288"/>
      </w:pPr>
      <w:r>
        <w:rPr>
          <w:i/>
          <w:iCs/>
          <w:color w:val="5B6B5E"/>
          <w:sz w:val="22"/>
          <w:szCs w:val="22"/>
        </w:rPr>
        <w:t xml:space="preserve">In summary: the component was engineered under the same ethical posture that formal clearance would demand — safety-first gating, explicit non-diagnostic disclaimers, data minimisation, and transparency of both reasoning and AI involvement — even though, in its current synthetic-data-only prototype form, it falls outside the strict trigger conditions for formal IRB review.</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2026-08-24T07:10:46.942Z</dcterms:created>
  <dcterms:modified xsi:type="dcterms:W3CDTF">2026-08-24T07:10:46.943Z</dcterms:modified>
</cp:coreProperties>
</file>

<file path=docProps/custom.xml><?xml version="1.0" encoding="utf-8"?>
<Properties xmlns="http://schemas.openxmlformats.org/officeDocument/2006/custom-properties" xmlns:vt="http://schemas.openxmlformats.org/officeDocument/2006/docPropsVTypes"/>
</file>