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{{</w:t>
            </w:r>
            <w:proofErr w:type="spellStart"/>
            <w:r w:rsidR="007B1066" w:rsidRP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highlight w:val="yellow"/>
                <w:lang w:eastAsia="es-MX"/>
              </w:rPr>
              <w:t>nombre_equipo</w:t>
            </w:r>
            <w:proofErr w:type="spellEnd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}} ({{</w:t>
            </w:r>
            <w:proofErr w:type="spellStart"/>
            <w:r w:rsidR="007B1066" w:rsidRP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highlight w:val="yellow"/>
                <w:lang w:eastAsia="es-MX"/>
              </w:rPr>
              <w:t>codigo_equipo</w:t>
            </w:r>
            <w:proofErr w:type="spellEnd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}})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>{{</w:t>
      </w:r>
      <w:proofErr w:type="spellStart"/>
      <w:r w:rsidR="007B1066" w:rsidRPr="007B1066">
        <w:rPr>
          <w:sz w:val="20"/>
          <w:szCs w:val="20"/>
          <w:highlight w:val="yellow"/>
        </w:rPr>
        <w:t>nombre_equipo</w:t>
      </w:r>
      <w:proofErr w:type="spellEnd"/>
      <w:r w:rsidR="007B1066" w:rsidRPr="007B1066">
        <w:rPr>
          <w:sz w:val="20"/>
          <w:szCs w:val="20"/>
        </w:rPr>
        <w:t>}} ({{</w:t>
      </w:r>
      <w:proofErr w:type="spellStart"/>
      <w:r w:rsidR="007B1066" w:rsidRPr="007B1066">
        <w:rPr>
          <w:sz w:val="20"/>
          <w:szCs w:val="20"/>
          <w:highlight w:val="yellow"/>
        </w:rPr>
        <w:t>codigo_equipo</w:t>
      </w:r>
      <w:proofErr w:type="spellEnd"/>
      <w:r w:rsidR="007B1066" w:rsidRPr="007B1066">
        <w:rPr>
          <w:sz w:val="20"/>
          <w:szCs w:val="20"/>
        </w:rPr>
        <w:t>}})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>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7B1066">
              <w:rPr>
                <w:sz w:val="20"/>
                <w:szCs w:val="20"/>
              </w:rPr>
              <w:t>}} ({{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codigo_equipo</w:t>
            </w:r>
            <w:proofErr w:type="spellEnd"/>
            <w:r w:rsidRPr="007B1066">
              <w:rPr>
                <w:sz w:val="20"/>
                <w:szCs w:val="20"/>
              </w:rPr>
              <w:t>}})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>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7B1066">
              <w:rPr>
                <w:sz w:val="20"/>
                <w:szCs w:val="20"/>
              </w:rPr>
              <w:t>}} ({{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codigo_equipo</w:t>
            </w:r>
            <w:proofErr w:type="spellEnd"/>
            <w:r w:rsidRPr="007B1066">
              <w:rPr>
                <w:sz w:val="20"/>
                <w:szCs w:val="20"/>
              </w:rPr>
              <w:t>}})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>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7B1066">
              <w:rPr>
                <w:sz w:val="20"/>
                <w:szCs w:val="20"/>
              </w:rPr>
              <w:t>}} ({{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codigo_equipo</w:t>
            </w:r>
            <w:proofErr w:type="spellEnd"/>
            <w:r w:rsidRPr="007B1066">
              <w:rPr>
                <w:sz w:val="20"/>
                <w:szCs w:val="20"/>
              </w:rPr>
              <w:t>}})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>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7B1066">
              <w:rPr>
                <w:sz w:val="20"/>
                <w:szCs w:val="20"/>
              </w:rPr>
              <w:t>}} ({{</w:t>
            </w:r>
            <w:proofErr w:type="spellStart"/>
            <w:r w:rsidRPr="007B1066">
              <w:rPr>
                <w:sz w:val="20"/>
                <w:szCs w:val="20"/>
                <w:highlight w:val="yellow"/>
              </w:rPr>
              <w:t>codigo_equipo</w:t>
            </w:r>
            <w:proofErr w:type="spellEnd"/>
            <w:r w:rsidRPr="007B1066">
              <w:rPr>
                <w:sz w:val="20"/>
                <w:szCs w:val="20"/>
              </w:rPr>
              <w:t>}})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>{{marca}}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>{{modelo}}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="001373D3"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="001373D3" w:rsidRPr="00A50971">
              <w:rPr>
                <w:sz w:val="20"/>
                <w:szCs w:val="20"/>
                <w:highlight w:val="yellow"/>
              </w:rPr>
              <w:t>}}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>{{marca}}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>{{modelo}}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="00BE1003"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="00BE1003" w:rsidRPr="00A50971">
              <w:rPr>
                <w:sz w:val="20"/>
                <w:szCs w:val="20"/>
                <w:highlight w:val="yellow"/>
              </w:rPr>
              <w:t>}}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>{{marca}}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>{{modelo}}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>{{</w:t>
            </w:r>
            <w:proofErr w:type="spellStart"/>
            <w:r w:rsidRPr="00A50971">
              <w:rPr>
                <w:sz w:val="20"/>
                <w:szCs w:val="20"/>
                <w:highlight w:val="yellow"/>
              </w:rPr>
              <w:t>nombre_equipo</w:t>
            </w:r>
            <w:proofErr w:type="spellEnd"/>
            <w:r w:rsidRPr="00A50971">
              <w:rPr>
                <w:sz w:val="20"/>
                <w:szCs w:val="20"/>
                <w:highlight w:val="yellow"/>
              </w:rPr>
              <w:t>}}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>{{marca}}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>{{modelo}}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nombre_dueño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puesto_dueño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nombre_auxiliar</w:t>
            </w:r>
            <w:proofErr w:type="spellEnd"/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nombre_coordinador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nombre_sanitario</w:t>
            </w:r>
            <w:proofErr w:type="spellEnd"/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