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3111"/>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w:t>
            </w:r>
            <w:proofErr w:type="spellStart"/>
            <w:r w:rsidRPr="00C52B4C">
              <w:rPr>
                <w:rFonts w:ascii="Calibri" w:hAnsi="Calibri" w:cs="Calibri"/>
                <w:b/>
                <w:bCs/>
                <w:sz w:val="60"/>
                <w:szCs w:val="60"/>
                <w:highlight w:val="yellow"/>
              </w:rPr>
              <w:t>nombre_equipo</w:t>
            </w:r>
            <w:proofErr w:type="spellEnd"/>
            <w:r w:rsidRPr="00C52B4C">
              <w:rPr>
                <w:rFonts w:ascii="Calibri" w:hAnsi="Calibri" w:cs="Calibri"/>
                <w:b/>
                <w:bCs/>
                <w:sz w:val="60"/>
                <w:szCs w:val="60"/>
                <w:highlight w:val="yellow"/>
              </w:rPr>
              <w:t>}}</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w:t>
            </w:r>
            <w:proofErr w:type="spellStart"/>
            <w:r w:rsidRPr="00C52B4C">
              <w:rPr>
                <w:rFonts w:ascii="Calibri" w:hAnsi="Calibri" w:cs="Calibri"/>
                <w:b/>
                <w:bCs/>
                <w:sz w:val="32"/>
                <w:szCs w:val="32"/>
                <w:highlight w:val="yellow"/>
              </w:rPr>
              <w:t>codigo_gestionriesgos</w:t>
            </w:r>
            <w:proofErr w:type="spellEnd"/>
            <w:r w:rsidRPr="00C52B4C">
              <w:rPr>
                <w:rFonts w:ascii="Calibri" w:hAnsi="Calibri" w:cs="Calibri"/>
                <w:b/>
                <w:bCs/>
                <w:sz w:val="32"/>
                <w:szCs w:val="32"/>
                <w:highlight w:val="yellow"/>
              </w:rPr>
              <w:t>}}</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w:t>
            </w:r>
            <w:proofErr w:type="spellStart"/>
            <w:r w:rsidRPr="00C52B4C">
              <w:rPr>
                <w:rFonts w:ascii="Calibri" w:hAnsi="Calibri" w:cs="Calibri"/>
                <w:b/>
                <w:bCs/>
                <w:sz w:val="32"/>
                <w:szCs w:val="32"/>
                <w:highlight w:val="yellow"/>
              </w:rPr>
              <w:t>fecha_elaboracion</w:t>
            </w:r>
            <w:proofErr w:type="spellEnd"/>
            <w:r w:rsidRPr="00C52B4C">
              <w:rPr>
                <w:rFonts w:ascii="Calibri" w:hAnsi="Calibri" w:cs="Calibri"/>
                <w:b/>
                <w:bCs/>
                <w:sz w:val="32"/>
                <w:szCs w:val="32"/>
                <w:highlight w:val="yellow"/>
              </w:rPr>
              <w:t>}}</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w:t>
                  </w:r>
                  <w:proofErr w:type="spellStart"/>
                  <w:r w:rsidRPr="00224FED">
                    <w:rPr>
                      <w:rFonts w:ascii="Calibri" w:hAnsi="Calibri" w:cs="Calibri"/>
                      <w:b/>
                      <w:bCs/>
                      <w:sz w:val="20"/>
                      <w:szCs w:val="20"/>
                      <w:highlight w:val="yellow"/>
                    </w:rPr>
                    <w:t>nombre_auxiliar</w:t>
                  </w:r>
                  <w:proofErr w:type="spellEnd"/>
                  <w:r w:rsidRPr="00224FED">
                    <w:rPr>
                      <w:rFonts w:ascii="Calibri" w:hAnsi="Calibri" w:cs="Calibri"/>
                      <w:b/>
                      <w:bCs/>
                      <w:sz w:val="20"/>
                      <w:szCs w:val="20"/>
                      <w:highlight w:val="yellow"/>
                    </w:rPr>
                    <w:t>}}</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w:t>
                  </w:r>
                  <w:proofErr w:type="spellStart"/>
                  <w:r w:rsidRPr="00224FED">
                    <w:rPr>
                      <w:rFonts w:ascii="Calibri" w:hAnsi="Calibri" w:cs="Calibri"/>
                      <w:b/>
                      <w:bCs/>
                      <w:sz w:val="20"/>
                      <w:szCs w:val="20"/>
                      <w:highlight w:val="yellow"/>
                    </w:rPr>
                    <w:t>nombre_coordinador</w:t>
                  </w:r>
                  <w:proofErr w:type="spellEnd"/>
                  <w:r w:rsidRPr="00224FED">
                    <w:rPr>
                      <w:rFonts w:ascii="Calibri" w:hAnsi="Calibri" w:cs="Calibri"/>
                      <w:b/>
                      <w:bCs/>
                      <w:sz w:val="20"/>
                      <w:szCs w:val="20"/>
                      <w:highlight w:val="yellow"/>
                    </w:rPr>
                    <w:t>}}</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w:t>
                  </w:r>
                  <w:proofErr w:type="spellStart"/>
                  <w:r w:rsidRPr="00224FED">
                    <w:rPr>
                      <w:rFonts w:ascii="Calibri" w:hAnsi="Calibri" w:cs="Calibri"/>
                      <w:b/>
                      <w:bCs/>
                      <w:sz w:val="20"/>
                      <w:szCs w:val="20"/>
                      <w:highlight w:val="yellow"/>
                    </w:rPr>
                    <w:t>nombre_dueño</w:t>
                  </w:r>
                  <w:proofErr w:type="spellEnd"/>
                  <w:r w:rsidRPr="00224FED">
                    <w:rPr>
                      <w:rFonts w:ascii="Calibri" w:hAnsi="Calibri" w:cs="Calibri"/>
                      <w:b/>
                      <w:bCs/>
                      <w:sz w:val="20"/>
                      <w:szCs w:val="20"/>
                      <w:highlight w:val="yellow"/>
                    </w:rPr>
                    <w:t>}}</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w:t>
                  </w:r>
                  <w:proofErr w:type="spellStart"/>
                  <w:r w:rsidRPr="00224FED">
                    <w:rPr>
                      <w:rFonts w:ascii="Calibri" w:hAnsi="Calibri" w:cs="Calibri"/>
                      <w:b/>
                      <w:bCs/>
                      <w:sz w:val="20"/>
                      <w:szCs w:val="20"/>
                      <w:highlight w:val="yellow"/>
                    </w:rPr>
                    <w:t>puesto_dueño</w:t>
                  </w:r>
                  <w:proofErr w:type="spellEnd"/>
                  <w:r w:rsidRPr="00224FED">
                    <w:rPr>
                      <w:rFonts w:ascii="Calibri" w:hAnsi="Calibri" w:cs="Calibri"/>
                      <w:b/>
                      <w:bCs/>
                      <w:sz w:val="20"/>
                      <w:szCs w:val="20"/>
                      <w:highlight w:val="yellow"/>
                    </w:rPr>
                    <w:t>}}</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w:t>
                  </w:r>
                  <w:proofErr w:type="spellStart"/>
                  <w:r w:rsidRPr="00224FED">
                    <w:rPr>
                      <w:rFonts w:ascii="Calibri" w:hAnsi="Calibri" w:cs="Calibri"/>
                      <w:b/>
                      <w:bCs/>
                      <w:sz w:val="20"/>
                      <w:szCs w:val="20"/>
                      <w:highlight w:val="yellow"/>
                    </w:rPr>
                    <w:t>nombre_sanitario</w:t>
                  </w:r>
                  <w:proofErr w:type="spellEnd"/>
                  <w:r w:rsidRPr="00224FED">
                    <w:rPr>
                      <w:rFonts w:ascii="Calibri" w:hAnsi="Calibri" w:cs="Calibri"/>
                      <w:b/>
                      <w:bCs/>
                      <w:sz w:val="20"/>
                      <w:szCs w:val="20"/>
                      <w:highlight w:val="yellow"/>
                    </w:rPr>
                    <w:t>}}</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w:t>
      </w:r>
      <w:proofErr w:type="spellStart"/>
      <w:r w:rsidR="00224FED" w:rsidRPr="00224FED">
        <w:rPr>
          <w:rFonts w:cstheme="minorHAnsi"/>
          <w:sz w:val="20"/>
          <w:szCs w:val="20"/>
          <w:highlight w:val="yellow"/>
        </w:rPr>
        <w:t>nombre_equipo</w:t>
      </w:r>
      <w:proofErr w:type="spellEnd"/>
      <w:r w:rsidR="00224FED" w:rsidRPr="00224FED">
        <w:rPr>
          <w:rFonts w:cstheme="minorHAnsi"/>
          <w:sz w:val="20"/>
          <w:szCs w:val="20"/>
          <w:highlight w:val="yellow"/>
        </w:rPr>
        <w:t>}}</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w:t>
      </w:r>
      <w:proofErr w:type="spellStart"/>
      <w:r w:rsidR="00224FED" w:rsidRPr="00224FED">
        <w:rPr>
          <w:rFonts w:cstheme="minorHAnsi"/>
          <w:sz w:val="20"/>
          <w:szCs w:val="20"/>
          <w:highlight w:val="yellow"/>
        </w:rPr>
        <w:t>nombre_equipo</w:t>
      </w:r>
      <w:proofErr w:type="spellEnd"/>
      <w:r w:rsidR="00224FED" w:rsidRPr="00224FED">
        <w:rPr>
          <w:rFonts w:cstheme="minorHAnsi"/>
          <w:sz w:val="20"/>
          <w:szCs w:val="20"/>
          <w:highlight w:val="yellow"/>
        </w:rPr>
        <w:t>}}</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w:t>
      </w:r>
      <w:proofErr w:type="spellStart"/>
      <w:r w:rsidR="00224FED" w:rsidRPr="00224FED">
        <w:rPr>
          <w:rFonts w:cstheme="minorHAnsi"/>
          <w:sz w:val="20"/>
          <w:szCs w:val="20"/>
          <w:highlight w:val="yellow"/>
        </w:rPr>
        <w:t>nombre_equipo</w:t>
      </w:r>
      <w:proofErr w:type="spellEnd"/>
      <w:r w:rsidR="00224FED" w:rsidRPr="00224FED">
        <w:rPr>
          <w:rFonts w:cstheme="minorHAnsi"/>
          <w:sz w:val="20"/>
          <w:szCs w:val="20"/>
          <w:highlight w:val="yellow"/>
        </w:rPr>
        <w:t>}}</w:t>
      </w:r>
      <w:r w:rsidRPr="00C04D6F">
        <w:rPr>
          <w:rFonts w:cstheme="minorHAnsi"/>
          <w:sz w:val="20"/>
          <w:szCs w:val="20"/>
        </w:rPr>
        <w:t xml:space="preserve">, marca </w:t>
      </w:r>
      <w:r w:rsidR="00224FED" w:rsidRPr="00224FED">
        <w:rPr>
          <w:rFonts w:cstheme="minorHAnsi"/>
          <w:sz w:val="20"/>
          <w:szCs w:val="20"/>
          <w:highlight w:val="yellow"/>
        </w:rPr>
        <w:t>{{</w:t>
      </w:r>
      <w:r w:rsidR="00224FED">
        <w:rPr>
          <w:rFonts w:cstheme="minorHAnsi"/>
          <w:sz w:val="20"/>
          <w:szCs w:val="20"/>
          <w:highlight w:val="yellow"/>
        </w:rPr>
        <w:t>marca</w:t>
      </w:r>
      <w:r w:rsidR="00224FED" w:rsidRPr="00224FED">
        <w:rPr>
          <w:rFonts w:cstheme="minorHAnsi"/>
          <w:sz w:val="20"/>
          <w:szCs w:val="20"/>
          <w:highlight w:val="yellow"/>
        </w:rPr>
        <w:t>}}</w:t>
      </w:r>
      <w:r w:rsidRPr="00C04D6F">
        <w:rPr>
          <w:rFonts w:cstheme="minorHAnsi"/>
          <w:sz w:val="20"/>
          <w:szCs w:val="20"/>
        </w:rPr>
        <w:t xml:space="preserve">, modelo </w:t>
      </w:r>
      <w:r w:rsidR="00224FED" w:rsidRPr="00224FED">
        <w:rPr>
          <w:rFonts w:cstheme="minorHAnsi"/>
          <w:sz w:val="20"/>
          <w:szCs w:val="20"/>
          <w:highlight w:val="yellow"/>
        </w:rPr>
        <w:t>{{</w:t>
      </w:r>
      <w:r w:rsidR="00224FED">
        <w:rPr>
          <w:rFonts w:cstheme="minorHAnsi"/>
          <w:sz w:val="20"/>
          <w:szCs w:val="20"/>
          <w:highlight w:val="yellow"/>
        </w:rPr>
        <w:t>modelo</w:t>
      </w:r>
      <w:r w:rsidR="00224FED" w:rsidRPr="00224FED">
        <w:rPr>
          <w:rFonts w:cstheme="minorHAnsi"/>
          <w:sz w:val="20"/>
          <w:szCs w:val="20"/>
          <w:highlight w:val="yellow"/>
        </w:rPr>
        <w:t>}}</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w:t>
      </w:r>
      <w:proofErr w:type="spellStart"/>
      <w:r w:rsidR="00224FED">
        <w:rPr>
          <w:rFonts w:cstheme="minorHAnsi"/>
          <w:sz w:val="20"/>
          <w:szCs w:val="20"/>
          <w:highlight w:val="yellow"/>
        </w:rPr>
        <w:t>no_serie</w:t>
      </w:r>
      <w:proofErr w:type="spellEnd"/>
      <w:r w:rsidR="00224FED" w:rsidRPr="00224FED">
        <w:rPr>
          <w:rFonts w:cstheme="minorHAnsi"/>
          <w:sz w:val="20"/>
          <w:szCs w:val="20"/>
          <w:highlight w:val="yellow"/>
        </w:rPr>
        <w:t>}}</w:t>
      </w:r>
      <w:r w:rsidRPr="00C04D6F">
        <w:rPr>
          <w:rFonts w:cstheme="minorHAnsi"/>
          <w:sz w:val="20"/>
          <w:szCs w:val="20"/>
        </w:rPr>
        <w:t xml:space="preserve">. Este equipo y/o sistema se encuentra ubicado </w:t>
      </w:r>
      <w:r w:rsidR="00224FED" w:rsidRPr="00224FED">
        <w:rPr>
          <w:rFonts w:cstheme="minorHAnsi"/>
          <w:sz w:val="20"/>
          <w:szCs w:val="20"/>
          <w:highlight w:val="yellow"/>
        </w:rPr>
        <w:t>{{ubicación}}</w:t>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w:t>
      </w:r>
      <w:proofErr w:type="spellStart"/>
      <w:r w:rsidR="00224FED" w:rsidRPr="00224FED">
        <w:rPr>
          <w:rFonts w:cstheme="minorHAnsi"/>
          <w:sz w:val="20"/>
          <w:szCs w:val="20"/>
          <w:highlight w:val="yellow"/>
        </w:rPr>
        <w:t>nombre_equipo</w:t>
      </w:r>
      <w:proofErr w:type="spellEnd"/>
      <w:r w:rsidR="00224FED" w:rsidRPr="00224FED">
        <w:rPr>
          <w:rFonts w:cstheme="minorHAnsi"/>
          <w:sz w:val="20"/>
          <w:szCs w:val="20"/>
          <w:highlight w:val="yellow"/>
        </w:rPr>
        <w:t>}}</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w:t>
      </w:r>
      <w:proofErr w:type="spellStart"/>
      <w:r w:rsidR="00224FED" w:rsidRPr="00224FED">
        <w:rPr>
          <w:rFonts w:cstheme="minorHAnsi"/>
          <w:i w:val="0"/>
          <w:iCs w:val="0"/>
          <w:sz w:val="20"/>
          <w:szCs w:val="20"/>
          <w:highlight w:val="yellow"/>
        </w:rPr>
        <w:t>nombre_equipo</w:t>
      </w:r>
      <w:proofErr w:type="spellEnd"/>
      <w:r w:rsidR="00224FED" w:rsidRPr="00224FED">
        <w:rPr>
          <w:rFonts w:cstheme="minorHAnsi"/>
          <w:i w:val="0"/>
          <w:iCs w:val="0"/>
          <w:sz w:val="20"/>
          <w:szCs w:val="20"/>
          <w:highlight w:val="yellow"/>
        </w:rPr>
        <w:t>}}</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w:t>
      </w:r>
      <w:proofErr w:type="spellStart"/>
      <w:r w:rsidR="00224FED" w:rsidRPr="00224FED">
        <w:rPr>
          <w:rFonts w:cstheme="minorHAnsi"/>
          <w:sz w:val="20"/>
          <w:szCs w:val="20"/>
          <w:highlight w:val="yellow"/>
        </w:rPr>
        <w:t>nombre_equipo</w:t>
      </w:r>
      <w:proofErr w:type="spellEnd"/>
      <w:r w:rsidR="00224FED" w:rsidRPr="00224FED">
        <w:rPr>
          <w:rFonts w:cstheme="minorHAnsi"/>
          <w:sz w:val="20"/>
          <w:szCs w:val="20"/>
          <w:highlight w:val="yellow"/>
        </w:rPr>
        <w:t>}}</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w:t>
      </w:r>
      <w:proofErr w:type="spellStart"/>
      <w:r w:rsidRPr="00224FED">
        <w:rPr>
          <w:rFonts w:cstheme="minorHAnsi"/>
          <w:sz w:val="20"/>
          <w:szCs w:val="20"/>
          <w:highlight w:val="yellow"/>
        </w:rPr>
        <w:t>nombre_equipo</w:t>
      </w:r>
      <w:proofErr w:type="spellEnd"/>
      <w:r w:rsidRPr="00224FED">
        <w:rPr>
          <w:rFonts w:cstheme="minorHAnsi"/>
          <w:sz w:val="20"/>
          <w:szCs w:val="20"/>
          <w:highlight w:val="yellow"/>
        </w:rPr>
        <w:t>}}</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w:t>
      </w:r>
      <w:proofErr w:type="spellStart"/>
      <w:r w:rsidR="00183472" w:rsidRPr="00183472">
        <w:rPr>
          <w:rFonts w:ascii="Calibri" w:hAnsi="Calibri" w:cs="Calibri"/>
          <w:sz w:val="20"/>
          <w:szCs w:val="20"/>
          <w:highlight w:val="yellow"/>
        </w:rPr>
        <w:t>nombre_equipo</w:t>
      </w:r>
      <w:proofErr w:type="spellEnd"/>
      <w:r w:rsidR="00183472" w:rsidRPr="00183472">
        <w:rPr>
          <w:rFonts w:ascii="Calibri" w:hAnsi="Calibri" w:cs="Calibri"/>
          <w:sz w:val="20"/>
          <w:szCs w:val="20"/>
          <w:highlight w:val="yellow"/>
        </w:rPr>
        <w:t>}}</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w:t>
      </w:r>
      <w:proofErr w:type="spellStart"/>
      <w:r w:rsidR="00183472" w:rsidRPr="00183472">
        <w:rPr>
          <w:rFonts w:ascii="Calibri" w:hAnsi="Calibri" w:cs="Calibri"/>
          <w:sz w:val="20"/>
          <w:szCs w:val="20"/>
          <w:highlight w:val="yellow"/>
        </w:rPr>
        <w:t>nombre_equipo</w:t>
      </w:r>
      <w:proofErr w:type="spellEnd"/>
      <w:r w:rsidR="00183472" w:rsidRPr="00183472">
        <w:rPr>
          <w:rFonts w:ascii="Calibri" w:hAnsi="Calibri" w:cs="Calibri"/>
          <w:sz w:val="20"/>
          <w:szCs w:val="20"/>
          <w:highlight w:val="yellow"/>
        </w:rPr>
        <w:t>}}</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w:t>
      </w:r>
      <w:proofErr w:type="spellStart"/>
      <w:r w:rsidR="00AA4551" w:rsidRPr="00183472">
        <w:rPr>
          <w:rFonts w:ascii="Calibri" w:hAnsi="Calibri" w:cs="Calibri"/>
          <w:sz w:val="20"/>
          <w:szCs w:val="20"/>
          <w:highlight w:val="yellow"/>
        </w:rPr>
        <w:t>nombre_equipo</w:t>
      </w:r>
      <w:proofErr w:type="spellEnd"/>
      <w:r w:rsidR="00AA4551" w:rsidRPr="00183472">
        <w:rPr>
          <w:rFonts w:ascii="Calibri" w:hAnsi="Calibri" w:cs="Calibri"/>
          <w:sz w:val="20"/>
          <w:szCs w:val="20"/>
          <w:highlight w:val="yellow"/>
        </w:rPr>
        <w:t>}}</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w:t>
            </w:r>
            <w:proofErr w:type="spellStart"/>
            <w:r w:rsidRPr="00AA4551">
              <w:rPr>
                <w:rFonts w:ascii="Calibri" w:hAnsi="Calibri" w:cs="Calibri"/>
                <w:sz w:val="20"/>
                <w:highlight w:val="yellow"/>
              </w:rPr>
              <w:t>fecha_elaboracion</w:t>
            </w:r>
            <w:proofErr w:type="spellEnd"/>
            <w:r w:rsidRPr="00AA4551">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w:t>
            </w:r>
            <w:proofErr w:type="spellStart"/>
            <w:r w:rsidRPr="00AA4551">
              <w:rPr>
                <w:rFonts w:ascii="Calibri" w:hAnsi="Calibri" w:cs="Calibri"/>
                <w:sz w:val="20"/>
                <w:highlight w:val="yellow"/>
              </w:rPr>
              <w:t>nombre_auxiliar</w:t>
            </w:r>
            <w:proofErr w:type="spellEnd"/>
            <w:r w:rsidRPr="00AA4551">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w:t>
            </w:r>
            <w:proofErr w:type="spellStart"/>
            <w:r w:rsidRPr="00AA4551">
              <w:rPr>
                <w:rFonts w:ascii="Calibri" w:hAnsi="Calibri" w:cs="Calibri"/>
                <w:sz w:val="20"/>
                <w:highlight w:val="yellow"/>
              </w:rPr>
              <w:t>nombre_sanitario</w:t>
            </w:r>
            <w:proofErr w:type="spellEnd"/>
            <w:r w:rsidRPr="00AA4551">
              <w:rPr>
                <w:rFonts w:ascii="Calibri" w:hAnsi="Calibri" w:cs="Calibri"/>
                <w:sz w:val="20"/>
                <w:highlight w:val="yellow"/>
              </w:rPr>
              <w:t>}}</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w:t>
          </w:r>
          <w:r w:rsidRPr="00C52B4C">
            <w:rPr>
              <w:highlight w:val="yellow"/>
            </w:rPr>
            <w:t xml:space="preserve"> </w:t>
          </w:r>
          <w:proofErr w:type="spellStart"/>
          <w:r w:rsidRPr="00C52B4C">
            <w:rPr>
              <w:rFonts w:ascii="Calibri" w:hAnsi="Calibri" w:cs="Calibri"/>
              <w:b/>
              <w:bCs/>
              <w:sz w:val="30"/>
              <w:szCs w:val="30"/>
              <w:highlight w:val="yellow"/>
            </w:rPr>
            <w:t>nombre</w:t>
          </w:r>
          <w:proofErr w:type="gramEnd"/>
          <w:r w:rsidRPr="00C52B4C">
            <w:rPr>
              <w:rFonts w:ascii="Calibri" w:hAnsi="Calibri" w:cs="Calibri"/>
              <w:b/>
              <w:bCs/>
              <w:sz w:val="30"/>
              <w:szCs w:val="30"/>
              <w:highlight w:val="yellow"/>
            </w:rPr>
            <w:t>_equipo</w:t>
          </w:r>
          <w:proofErr w:type="spellEnd"/>
          <w:r w:rsidRPr="00C52B4C">
            <w:rPr>
              <w:rFonts w:ascii="Calibri" w:hAnsi="Calibri" w:cs="Calibri"/>
              <w:b/>
              <w:bCs/>
              <w:sz w:val="30"/>
              <w:szCs w:val="30"/>
              <w:highlight w:val="yellow"/>
            </w:rPr>
            <w:t>}}</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w:t>
          </w:r>
          <w:r w:rsidRPr="00C52B4C">
            <w:rPr>
              <w:highlight w:val="yellow"/>
            </w:rPr>
            <w:t xml:space="preserve"> </w:t>
          </w:r>
          <w:proofErr w:type="spellStart"/>
          <w:r w:rsidRPr="00C52B4C">
            <w:rPr>
              <w:rFonts w:ascii="Calibri" w:hAnsi="Calibri" w:cs="Calibri"/>
              <w:b/>
              <w:bCs/>
              <w:sz w:val="30"/>
              <w:szCs w:val="30"/>
              <w:highlight w:val="yellow"/>
            </w:rPr>
            <w:t>nombre</w:t>
          </w:r>
          <w:proofErr w:type="gramEnd"/>
          <w:r w:rsidRPr="00C52B4C">
            <w:rPr>
              <w:rFonts w:ascii="Calibri" w:hAnsi="Calibri" w:cs="Calibri"/>
              <w:b/>
              <w:bCs/>
              <w:sz w:val="30"/>
              <w:szCs w:val="30"/>
              <w:highlight w:val="yellow"/>
            </w:rPr>
            <w:t>_equipo</w:t>
          </w:r>
          <w:proofErr w:type="spellEnd"/>
          <w:r w:rsidRPr="00C52B4C">
            <w:rPr>
              <w:rFonts w:ascii="Calibri" w:hAnsi="Calibri" w:cs="Calibri"/>
              <w:b/>
              <w:bCs/>
              <w:sz w:val="30"/>
              <w:szCs w:val="30"/>
              <w:highlight w:val="yellow"/>
            </w:rPr>
            <w:t>}}</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