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Banda transportadora  (EQ-BAN-01)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Banda transportadora  (EQ-BAN-01)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Banda transportadora  (EQ-BAN-01)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Banda transportadora  (EQ-BAN-01)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Banda transportadora  (EQ-BAN-01)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Banda transportadora  (EQ-BAN-01)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N/A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N/A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N/A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Banda transportadora 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N/A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