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VAL-PCD-BAN01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Banda transportadora </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N/A</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VAL-RAR-BAN01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Banda transportadora </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Banda transportadora </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(VAL-RCD-BAN01)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VAL-PCD-BAN01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Banda transportadora </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Banda transportadora </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