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Codificadora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VAL-RCD-COD01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Codificadora</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VAL-PCD-COD01</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Codificadora</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Inkjet</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DY-360</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Codificadora</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Codificadora</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Codificadora</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VAL-RCD-COD01</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Codificadora</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VAL-RCD-COD01</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Codificadora</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Codificadora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