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 xml:space="preserve">Codificadora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 xml:space="preserve">VAL-RCO-COD01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 xml:space="preserve">Codificadora</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VAL-PCO-COD01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 xml:space="preserve">Codificadora</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Inkjet</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DY-360</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Codificadora</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 xml:space="preserve">Codificadora</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 xml:space="preserve">Codificadora</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 xml:space="preserve">VAL-RCO-COD01</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Codificadora</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 xml:space="preserve">VAL-PCO-COD01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Codificadora</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 xml:space="preserve">Codificadora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