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Llenadora de 8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VAL-RCD-LLE01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Llenadora de 8 boquillas</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VAL-PCD-LLE01</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Llenadora de 8 boquillas</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GT-8</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Llenadora de 8 boquillas</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Llenadora de 8 boquillas</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Llenadora de 8 boquillas</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VAL-RCD-LLE01</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de 8 boquillas</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VAL-RCD-LLE01</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de 8 boquillas</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Llenadora de 8 boquillas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