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 xml:space="preserve">Llenadora de 2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 xml:space="preserve">VAL-RCD-LLE02</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 xml:space="preserve">Llenadora de 2 boquillas</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VAL-PCD-LLE02</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 xml:space="preserve">Llenadora de 2 boquillas</w:t>
      </w:r>
      <w:r w:rsidRPr="00764ACB">
        <w:rPr>
          <w:rFonts w:ascii="Calibri" w:hAnsi="Calibri" w:cs="Calibri"/>
          <w:sz w:val="20"/>
          <w:szCs w:val="20"/>
        </w:rPr>
        <w:t xml:space="preserve">, marca </w:t>
      </w:r>
      <w:r w:rsidRPr="00764ACB">
        <w:rPr>
          <w:rFonts w:ascii="Calibri" w:hAnsi="Calibri" w:cs="Calibri"/>
          <w:sz w:val="20"/>
          <w:szCs w:val="20"/>
          <w:highlight w:val="yellow"/>
        </w:rPr>
        <w:t xml:space="preserve">Promemec</w:t>
      </w:r>
      <w:r w:rsidRPr="00764ACB">
        <w:rPr>
          <w:rFonts w:ascii="Calibri" w:hAnsi="Calibri" w:cs="Calibri"/>
          <w:sz w:val="20"/>
          <w:szCs w:val="20"/>
        </w:rPr>
        <w:t xml:space="preserve"> modelo </w:t>
      </w:r>
      <w:r w:rsidRPr="00764ACB">
        <w:rPr>
          <w:rFonts w:ascii="Calibri" w:hAnsi="Calibri" w:cs="Calibri"/>
          <w:sz w:val="20"/>
          <w:szCs w:val="20"/>
          <w:highlight w:val="yellow"/>
        </w:rPr>
        <w:t xml:space="preserve">Dual pistón 250 mL</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 xml:space="preserve">Llenadora de 2 boquillas</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 xml:space="preserve">Llenadora de 2 boquillas</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 xml:space="preserve">Llenadora de 2 boquillas</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VAL-RCD-LLE02</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Llenadora de 2 boquillas</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 xml:space="preserve">VAL-RCD-LLE02</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Llenadora de 2 boquillas</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 xml:space="preserve">Llenadora de 2 boquillas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