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VAL-RCE-MES01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Mesa de acumulación para botellas</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VAL-PCE-MES01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Mesa de acumulación para botellas</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N/A</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Mesa de acumulación para botellas</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Mesa de acumulación para botellas</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Mesa de acumulación para botellas</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VAL-RCE-MES01</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Mesa de acumulación para botellas</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VAL-PCE-MES01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Mesa de acumulación para botellas</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Mesa de acumulación para botellas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