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VAL-PCI-TAP01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Taponadora</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XG-300</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AR-ACO-001</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VAL-RAR-TAP01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Taponadora</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Taponadora</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Taponadora</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Taponadora</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VAL-RCI-TAP01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VAL-PCI-TAP01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Taponadora</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Taponadora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