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VAL-RCD-BOM01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Bomba de vacío</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VAL-PCD-BOM01</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Bomba de vacío</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sin modelo</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Bomba de vacío</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Bomba de vacío</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Bomba de vacío</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VAL-RCD-BOM01</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Bomba de vacío</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VAL-RCD-BOM01</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Bomba de vacío</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Bomba de vacío</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