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Программный комплекс «ИБ-Эффект»</w:t>
      </w:r>
    </w:p>
    <w:p>
      <w:pPr>
        <w:pStyle w:val="Subtitle"/>
      </w:pPr>
      <w:r>
        <w:t>Руководство пользователя, техническая архитектура и методологический базис расчета экономической эффективности ИБ</w:t>
      </w:r>
    </w:p>
    <w:tbl>
      <w:tblPr>
        <w:tblW w:w="9400" w:type="dxa"/>
        <w:tblBorders>
          <w:top w:val="none"/>
          <w:left w:val="single" w:sz="24" w:space="0" w:color="1D4ED8"/>
          <w:bottom w:val="none"/>
          <w:right w:val="none"/>
          <w:insideH w:val="none"/>
          <w:insideV w:val="none"/>
        </w:tblBorders>
        <w:tblCellMar>
          <w:top w:w="140" w:type="dxa"/>
          <w:left w:w="220" w:type="dxa"/>
          <w:bottom w:w="140" w:type="dxa"/>
          <w:right w:w="220" w:type="dxa"/>
        </w:tblCellMar>
      </w:tblPr>
      <w:tr>
        <w:tc>
          <w:tcPr>
            <w:tcW w:w="9400" w:type="dxa"/>
            <w:shd w:val="clear" w:color="auto" w:fill="EFF6FF"/>
          </w:tcPr>
          <w:p>
            <w:pPr>
              <w:spacing w:after="60"/>
            </w:pPr>
            <w:r>
              <w:rPr>
                <w:b/>
                <w:sz w:val="22"/>
                <w:color w:val="1D4ED8"/>
              </w:rPr>
              <w:t xml:space="preserve">[ВЕРСИЯ 2.0 / MASTER2] </w:t>
            </w:r>
            <w:r>
              <w:rPr>
                <w:b/>
                <w:sz w:val="22"/>
                <w:color w:val="0F172A"/>
              </w:rPr>
              <w:t>Проект ИБ-Эффект (Shalapai Security)</w:t>
            </w:r>
          </w:p>
          <w:p>
            <w:pPr>
              <w:spacing w:after="0"/>
              <w:line w:line="260" w:lineRule="auto"/>
            </w:pPr>
            <w:r>
              <w:rPr>
                <w:sz w:val="21"/>
                <w:color w:val="334155"/>
              </w:rPr>
              <w:t>Данный документ содержит исчерпывающее техническое и методическое описание системы: функциональные сценарии использования, архитектуру кодовой базы (C++20 / Qt 6 / QML), интеграцию реестров БДУ ФСТЭК России (АСУ ТП), полный математический аппарат расчета рисков и экономической эффективности инвестиций (ROSI), а также нормативную базу стандартов.</w:t>
            </w:r>
          </w:p>
        </w:tc>
      </w:tr>
    </w:tbl>
    <w:p>
      <w:pPr>
        <w:spacing w:after="120"/>
      </w:pPr>
    </w:p>
    <w:p>
      <w:pPr>
        <w:pStyle w:val="Heading1"/>
      </w:pPr>
      <w:r>
        <w:t>1. Что это за приложение и какую задачу оно решает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Программный комплекс «ИБ-Эффект» представляет собой специализированную аналитическую систему поддержки принятия решений (DSS — Decision Support System) в сфере информационной безопасности. Система решает фундаментальную задачу перевода технических показателей защищенности и требований регуляторов на язык финансовых и бизнес-метрик предприятия.</w:t>
      </w:r>
    </w:p>
    <w:p>
      <w:pPr>
        <w:pStyle w:val="Heading2"/>
      </w:pPr>
      <w:r>
        <w:t>1.1. Проблема взаимопонимания бизнеса и кибербезопасности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В современной корпоративной практике существует устойчивый коммуникационный и аналитический разрыв между службой информационной безопасности (CISO, архитекторы ИБ) и топ-менеджментом компании (Генеральный директор, CFO, совет директоров):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</w:t>
      </w:r>
      <w:r>
        <w:rPr>
          <w:rFonts w:ascii="Calibri" w:hAnsi="Calibri"/>
          <w:color w:val="1E293B"/>
        </w:rPr>
        <w:t xml:space="preserve">Подход ИБ-специалистов: Оперирует категориями соответствия (комплаенс Приказу ФСТЭК № 239, № 21, 187-ФЗ), количеством уязвимостей (CVE, BDU), векторами атак и критичностью угроз. Часто ИБ воспринимается топ-менеджментом исключительно как «центр затрат» (Cost Center), требующий многомиллионных бюджетов без очевидного финансового возврата.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</w:t>
      </w:r>
      <w:r>
        <w:rPr>
          <w:rFonts w:ascii="Calibri" w:hAnsi="Calibri"/>
          <w:color w:val="1E293B"/>
        </w:rPr>
        <w:t xml:space="preserve">Подход топ-менеджмента и CFO: Требует обоснования капитальных затрат (CAPEX) и текущих расходов (OPEX). Бизнесу необходимы ответы на прямые вопросы: «Какой конкретно финансовый ущерб мы предотвратим, потратив 15 млн руб.?», «Каков возврат на инвестиции в безопасность (ROSI)?», «Какова вероятность технологического простоя завода и какова цена каждого часа простоя?».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«ИБ-Эффект» устраняет данный разрыв, объединяя в единый аналитический конвейер нормативную базу Российской Федерации (методики ФСТЭК России, стандарты ГОСТ) и современные экономико-математические модели оценки эффективности затрат на безопасность (ROSI, TCO, Downtime Economics).</w:t>
      </w:r>
    </w:p>
    <w:p>
      <w:pPr>
        <w:pStyle w:val="Heading2"/>
      </w:pPr>
      <w:r>
        <w:t>1.2. Двойное функциональное назначение комплекса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Комплекс спроектирован по модульному принципу и объединяет два ключевых контура: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1. Нормативно-технический контур (Моделирование угроз АСУ ТП и КИИ): </w:t>
      </w:r>
      <w:r>
        <w:rPr>
          <w:rFonts w:ascii="Calibri" w:hAnsi="Calibri"/>
          <w:color w:val="1E293B"/>
        </w:rPr>
        <w:t xml:space="preserve">Полная база стандартизированных промышленных активов (ОА.001 - ОА.014), типовых сценариев компьютерных атак (C1 - C3) и угроз безопасности информации (УБИ) из Банка данных угроз АСУ ТП ФСТЭК России (bduasutp.fstec.ru). Позволяет сформировать легитимную модель угроз безопасности информации (МУБИ) в соответствии с Методикой ФСТЭК от 05.02.2021 г.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2. Финансово-актуарный контур (Оценка экономической эффективности ИБ): </w:t>
      </w:r>
      <w:r>
        <w:rPr>
          <w:rFonts w:ascii="Calibri" w:hAnsi="Calibri"/>
          <w:color w:val="1E293B"/>
        </w:rPr>
        <w:t xml:space="preserve">Математический расчет начального и остаточного рисков, предотвращенного совокупного ущерба, расчет возврата инвестиций (ROSI), периода окупаемости мер и моделирование потерь от технологического простоя производственных линий.</w:t>
      </w:r>
    </w:p>
    <w:p>
      <w:pPr>
        <w:pStyle w:val="Heading1"/>
      </w:pPr>
      <w:r>
        <w:t>2. Технологический стек и архитектура системы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Система создана в парадигме высокой производительности, кроссплатформенности и максимальной надежности при работе в изолированных контурах (On-Premises / Air-Gapped) предприятий КИИ.</w:t>
      </w:r>
    </w:p>
    <w:p>
      <w:pPr>
        <w:pStyle w:val="Heading2"/>
      </w:pPr>
      <w:r>
        <w:t>2.1. Базовые технологии</w:t>
      </w:r>
    </w:p>
    <w:tbl>
      <w:tblPr>
        <w:tblW w:w="9400" w:type="dxa"/>
        <w:tblBorders>
          <w:top w:val="single" w:sz="8" w:space="0" w:color="94A3B8"/>
          <w:left w:val="none"/>
          <w:bottom w:val="single" w:sz="10" w:space="0" w:color="475569"/>
          <w:right w:val="none"/>
          <w:insideH w:val="single" w:sz="4" w:space="0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  <w:cantSplit/>
        </w:trPr>
        <w:tc>
          <w:tcPr>
            <w:tcW w:w="2200" w:type="dxa"/>
            <w:shd w:val="clear" w:color="auto" w:fill="E2E8F0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Компонент</w:t>
            </w:r>
          </w:p>
        </w:tc>
        <w:tc>
          <w:tcPr>
            <w:tcW w:w="2600" w:type="dxa"/>
            <w:shd w:val="clear" w:color="auto" w:fill="E2E8F0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Используемая технология</w:t>
            </w:r>
          </w:p>
        </w:tc>
        <w:tc>
          <w:tcPr>
            <w:tcW w:w="4600" w:type="dxa"/>
            <w:shd w:val="clear" w:color="auto" w:fill="E2E8F0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Обоснование выбора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Ядро вычислений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C++20 (ISO/IEC 14882:2020)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Детерминированные вычисления без GC-пауз, строгая статическая типизация, высокая скорость матричных пересчетов, безопасность работы с памятью.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Графический интерфейс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Qt 6.11 (QML / Qt Quick Controls 2)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Декларативное разделение UI и бизнес-логики (MVVM), аппаратное ускорение рендеринга через Qt Scene Graph (Direct3D/OpenGL), плавные анимации дашбордов.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Система сборки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CMake 3.16+ / CTest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Индустриальный стандарт кроссплатформенной сборки, интеграция модульных тестов и генерации дистрибутивов.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Тулчейн компиляции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MinGW-w64 (GCC 13+)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Автономная сборка под 64-битные платформы Windows без привязки к проприетарным библиотекам.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Хранение данных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Структурированный JSON / SQLite / OpenXML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Отсутствие необходимости развертывания тяжелых внешних СУБД. Все справочники БДУ хранятся в оптимизированных локальных реестрах.</w:t>
            </w:r>
          </w:p>
        </w:tc>
      </w:tr>
    </w:tbl>
    <w:p>
      <w:pPr>
        <w:spacing w:after="120"/>
      </w:pPr>
    </w:p>
    <w:p>
      <w:pPr>
        <w:pStyle w:val="Heading2"/>
      </w:pPr>
      <w:r>
        <w:t>2.2. Архитектура программных модулей (C++ / QML)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Архитектура построена на паттерне Model-View-ViewModel (MVVM) с жестким разделением ответственности между слоями: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Core Engine (C++): </w:t>
      </w:r>
      <w:r>
        <w:rPr>
          <w:rFonts w:ascii="Calibri" w:hAnsi="Calibri"/>
          <w:color w:val="1E293B"/>
        </w:rPr>
        <w:t xml:space="preserve">Математическое ядро (RiskCalculator, FinancialEngine, DowntimeModel). Содержит реализацию чистых математических функций расчета рисков, предотвращенного ущерба и коэффициентов ROSI. Не имеет зависимостей от графической подсистемы.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Data Models Layer (C++ / QAbstractListModel): </w:t>
      </w:r>
      <w:r>
        <w:rPr>
          <w:rFonts w:ascii="Calibri" w:hAnsi="Calibri"/>
          <w:color w:val="1E293B"/>
        </w:rPr>
        <w:t xml:space="preserve">Классы AssetModel, ThreatModel, MeasureModel, ScenarioModel. Обеспечивают реактивную передачу коллекций в интерфейс QML, поддерживают быстрый поиск, фильтрацию по классам активов и категориям мер Приказа № 239.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BDU Service &amp; Parser (C++): </w:t>
      </w:r>
      <w:r>
        <w:rPr>
          <w:rFonts w:ascii="Calibri" w:hAnsi="Calibri"/>
          <w:color w:val="1E293B"/>
        </w:rPr>
        <w:t xml:space="preserve">Модуль загрузки и парсинга реестров угроз безопасности информации (УБИ), уязвимостей (BDU) и промышленных объектов (ОА.001 - ОА.014). Обеспечивает валидацию структуры данных и кэширование.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Presentation Layer (QML): </w:t>
      </w:r>
      <w:r>
        <w:rPr>
          <w:rFonts w:ascii="Calibri" w:hAnsi="Calibri"/>
          <w:color w:val="1E293B"/>
        </w:rPr>
        <w:t xml:space="preserve">Визуальные компоненты интерфейса: тепловая карта матрицы рисков (Heatmap), диаграмма структуры затрат, интерактивные бегунки параметров вероятности и ущерба, форма генерации отчетов.</w:t>
      </w:r>
    </w:p>
    <w:p>
      <w:pPr>
        <w:pStyle w:val="Heading1"/>
      </w:pPr>
      <w:r>
        <w:t>3. Инструкция пользователя: пошаговый регламент работы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Ниже приведен стандартный эксплуатационный регламент проведения оценки рисков и расчета окупаемости мер защиты для промышленного или корпоративного сегмента.</w:t>
      </w:r>
    </w:p>
    <w:p>
      <w:pPr>
        <w:pStyle w:val="Heading2"/>
      </w:pPr>
      <w:r>
        <w:t>Шаг 1. Формирование перечня защищаемых активов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Пользователь открывает вкладку «Реестр активов» (Asset Registry) и формирует паспорт объекта автоматизации. В систему предзагружен классификатор промышленных активов ФСТЭК России: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ОА.001: </w:t>
      </w:r>
      <w:r>
        <w:rPr>
          <w:rFonts w:ascii="Calibri" w:hAnsi="Calibri"/>
          <w:color w:val="1E293B"/>
        </w:rPr>
        <w:t xml:space="preserve">Сервер диспетчерского управления (SCADA Server) — сбор и обработка телеметрии.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ОА.002: </w:t>
      </w:r>
      <w:r>
        <w:rPr>
          <w:rFonts w:ascii="Calibri" w:hAnsi="Calibri"/>
          <w:color w:val="1E293B"/>
        </w:rPr>
        <w:t xml:space="preserve">Инженерная станция (Engineering Workstation) — разработка и загрузка технологических программ.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ОА.003: </w:t>
      </w:r>
      <w:r>
        <w:rPr>
          <w:rFonts w:ascii="Calibri" w:hAnsi="Calibri"/>
          <w:color w:val="1E293B"/>
        </w:rPr>
        <w:t xml:space="preserve">Программируемый логический контроллер (ПЛК / PLC) — непосредственное управление исполнительными механизмами.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ОА.004: </w:t>
      </w:r>
      <w:r>
        <w:rPr>
          <w:rFonts w:ascii="Calibri" w:hAnsi="Calibri"/>
          <w:color w:val="1E293B"/>
        </w:rPr>
        <w:t xml:space="preserve">Автоматизированное рабочее место оператора (HMI Client / АРМ оператора).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ОА.005: </w:t>
      </w:r>
      <w:r>
        <w:rPr>
          <w:rFonts w:ascii="Calibri" w:hAnsi="Calibri"/>
          <w:color w:val="1E293B"/>
        </w:rPr>
        <w:t xml:space="preserve">Сетевой промышленный шлюз (Industrial Gateway / IT-OT DMZ).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ОА.006–ОА.014: </w:t>
      </w:r>
      <w:r>
        <w:rPr>
          <w:rFonts w:ascii="Calibri" w:hAnsi="Calibri"/>
          <w:color w:val="1E293B"/>
        </w:rPr>
        <w:t xml:space="preserve">Устройства полевого уровня, RTU, интеллектуальные датчики, коммуникационные коммутаторы.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Для каждого добавленного актива оператор устанавливает категорию значимости / критичности A по 4-балльной шкале: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1 (Низкая / Вспомогательный): </w:t>
      </w:r>
      <w:r>
        <w:rPr>
          <w:rFonts w:ascii="Calibri" w:hAnsi="Calibri"/>
          <w:color w:val="1E293B"/>
        </w:rPr>
        <w:t xml:space="preserve">Выход из строя не влияет на выполнение базовых бизнес-функций или технологического цикла.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2 (Умеренная / Локальный): </w:t>
      </w:r>
      <w:r>
        <w:rPr>
          <w:rFonts w:ascii="Calibri" w:hAnsi="Calibri"/>
          <w:color w:val="1E293B"/>
        </w:rPr>
        <w:t xml:space="preserve">Влияет на вторичные контуры, имеются резервные схемы горячего переключения.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3 (Высокая / Критический): </w:t>
      </w:r>
      <w:r>
        <w:rPr>
          <w:rFonts w:ascii="Calibri" w:hAnsi="Calibri"/>
          <w:color w:val="1E293B"/>
        </w:rPr>
        <w:t xml:space="preserve">Отказ актива приводит к останову основного технологического передела или срыву договорных поставок.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4 (Критическая / Ключевой объект КИИ): </w:t>
      </w:r>
      <w:r>
        <w:rPr>
          <w:rFonts w:ascii="Calibri" w:hAnsi="Calibri"/>
          <w:color w:val="1E293B"/>
        </w:rPr>
        <w:t xml:space="preserve">Отказ влечет угрозу безопасности жизни и здоровью персонала, экологическую аварию или останов всего предприятия.</w:t>
      </w:r>
    </w:p>
    <w:p>
      <w:pPr>
        <w:pStyle w:val="Heading2"/>
      </w:pPr>
      <w:r>
        <w:t>Шаг 2. Идентификация актуальных угроз и сценариев атак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Во вкладке «Моделирование угроз» оператор сопоставляет активам актуальные угрозы безопасности информации. Пользователь может выбрать преднастроенные сценарии атак согласно базе АСУ ТП ФСТЭК России: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Сценарий C1 (Проникновение через IT/OT периметр): </w:t>
      </w:r>
      <w:r>
        <w:rPr>
          <w:rFonts w:ascii="Calibri" w:hAnsi="Calibri"/>
          <w:color w:val="1E293B"/>
        </w:rPr>
        <w:t xml:space="preserve">Атака через корпоративную сеть или удаленный доступ подрядчиков с последующим поперечным перемещением (Lateral Movement) в технологический сегмент.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Сценарий C2 (Деструктивное воздействие на ПЛК): </w:t>
      </w:r>
      <w:r>
        <w:rPr>
          <w:rFonts w:ascii="Calibri" w:hAnsi="Calibri"/>
          <w:color w:val="1E293B"/>
        </w:rPr>
        <w:t xml:space="preserve">Прямая модификация микрокода, управляющей логики или проектных файлов ПЛК (ОА.003) в обход авторизации.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Сценарий C3 (Отказ в обслуживании технологического процесса / DoS): </w:t>
      </w:r>
      <w:r>
        <w:rPr>
          <w:rFonts w:ascii="Calibri" w:hAnsi="Calibri"/>
          <w:color w:val="1E293B"/>
        </w:rPr>
        <w:t xml:space="preserve">Шторм широковещательных пакетов по протоколам Modbus TCP / Profinet, приводящий к потере связи со станциями управления.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Для каждой привязанной угрозы задаются базовые экспертные параметры: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Исходная вероятность реализации P (1..4): </w:t>
      </w:r>
      <w:r>
        <w:rPr>
          <w:rFonts w:ascii="Calibri" w:hAnsi="Calibri"/>
          <w:color w:val="1E293B"/>
        </w:rPr>
        <w:t xml:space="preserve">1 — Низкая (требует высокой квалификации и редких 0-day уязвимостей), 2 — Средняя, 3 — Высокая (имеются публичные эксплойты), 4 — Критическая (активная эксплуатация).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Потенциальный ущерб I (1..4): </w:t>
      </w:r>
      <w:r>
        <w:rPr>
          <w:rFonts w:ascii="Calibri" w:hAnsi="Calibri"/>
          <w:color w:val="1E293B"/>
        </w:rPr>
        <w:t xml:space="preserve">1 — Незначительный, 2 — Умеренный, 3 — Тяжелый, 4 — Катастрофический.</w:t>
      </w:r>
    </w:p>
    <w:p>
      <w:pPr>
        <w:pStyle w:val="Heading2"/>
      </w:pPr>
      <w:r>
        <w:t>Шаг 3. Выбор компенсирующих мер защиты (Приказ ФСТЭК № 239)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Оператор переходит к блоку «Меры противодействия». Система предлагает набор мер из каталога Приказа № 239: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ИАФ (Идентификация и аутентификация): </w:t>
      </w:r>
      <w:r>
        <w:rPr>
          <w:rFonts w:ascii="Calibri" w:hAnsi="Calibri"/>
          <w:color w:val="1E293B"/>
        </w:rPr>
        <w:t xml:space="preserve">Многофакторная аутентификация инженеров, разграничение сессий операторов.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ЗИС (Защита информации в сетях): </w:t>
      </w:r>
      <w:r>
        <w:rPr>
          <w:rFonts w:ascii="Calibri" w:hAnsi="Calibri"/>
          <w:color w:val="1E293B"/>
        </w:rPr>
        <w:t xml:space="preserve">Микросегментация сетей АСУ ТП, межсетевые экраны промышленного уровня (NGFW/Industrial FW) с глубоким анализом промышленных протоколов (DPI Modbus/DNP3).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АВД (Антивирусная защита): </w:t>
      </w:r>
      <w:r>
        <w:rPr>
          <w:rFonts w:ascii="Calibri" w:hAnsi="Calibri"/>
          <w:color w:val="1E293B"/>
        </w:rPr>
        <w:t xml:space="preserve">Специализированные агенты для промышленных АРМ и серверов SCADA с контролем белых списков приложений (Application Whitelisting).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ОДР (Обнаружение деструктивных воздействий): </w:t>
      </w:r>
      <w:r>
        <w:rPr>
          <w:rFonts w:ascii="Calibri" w:hAnsi="Calibri"/>
          <w:color w:val="1E293B"/>
        </w:rPr>
        <w:t xml:space="preserve">Системы мониторинга технологических аномалий и сенсоры сетевой телеметрии (NTA/IDS для АСУ ТП).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Для каждой меры указываются: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Эффективность снижения вероятности dP (%): </w:t>
      </w:r>
      <w:r>
        <w:rPr>
          <w:rFonts w:ascii="Calibri" w:hAnsi="Calibri"/>
          <w:color w:val="1E293B"/>
        </w:rPr>
        <w:t xml:space="preserve">На сколько процентов мера снижает вероятность успешной атаки.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Эффективность снижения ущерба dI (%): </w:t>
      </w:r>
      <w:r>
        <w:rPr>
          <w:rFonts w:ascii="Calibri" w:hAnsi="Calibri"/>
          <w:color w:val="1E293B"/>
        </w:rPr>
        <w:t xml:space="preserve">На сколько процентов мера локализует масштаб последствий инцидента.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Финансовые затраты: </w:t>
      </w:r>
      <w:r>
        <w:rPr>
          <w:rFonts w:ascii="Calibri" w:hAnsi="Calibri"/>
          <w:color w:val="1E293B"/>
        </w:rPr>
        <w:t xml:space="preserve">Капитальные затраты на внедрение (CAPEX) и ежегодное сопровождение/лицензии (OPEX).</w:t>
      </w:r>
    </w:p>
    <w:p>
      <w:pPr>
        <w:pStyle w:val="Heading2"/>
      </w:pPr>
      <w:r>
        <w:t>Шаг 4. Анализ тепловой карты рисков (Risk Heatmap)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Система мгновенно рассчитывает матрицу рисков по шкале от 1 до 64. На тепловой карте отображаются две позиции для каждой угрозы: исходный риск (красные маркеры) и остаточный риск после внедрения выбранных мер (зеленые маркеры). Горизонтальная пунктирная линия обозначает границу толерантности к риску (Risk Appetite).</w:t>
      </w:r>
    </w:p>
    <w:p>
      <w:pPr>
        <w:pStyle w:val="Heading2"/>
      </w:pPr>
      <w:r>
        <w:t>Шаг 5. Анализ окупаемости и финансового дашборда (ROSI Dashboard)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Оператор переходит на панель «Финансовый анализ». Здесь представлены интегральные показатели: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Совокупная стоимость мер (TCO): </w:t>
      </w:r>
      <w:r>
        <w:rPr>
          <w:rFonts w:ascii="Calibri" w:hAnsi="Calibri"/>
          <w:color w:val="1E293B"/>
        </w:rPr>
        <w:t xml:space="preserve">Сумма капитальных и операционных расходов за заданный горизонт планирования (например, 3 года).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Предотвращенный ущерб (Avoided Loss): </w:t>
      </w:r>
      <w:r>
        <w:rPr>
          <w:rFonts w:ascii="Calibri" w:hAnsi="Calibri"/>
          <w:color w:val="1E293B"/>
        </w:rPr>
        <w:t xml:space="preserve">Разница между совокупными потенциальными потерями до внедрения мер и после их реализации.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Потери от технологического простоя (Downtime Economics): </w:t>
      </w:r>
      <w:r>
        <w:rPr>
          <w:rFonts w:ascii="Calibri" w:hAnsi="Calibri"/>
          <w:color w:val="1E293B"/>
        </w:rPr>
        <w:t xml:space="preserve">Финансовый ущерб от остановки технологического цикла, рассчитанный с учетом среднего времени восстановления (MTTR).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Коэффициент ROSI (%) и Multiplier (x): </w:t>
      </w:r>
      <w:r>
        <w:rPr>
          <w:rFonts w:ascii="Calibri" w:hAnsi="Calibri"/>
          <w:color w:val="1E293B"/>
        </w:rPr>
        <w:t xml:space="preserve">Итоговые коэффициенты эффективности вложений в кибербезопасность.</w:t>
      </w:r>
    </w:p>
    <w:p>
      <w:pPr>
        <w:pStyle w:val="Heading1"/>
      </w:pPr>
      <w:r>
        <w:t>4. Математический аппарат и алгоритмы расчетов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Математическая модель программного комплекса «ИБ-Эффект» базируется на синтезе вероятностно-матричных методов оценки рисков (ГОСТ Р ИСО/МЭК 27005-2010, ГОСТ Р 57580.3-2022) и классической модели анализа возврата инвестиций в ИБ (Gordon-Loeb Model, Sonnenreich ROSI Model).</w:t>
      </w:r>
    </w:p>
    <w:p>
      <w:pPr>
        <w:pStyle w:val="Heading2"/>
      </w:pPr>
      <w:r>
        <w:t>4.1. Оценка начального риска (Initial Risk)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Интегральный уровень начального риска для пары «угроза — актив» рассчитывается как произведение трех нормированных целочисленных факторов:</w:t>
      </w: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Risk_init = I * P * A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где I in [1..4] — тяжесть последствий (Impact), P in [1..4] — вероятность реализации (Probability), A in [1..4] — критичность актива (Asset Criticality).</w:t>
            </w:r>
          </w:p>
        </w:tc>
      </w:tr>
    </w:tbl>
    <w:p>
      <w:pPr>
        <w:spacing w:after="120"/>
      </w:pP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Итоговое значение риска принимает целочисленные значения в диапазоне от 1 до 64. В системе принята следующая классификация уровней риска:</w:t>
      </w:r>
    </w:p>
    <w:tbl>
      <w:tblPr>
        <w:tblW w:w="9400" w:type="dxa"/>
        <w:tblBorders>
          <w:top w:val="single" w:sz="8" w:space="0" w:color="94A3B8"/>
          <w:left w:val="none"/>
          <w:bottom w:val="single" w:sz="10" w:space="0" w:color="475569"/>
          <w:right w:val="none"/>
          <w:insideH w:val="single" w:sz="4" w:space="0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  <w:cantSplit/>
        </w:trPr>
        <w:tc>
          <w:tcPr>
            <w:tcW w:w="1800" w:type="dxa"/>
            <w:shd w:val="clear" w:color="auto" w:fill="E2E8F0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Диапазон Risk</w:t>
            </w:r>
          </w:p>
        </w:tc>
        <w:tc>
          <w:tcPr>
            <w:tcW w:w="2200" w:type="dxa"/>
            <w:shd w:val="clear" w:color="auto" w:fill="E2E8F0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Категория риска</w:t>
            </w:r>
          </w:p>
        </w:tc>
        <w:tc>
          <w:tcPr>
            <w:tcW w:w="2000" w:type="dxa"/>
            <w:shd w:val="clear" w:color="auto" w:fill="E2E8F0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Цветовая индикация</w:t>
            </w:r>
          </w:p>
        </w:tc>
        <w:tc>
          <w:tcPr>
            <w:tcW w:w="3400" w:type="dxa"/>
            <w:shd w:val="clear" w:color="auto" w:fill="E2E8F0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Рекомендуемое управленческое действие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1 .. 8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Низкий (Low)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Зеленый (#10B981)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Риск приемлем. Достаточно периодического регламентного мониторинга.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9 .. 24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Умеренный (Medium)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Желтый (#F59E0B)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Риск допустим при наличии компенсирующих организационных мер.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25 .. 44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Высокий (High)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Оранжевый (#F97316)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Требуется обязательное внедрение технических мер защиты.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45 .. 64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Критический (Critical)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Красный (#EF4444)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20"/>
                <w:color w:val="1E293B"/>
              </w:rPr>
              <w:t>Недопустимый риск. Требуется немедленная изоляция сегмента или экстренное внедрение СЗИ.</w:t>
            </w:r>
          </w:p>
        </w:tc>
      </w:tr>
    </w:tbl>
    <w:p>
      <w:pPr>
        <w:spacing w:after="120"/>
      </w:pPr>
    </w:p>
    <w:p>
      <w:pPr>
        <w:pStyle w:val="Heading2"/>
      </w:pPr>
      <w:r>
        <w:t>4.2. Модель комбинированного снижения риска комплексом мер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При внедрении нескольких компенсирующих мер (например, сетевое экранирование + антивирусный контроль) их совместная эффективность не суммируется линейно, так как линейное сложение привело бы к абсурдному значению свыше 100%. В комплексе «ИБ-Эффект» реализована вероятностная модель независимого снижения (закон затухающей предельной полезности):</w:t>
      </w: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dI_total = 1 - PRODUCT(1 - delta_I_k),   dP_total = 1 - PRODUCT(1 - delta_P_k)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где delta_I_k in [0, 1) — локальная эффективность k-й меры по снижению ущерба, delta_P_k in [0, 1) — локальная эффективность k-й меры по снижению вероятности.</w:t>
            </w:r>
          </w:p>
        </w:tc>
      </w:tr>
    </w:tbl>
    <w:p>
      <w:pPr>
        <w:spacing w:after="120"/>
      </w:pP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Данная формула гарантирует, что каждая последующая мера защищает от той доли риска, которая осталась не перекрыта предыдущими мерами, а суммарная эффективность строго принадлежит интервалу [0, 1).</w:t>
      </w:r>
    </w:p>
    <w:p>
      <w:pPr>
        <w:pStyle w:val="Heading2"/>
      </w:pPr>
      <w:r>
        <w:t>4.3. Оценка остаточного риска (Residual Risk)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Остаточный риск после внедрения комплекса компенсирующих мер рассчитывается по формуле:</w:t>
      </w: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Risk_res = CEIL[ I * (1 - dI_total) * P * (1 - dP_total) * A ]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Функция CEIL (округление вверх до целого) обеспечивает консервативный (осторожный) подход в оценке безопасности, принятый в ГОСТ Р ИСО/МЭК 27005.</w:t>
            </w:r>
          </w:p>
        </w:tc>
      </w:tr>
    </w:tbl>
    <w:p>
      <w:pPr>
        <w:spacing w:after="120"/>
      </w:pPr>
    </w:p>
    <w:p>
      <w:pPr>
        <w:pStyle w:val="Heading2"/>
      </w:pPr>
      <w:r>
        <w:t>4.4. Модель финансового ущерба (Financial Loss Modeling)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Для перехода от баллов риска к рублям вводится коэффициент удельной стоимости балла риска (Cost per Risk Point — C_rp), определяемый финансовой службой предприятия исходя из годового оборота или объема защищаемых основных средств:</w:t>
      </w: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Loss_init = SUM(Risk_init_i * C_rp),   Loss_res = SUM(Risk_res_i * C_rp)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Совокупный предотвращенный финансовый ущерб (Avoided Loss / Risk Mitigation Value): Delta_Loss = Loss_init - Loss_res.</w:t>
            </w:r>
          </w:p>
        </w:tc>
      </w:tr>
    </w:tbl>
    <w:p>
      <w:pPr>
        <w:spacing w:after="120"/>
      </w:pPr>
    </w:p>
    <w:p>
      <w:pPr>
        <w:pStyle w:val="Heading2"/>
      </w:pPr>
      <w:r>
        <w:t>4.5. Модель технологического простоя для АСУ ТП (Downtime Economics)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Для промышленных предприятий ключевой составляющей ущерба от кибератак является непредвиденный останов непрерывного производственного цикла (невыпуск продукции, порча сырья в аппаратах, штрафы за срыв поставок электроэнергии/газа). Модуль Downtime Economics рассчитывает данный ущерб:</w:t>
      </w: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Loss_downtime = C_hour * MTTR * P_incident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где C_hour — прямые финансовые потери от 1 часа простоя технологической линии, MTTR — среднее время восстановления работоспособности (Mean Time To Recovery, часы), P_incident — нормированная вероятность аварийного останова.</w:t>
            </w:r>
          </w:p>
        </w:tc>
      </w:tr>
    </w:tbl>
    <w:p>
      <w:pPr>
        <w:spacing w:after="120"/>
      </w:pPr>
    </w:p>
    <w:p>
      <w:pPr>
        <w:pStyle w:val="Heading2"/>
      </w:pPr>
      <w:r>
        <w:t>4.6. Совокупная стоимость владения мерами защиты (TCO)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Совокупные затраты на внедрение и эксплуатацию мер защиты информации за расчетный период T (лет) определяются как:</w:t>
      </w: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TCO = SUM(CAPEX_j) + SUM(OPEX_j * T)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где CAPEX — капитальные затраты на приобретение оборудования, ПО и пусконаладку, OPEX — ежегодные затраты на техническую поддержку, подписку на обновления сигнатур и ФОТ специалистов.</w:t>
            </w:r>
          </w:p>
        </w:tc>
      </w:tr>
    </w:tbl>
    <w:p>
      <w:pPr>
        <w:spacing w:after="120"/>
      </w:pPr>
    </w:p>
    <w:p>
      <w:pPr>
        <w:pStyle w:val="Heading2"/>
      </w:pPr>
      <w:r>
        <w:t>4.7. Расчет показателей возврата инвестиций (ROSI и Net Benefit)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Экономическая эффективность проекта обеспечения информационной безопасности формализуется двумя фундаментальными метриками:</w:t>
      </w: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Net Benefit = Delta_Loss - TCO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Чистый финансовый эффект от проекта (предотвращенный убыток за вычетом затрат на СЗИ).</w:t>
            </w:r>
          </w:p>
        </w:tc>
      </w:tr>
    </w:tbl>
    <w:p>
      <w:pPr>
        <w:spacing w:after="120"/>
      </w:pP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ROSI = [ (Delta_Loss - TCO) / TCO ] * 100%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Return on Security Investment — относительный коэффициент окупаемости инвестиций в безопасность в процентах.</w:t>
            </w:r>
          </w:p>
        </w:tc>
      </w:tr>
    </w:tbl>
    <w:p>
      <w:pPr>
        <w:spacing w:after="120"/>
      </w:pPr>
    </w:p>
    <w:tbl>
      <w:tblPr>
        <w:tblW w:w="9400" w:type="dxa"/>
        <w:tblBorders>
          <w:top w:val="single" w:sz="6" w:space="0" w:color="CBD5E1"/>
          <w:left w:val="single" w:sz="20" w:space="0" w:color="0284C7"/>
          <w:bottom w:val="single" w:sz="6" w:space="0" w:color="CBD5E1"/>
          <w:right w:val="single" w:sz="6" w:space="0" w:color="CBD5E1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400" w:type="dxa"/>
            <w:shd w:val="clear" w:color="auto" w:fill="F1F5F9"/>
          </w:tcPr>
          <w:p>
            <w:pPr>
              <w:jc w:val="center"/>
              <w:spacing w:after="80"/>
            </w:pPr>
            <w:r>
              <w:rPr>
                <w:rFonts w:ascii="Consolas" w:hAnsi="Consolas"/>
                <w:b/>
                <w:sz w:val="24"/>
                <w:color w:val="0F172A"/>
              </w:rPr>
              <w:t>ROI Multiplier = Delta_Loss / TCO</w:t>
            </w:r>
          </w:p>
          <w:p>
            <w:pPr>
              <w:spacing w:after="0"/>
            </w:pPr>
            <w:r>
              <w:rPr>
                <w:i/>
                <w:sz w:val="20"/>
                <w:color w:val="475569"/>
              </w:rPr>
              <w:t>Мультипликатор возврата: показывает, сколько рублей потенциального ущерба предотвращает каждый вложенный в защиту рубль.</w:t>
            </w:r>
          </w:p>
        </w:tc>
      </w:tr>
    </w:tbl>
    <w:p>
      <w:pPr>
        <w:spacing w:after="120"/>
      </w:pPr>
    </w:p>
    <w:tbl>
      <w:tblPr>
        <w:tblW w:w="9400" w:type="dxa"/>
        <w:tblBorders>
          <w:top w:val="none"/>
          <w:left w:val="single" w:sz="24" w:space="0" w:color="0284C7"/>
          <w:bottom w:val="none"/>
          <w:right w:val="none"/>
          <w:insideH w:val="none"/>
          <w:insideV w:val="none"/>
        </w:tblBorders>
        <w:tblCellMar>
          <w:top w:w="140" w:type="dxa"/>
          <w:left w:w="220" w:type="dxa"/>
          <w:bottom w:w="140" w:type="dxa"/>
          <w:right w:w="220" w:type="dxa"/>
        </w:tblCellMar>
      </w:tblPr>
      <w:tr>
        <w:tc>
          <w:tcPr>
            <w:tcW w:w="9400" w:type="dxa"/>
            <w:shd w:val="clear" w:color="auto" w:fill="F0F9FF"/>
          </w:tcPr>
          <w:p>
            <w:pPr>
              <w:spacing w:after="60"/>
            </w:pPr>
            <w:r>
              <w:rPr>
                <w:b/>
                <w:sz w:val="22"/>
                <w:color w:val="0284C7"/>
              </w:rPr>
              <w:t xml:space="preserve">[ЭКОНОМИЧЕСКИЙ КРИТЕРИЙ ЭФФЕКТИВНОСТИ] </w:t>
            </w:r>
            <w:r>
              <w:rPr>
                <w:b/>
                <w:sz w:val="22"/>
                <w:color w:val="0F172A"/>
              </w:rPr>
              <w:t>Правило принятия решений по безопасности</w:t>
            </w:r>
          </w:p>
          <w:p>
            <w:pPr>
              <w:spacing w:after="0"/>
              <w:line w:line="260" w:lineRule="auto"/>
            </w:pPr>
            <w:r>
              <w:rPr>
                <w:sz w:val="21"/>
                <w:color w:val="334155"/>
              </w:rPr>
              <w:t>Если ROSI &gt; 0% (или ROI Multiplier &gt; 1.0x), внедрение мер защиты экономически оправдано: предотвращенный ущерб превышает затраты на систему безопасности. При ROSI &lt; 0% проект является финансово избыточным, и рекомендуется пересмотреть состав мер в сторону более оптимальных по стоимости решений.</w:t>
            </w:r>
          </w:p>
        </w:tc>
      </w:tr>
    </w:tbl>
    <w:p>
      <w:pPr>
        <w:spacing w:after="120"/>
      </w:pPr>
    </w:p>
    <w:p>
      <w:pPr>
        <w:pStyle w:val="Heading1"/>
      </w:pPr>
      <w:r>
        <w:t>5. Сквозной практический пример расчета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Рассмотрим типичный промышленный сценарий для компрессорной станции магистрального газопровода.</w:t>
      </w:r>
    </w:p>
    <w:p>
      <w:pPr>
        <w:pStyle w:val="Heading2"/>
      </w:pPr>
      <w:r>
        <w:t>5.1. Исходные данные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Защищаемый актив: </w:t>
      </w:r>
      <w:r>
        <w:rPr>
          <w:rFonts w:ascii="Calibri" w:hAnsi="Calibri"/>
          <w:color w:val="1E293B"/>
        </w:rPr>
        <w:t xml:space="preserve">Программируемый логический контроллер компрессора (ОА.003). Критичность A = 4 (ключевой объект КИИ).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Актуальная угроза: </w:t>
      </w:r>
      <w:r>
        <w:rPr>
          <w:rFonts w:ascii="Calibri" w:hAnsi="Calibri"/>
          <w:color w:val="1E293B"/>
        </w:rPr>
        <w:t xml:space="preserve">УБИ.012 — Несанкционированная модификация управляющей программы и параметров технологического режима.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Исходные параметры: </w:t>
      </w:r>
      <w:r>
        <w:rPr>
          <w:rFonts w:ascii="Calibri" w:hAnsi="Calibri"/>
          <w:color w:val="1E293B"/>
        </w:rPr>
        <w:t xml:space="preserve">Вероятность P = 3 (высокая, есть удаленный канал телеметрии), Ущерб I = 4 (катастрофический, авария компрессора).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Финансовые параметры: </w:t>
      </w:r>
      <w:r>
        <w:rPr>
          <w:rFonts w:ascii="Calibri" w:hAnsi="Calibri"/>
          <w:color w:val="1E293B"/>
        </w:rPr>
        <w:t xml:space="preserve">Стоимость балла риска C_rp = 150 000 руб. Ущерб от 1 часа простоя C_hour = 800 000 руб. Время восстановления MTTR = 12 часов.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Расчет начального риска и базового ущерба: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Начальный риск: </w:t>
      </w:r>
      <w:r>
        <w:rPr>
          <w:rFonts w:ascii="Calibri" w:hAnsi="Calibri"/>
          <w:color w:val="1E293B"/>
        </w:rPr>
        <w:t xml:space="preserve">Risk_init = 4 (I) * 3 (P) * 4 (A) = 48 (Критический уровень риска, красная зона).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Прямой ущерб: </w:t>
      </w:r>
      <w:r>
        <w:rPr>
          <w:rFonts w:ascii="Calibri" w:hAnsi="Calibri"/>
          <w:color w:val="1E293B"/>
        </w:rPr>
        <w:t xml:space="preserve">Loss_direct = 48 * 150 000 руб. = 7 200 000 руб.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Ущерб от простоя: </w:t>
      </w:r>
      <w:r>
        <w:rPr>
          <w:rFonts w:ascii="Calibri" w:hAnsi="Calibri"/>
          <w:color w:val="1E293B"/>
        </w:rPr>
        <w:t xml:space="preserve">Loss_downtime = 800 000 руб. * 12 ч = 9 600 000 руб.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Совокупный потенциальный ущерб: </w:t>
      </w:r>
      <w:r>
        <w:rPr>
          <w:rFonts w:ascii="Calibri" w:hAnsi="Calibri"/>
          <w:color w:val="1E293B"/>
        </w:rPr>
        <w:t xml:space="preserve">Loss_init = 7 200 000 + 9 600 000 = 16 800 000 руб.</w:t>
      </w:r>
    </w:p>
    <w:p>
      <w:pPr>
        <w:pStyle w:val="Heading2"/>
      </w:pPr>
      <w:r>
        <w:t>5.2. Формирование комплекса мер защиты (Приказ № 239)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Для нейтрализации угрозы выбраны две компенсирующие меры: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1. Мера ЗИС.3 (Промышленный межсетевой экран с DPI): </w:t>
      </w:r>
      <w:r>
        <w:rPr>
          <w:rFonts w:ascii="Calibri" w:hAnsi="Calibri"/>
          <w:color w:val="1E293B"/>
        </w:rPr>
        <w:t xml:space="preserve">Снижение вероятности dP_1 = 65%, снижение ущерба dI_1 = 20%. Стоимость: CAPEX = 1 800 000 руб., OPEX = 200 000 руб./год.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2. Мера ИАФ.1 (Двухфакторная криптографическая аутентификация): </w:t>
      </w:r>
      <w:r>
        <w:rPr>
          <w:rFonts w:ascii="Calibri" w:hAnsi="Calibri"/>
          <w:color w:val="1E293B"/>
        </w:rPr>
        <w:t xml:space="preserve">Снижение вероятности dP_2 = 50%, снижение ущерба dI_2 = 10%. Стоимость: CAPEX = 600 000 руб., OPEX = 100 000 руб./год.</w:t>
      </w:r>
    </w:p>
    <w:p>
      <w:pPr>
        <w:pStyle w:val="Heading2"/>
      </w:pPr>
      <w:r>
        <w:t>5.3. Пошаговый пересчет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Шаг 1. Расчет комбинированного снижения вероятности и ущерба: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dP_total: </w:t>
      </w:r>
      <w:r>
        <w:rPr>
          <w:rFonts w:ascii="Calibri" w:hAnsi="Calibri"/>
          <w:color w:val="1E293B"/>
        </w:rPr>
        <w:t xml:space="preserve">= 1 - (1 - 0.65) * (1 - 0.50) = 1 - 0.35 * 0.50 = 1 - 0.175 = 0.825 (82.5% снижения вероятности).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dI_total: </w:t>
      </w:r>
      <w:r>
        <w:rPr>
          <w:rFonts w:ascii="Calibri" w:hAnsi="Calibri"/>
          <w:color w:val="1E293B"/>
        </w:rPr>
        <w:t xml:space="preserve">= 1 - (1 - 0.20) * (1 - 0.10) = 1 - 0.80 * 0.90 = 1 - 0.72 = 0.28 (28.0% снижения ущерба).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Шаг 2. Расчет остаточного риска: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I_res: </w:t>
      </w:r>
      <w:r>
        <w:rPr>
          <w:rFonts w:ascii="Calibri" w:hAnsi="Calibri"/>
          <w:color w:val="1E293B"/>
        </w:rPr>
        <w:t xml:space="preserve">= 4 * (1 - 0.28) = 2.88.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P_res: </w:t>
      </w:r>
      <w:r>
        <w:rPr>
          <w:rFonts w:ascii="Calibri" w:hAnsi="Calibri"/>
          <w:color w:val="1E293B"/>
        </w:rPr>
        <w:t xml:space="preserve">= 3 * (1 - 0.825) = 0.525.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Risk_res: </w:t>
      </w:r>
      <w:r>
        <w:rPr>
          <w:rFonts w:ascii="Calibri" w:hAnsi="Calibri"/>
          <w:color w:val="1E293B"/>
        </w:rPr>
        <w:t xml:space="preserve">= CEIL[ 2.88 * 0.525 * 4 ] = CEIL[ 6.048 ] = 7 (Низкий уровень риска, зеленая зона).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Риск снизился с 48 (Критический) до 7 (Низкий), то есть на 85.4%.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Шаг 3. Финансовый расчет (на горизонте 3 года, T = 3):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Остаточный ущерб (Loss_res): </w:t>
      </w:r>
      <w:r>
        <w:rPr>
          <w:rFonts w:ascii="Calibri" w:hAnsi="Calibri"/>
          <w:color w:val="1E293B"/>
        </w:rPr>
        <w:t xml:space="preserve">7 * 150 000 руб. + 0.175 * 9 600 000 руб. = 1 050 000 + 1 680 000 = 2 730 000 руб.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Предотвращенный ущерб (Delta_Loss): </w:t>
      </w:r>
      <w:r>
        <w:rPr>
          <w:rFonts w:ascii="Calibri" w:hAnsi="Calibri"/>
          <w:color w:val="1E293B"/>
        </w:rPr>
        <w:t xml:space="preserve">16 800 000 - 2 730 000 = 14 070 000 руб.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Затраты TCO (за 3 года): </w:t>
      </w:r>
      <w:r>
        <w:rPr>
          <w:rFonts w:ascii="Calibri" w:hAnsi="Calibri"/>
          <w:color w:val="1E293B"/>
        </w:rPr>
        <w:t xml:space="preserve">(1 800 000 + 600 000) + (200 000 + 100 000) * 3 = 2 400 000 + 900 000 = 3 300 000 руб.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Чистая выгода (Net Benefit): </w:t>
      </w:r>
      <w:r>
        <w:rPr>
          <w:rFonts w:ascii="Calibri" w:hAnsi="Calibri"/>
          <w:color w:val="1E293B"/>
        </w:rPr>
        <w:t xml:space="preserve">14 070 000 - 3 300 000 = 10 770 000 руб.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Возврат инвестиций ROSI: </w:t>
      </w:r>
      <w:r>
        <w:rPr>
          <w:rFonts w:ascii="Calibri" w:hAnsi="Calibri"/>
          <w:color w:val="1E293B"/>
        </w:rPr>
        <w:t xml:space="preserve">[ (14 070 000 - 3 300 000) / 3 300 000 ] * 100% = +326.36%.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Мультипликатор возврата: </w:t>
      </w:r>
      <w:r>
        <w:rPr>
          <w:rFonts w:ascii="Calibri" w:hAnsi="Calibri"/>
          <w:color w:val="1E293B"/>
        </w:rPr>
        <w:t xml:space="preserve">14 070 000 / 3 300 000 = 4.26x (каждый вложенный рубль предотвращает 4 рубля 26 копеек ущерба).</w:t>
      </w:r>
    </w:p>
    <w:p>
      <w:pPr>
        <w:pStyle w:val="Heading1"/>
      </w:pPr>
      <w:r>
        <w:t>6. Нормативная база, стандарты и литература для команды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Для углубленного изучения предметной области всем членам проектной команды (разработчикам, тестировщикам, аналитикам) рекомендуется ознакомиться со следующими источниками.</w:t>
      </w:r>
    </w:p>
    <w:p>
      <w:pPr>
        <w:pStyle w:val="Heading2"/>
      </w:pPr>
      <w:r>
        <w:t>6.1. Российская нормативно-правовая база и стандарты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1. Методика оценки угроз безопасности информации (утв. ФСТЭК России 05.02.2021 г.): </w:t>
      </w:r>
      <w:r>
        <w:rPr>
          <w:rFonts w:ascii="Calibri" w:hAnsi="Calibri"/>
          <w:color w:val="1E293B"/>
        </w:rPr>
        <w:t xml:space="preserve">Базовый нормативный документ РФ, регламентирующий порядок идентификации источников угроз, оценку возможностей нарушителей (базовый, средний, высокий потенциал) и оценку последствий.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2. Приказ ФСТЭК России от 25.12.2017 № 239: </w:t>
      </w:r>
      <w:r>
        <w:rPr>
          <w:rFonts w:ascii="Calibri" w:hAnsi="Calibri"/>
          <w:color w:val="1E293B"/>
        </w:rPr>
        <w:t xml:space="preserve">«Об утверждении Требований по обеспечению безопасности значимых объектов критической информационной инфраструктуры Российской Федерации». Содержит официальный каталог организационных и технических мер защиты.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3. ГОСТ Р ИСО/МЭК 27005-2010: </w:t>
      </w:r>
      <w:r>
        <w:rPr>
          <w:rFonts w:ascii="Calibri" w:hAnsi="Calibri"/>
          <w:color w:val="1E293B"/>
        </w:rPr>
        <w:t xml:space="preserve">«Информационная технология. Методы и средства обеспечения безопасности. Менеджмент риска информационной безопасности». Фундамент матричной классификации рисков и остаточных рисков.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4. ГОСТ Р 57580.3-2022: </w:t>
      </w:r>
      <w:r>
        <w:rPr>
          <w:rFonts w:ascii="Calibri" w:hAnsi="Calibri"/>
          <w:color w:val="1E293B"/>
        </w:rPr>
        <w:t xml:space="preserve">«Безопасность финансовых (банковских) операций. Управление рисками реализации информационных угроз». Передовой национальный стандарт в части операционной надежности и финансовой оценки последствий инцидентов.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5. ГОСТ Р 59339-2021: </w:t>
      </w:r>
      <w:r>
        <w:rPr>
          <w:rFonts w:ascii="Calibri" w:hAnsi="Calibri"/>
          <w:color w:val="1E293B"/>
        </w:rPr>
        <w:t xml:space="preserve">«Обеспечение безопасности информации в системах управления технологическими процессами». Стандарт, ориентированный на кибербезопасность АСУ ТП, защиту ПЛК и SCADA.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6. Банк данных угроз АСУ ТП ФСТЭК России (bduasutp.fstec.ru): </w:t>
      </w:r>
      <w:r>
        <w:rPr>
          <w:rFonts w:ascii="Calibri" w:hAnsi="Calibri"/>
          <w:color w:val="1E293B"/>
        </w:rPr>
        <w:t xml:space="preserve">Официальный специализированный репозиторий угроз, уязвимостей и промышленных объектов воздействия.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7. ГОСТ 19.505-79 и ГОСТ 7.32-2017: </w:t>
      </w:r>
      <w:r>
        <w:rPr>
          <w:rFonts w:ascii="Calibri" w:hAnsi="Calibri"/>
          <w:color w:val="1E293B"/>
        </w:rPr>
        <w:t xml:space="preserve">Стандарты ЕСПД на оформление эксплуатационной и аналитической документации.</w:t>
      </w:r>
    </w:p>
    <w:p>
      <w:pPr>
        <w:pStyle w:val="Heading2"/>
      </w:pPr>
      <w:r>
        <w:t>6.2. Международные источники и классическая экономика ИБ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1. Gordon, L. A., &amp; Loeb, M. P. (2002): </w:t>
      </w:r>
      <w:r>
        <w:rPr>
          <w:rFonts w:ascii="Calibri" w:hAnsi="Calibri"/>
          <w:color w:val="1E293B"/>
        </w:rPr>
        <w:t xml:space="preserve">«The Economics of Information Security Investment» (ACM Transactions on Information and System Security). Фундаментальная академическая работа о предельной полезности затрат на ИБ (правило 1/e ~ 37% от ущерба).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2. Sonnenreich, W., Albanese, J., &amp; Stout, B. (SANS Institute, 2006): </w:t>
      </w:r>
      <w:r>
        <w:rPr>
          <w:rFonts w:ascii="Calibri" w:hAnsi="Calibri"/>
          <w:color w:val="1E293B"/>
        </w:rPr>
        <w:t xml:space="preserve">«Return on Information Security Investment (ROSI) - A Practical Guide». Классическая практическая методика количественной оценки ROSI.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3. NIST Special Publication 800-30 Rev. 1: </w:t>
      </w:r>
      <w:r>
        <w:rPr>
          <w:rFonts w:ascii="Calibri" w:hAnsi="Calibri"/>
          <w:color w:val="1E293B"/>
        </w:rPr>
        <w:t xml:space="preserve">«Guide for Conducting Risk Assessments». Руководство Национального института стандартов и технологий США по моделированию рисков.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4. MITRE ATT&amp;CK for Industrial Control Systems (ICS): </w:t>
      </w:r>
      <w:r>
        <w:rPr>
          <w:rFonts w:ascii="Calibri" w:hAnsi="Calibri"/>
          <w:color w:val="1E293B"/>
        </w:rPr>
        <w:t xml:space="preserve">Матрица тактик и техник целевых атак на технологические сети и компоненты АСУ ТП.</w:t>
      </w:r>
    </w:p>
    <w:p>
      <w:pPr>
        <w:pStyle w:val="Heading1"/>
      </w:pPr>
      <w:r>
        <w:t>7. Инструкция для разработчиков: сборка, коммиты и развитие</w:t>
      </w:r>
    </w:p>
    <w:p>
      <w:pPr>
        <w:pStyle w:val="Heading2"/>
      </w:pPr>
      <w:r>
        <w:t>7.1. Требования к среде разработки и сборка проекта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Для локальной сборки проекта на рабочей станции разработчика требуется: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</w:t>
      </w:r>
      <w:r>
        <w:rPr>
          <w:rFonts w:ascii="Calibri" w:hAnsi="Calibri"/>
          <w:color w:val="1E293B"/>
        </w:rPr>
        <w:t xml:space="preserve">Операционная система: Windows 10/11 x64 или Linux (Ubuntu 22.04+).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</w:t>
      </w:r>
      <w:r>
        <w:rPr>
          <w:rFonts w:ascii="Calibri" w:hAnsi="Calibri"/>
          <w:color w:val="1E293B"/>
        </w:rPr>
        <w:t xml:space="preserve">Компилятор: MinGW-w64 (GCC 13+) или MSVC 2022 с поддержкой стандарта C++20.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</w:t>
      </w:r>
      <w:r>
        <w:rPr>
          <w:rFonts w:ascii="Calibri" w:hAnsi="Calibri"/>
          <w:color w:val="1E293B"/>
        </w:rPr>
        <w:t xml:space="preserve">Фреймворк Qt: Qt 6.11.0 (модули Core, Gui, Qml, Quick, QuickControls2).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</w:t>
      </w:r>
      <w:r>
        <w:rPr>
          <w:rFonts w:ascii="Calibri" w:hAnsi="Calibri"/>
          <w:color w:val="1E293B"/>
        </w:rPr>
        <w:t xml:space="preserve">Система сборки: CMake 3.16+ и Ninja / MinGW32-make.</w:t>
      </w:r>
    </w:p>
    <w:p>
      <w:pPr>
        <w:jc w:val="both"/>
        <w:spacing w:before="0" w:after="120" w:line="276" w:lineRule="auto"/>
      </w:pPr>
      <w:r>
        <w:rPr>
          <w:rFonts w:ascii="Calibri" w:hAnsi="Calibri" w:cs="Calibri"/>
          <w:sz w:val="22"/>
          <w:color w:val="1E293B"/>
        </w:rPr>
        <w:t xml:space="preserve">Команды сборки в терминале:</w:t>
      </w:r>
    </w:p>
    <w:tbl>
      <w:tblPr>
        <w:tblW w:w="9400" w:type="dxa"/>
        <w:tblBorders>
          <w:top w:val="none"/>
          <w:left w:val="single" w:sz="24" w:space="0" w:color="0284C7"/>
          <w:bottom w:val="none"/>
          <w:right w:val="none"/>
          <w:insideH w:val="none"/>
          <w:insideV w:val="none"/>
        </w:tblBorders>
        <w:tblCellMar>
          <w:top w:w="140" w:type="dxa"/>
          <w:left w:w="220" w:type="dxa"/>
          <w:bottom w:w="140" w:type="dxa"/>
          <w:right w:w="220" w:type="dxa"/>
        </w:tblCellMar>
      </w:tblPr>
      <w:tr>
        <w:tc>
          <w:tcPr>
            <w:tcW w:w="9400" w:type="dxa"/>
            <w:shd w:val="clear" w:color="auto" w:fill="F8FAFC"/>
          </w:tcPr>
          <w:p>
            <w:pPr>
              <w:spacing w:after="60"/>
            </w:pPr>
            <w:r>
              <w:rPr>
                <w:b/>
                <w:sz w:val="22"/>
                <w:color w:val="0284C7"/>
              </w:rPr>
              <w:t xml:space="preserve">[BUILD COMMANDS] </w:t>
            </w:r>
            <w:r>
              <w:rPr>
                <w:b/>
                <w:sz w:val="22"/>
                <w:color w:val="0F172A"/>
              </w:rPr>
              <w:t>Сборка через CMake и MinGW</w:t>
            </w:r>
          </w:p>
          <w:p>
            <w:pPr>
              <w:spacing w:after="0"/>
              <w:line w:line="260" w:lineRule="auto"/>
            </w:pPr>
            <w:r>
              <w:rPr>
                <w:sz w:val="21"/>
                <w:color w:val="334155"/>
              </w:rPr>
              <w:t>mkdir build
cd build
cmake -G "MinGW Makefiles" -DCMAKE_BUILD_TYPE=Release ..
cmake --build . --parallel
windeployqt --qmldir ../src/ui bin/Ibe.exe</w:t>
            </w:r>
          </w:p>
        </w:tc>
      </w:tr>
    </w:tbl>
    <w:p>
      <w:pPr>
        <w:spacing w:after="120"/>
      </w:pPr>
    </w:p>
    <w:p>
      <w:pPr>
        <w:pStyle w:val="Heading2"/>
      </w:pPr>
      <w:r>
        <w:t>7.2. Регламент работы с Git репозиторием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Основная ветка разработки: </w:t>
      </w:r>
      <w:r>
        <w:rPr>
          <w:rFonts w:ascii="Calibri" w:hAnsi="Calibri"/>
          <w:color w:val="1E293B"/>
        </w:rPr>
        <w:t xml:space="preserve">master2 в репозитории https://github.com/R2aper/ib-effect.git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Авторство коммитов: </w:t>
      </w:r>
      <w:r>
        <w:rPr>
          <w:rFonts w:ascii="Calibri" w:hAnsi="Calibri"/>
          <w:color w:val="1E293B"/>
        </w:rPr>
        <w:t xml:space="preserve">Строго под учетной записью Shalapai (iostrenko4@gmail.com). Никаких сторонних аккаунтов или внешних контрибьюторов.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• Формат сообщений коммитов: </w:t>
      </w:r>
      <w:r>
        <w:rPr>
          <w:rFonts w:ascii="Calibri" w:hAnsi="Calibri"/>
          <w:color w:val="1E293B"/>
        </w:rPr>
        <w:t xml:space="preserve">Conventional Commits: feat(...), fix(...), docs(...), refactor(...).</w:t>
      </w:r>
    </w:p>
    <w:p>
      <w:pPr>
        <w:pStyle w:val="Heading2"/>
      </w:pPr>
      <w:r>
        <w:t>7.3. Дорожная карта развития проекта (Roadmap)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1. Модуль интеграции с онлайн API БДУ ФСТЭК: </w:t>
      </w:r>
      <w:r>
        <w:rPr>
          <w:rFonts w:ascii="Calibri" w:hAnsi="Calibri"/>
          <w:color w:val="1E293B"/>
        </w:rPr>
        <w:t xml:space="preserve">Автоматическая фоновая синхронизация новых угроз и уязвимостей с портала bdu.fstec.ru.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2. Автоматический генератор отчетов по ГОСТ: </w:t>
      </w:r>
      <w:r>
        <w:rPr>
          <w:rFonts w:ascii="Calibri" w:hAnsi="Calibri"/>
          <w:color w:val="1E293B"/>
        </w:rPr>
        <w:t xml:space="preserve">Формирование готовых актов моделирования угроз в форматах PDF и DOCX непосредственно из графического интерфейса одной кнопкой.</w:t>
      </w:r>
    </w:p>
    <w:p>
      <w:pPr>
        <w:ind w:left="540" w:hanging="260"/>
        <w:spacing w:after="80" w:line="276" w:lineRule="auto"/>
      </w:pPr>
      <w:r>
        <w:rPr>
          <w:rFonts w:ascii="Calibri" w:hAnsi="Calibri"/>
          <w:b/>
          <w:color w:val="0284C7"/>
        </w:rPr>
        <w:t xml:space="preserve">3. Симулятор сценариев атак (What-If Analysis): </w:t>
      </w:r>
      <w:r>
        <w:rPr>
          <w:rFonts w:ascii="Calibri" w:hAnsi="Calibri"/>
          <w:color w:val="1E293B"/>
        </w:rPr>
        <w:t xml:space="preserve">Интерактивное моделирование динамики развития инцидента во времени с оценкой скорости обнаружения (MTTD) и реагирования (MTTR).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pPr>
      <w:spacing w:before="240" w:after="160"/>
      <w:jc w:val="center"/>
    </w:pPr>
    <w:rPr>
      <w:rFonts w:ascii="Segoe UI" w:hAnsi="Segoe UI" w:cs="Segoe UI"/>
      <w:b/>
      <w:sz w:val="52"/>
      <w:szCs w:val="52"/>
      <w:color w:val="1E3A8A"/>
    </w:rPr>
  </w:style>
  <w:style w:type="paragraph" w:styleId="Subtitle">
    <w:name w:val="Subtitle"/>
    <w:pPr>
      <w:spacing w:before="60" w:after="300"/>
      <w:jc w:val="center"/>
    </w:pPr>
    <w:rPr>
      <w:rFonts w:ascii="Segoe UI" w:hAnsi="Segoe UI" w:cs="Segoe UI"/>
      <w:sz w:val="26"/>
      <w:szCs w:val="26"/>
      <w:color w:val="475569"/>
    </w:rPr>
  </w:style>
  <w:style w:type="paragraph" w:styleId="Heading1">
    <w:name w:val="heading 1"/>
    <w:pPr>
      <w:spacing w:before="360" w:after="140"/>
    </w:pPr>
    <w:rPr>
      <w:rFonts w:ascii="Segoe UI" w:hAnsi="Segoe UI" w:cs="Segoe UI"/>
      <w:b/>
      <w:sz w:val="34"/>
      <w:szCs w:val="34"/>
      <w:color w:val="1E3A8A"/>
    </w:rPr>
  </w:style>
  <w:style w:type="paragraph" w:styleId="Heading2">
    <w:name w:val="heading 2"/>
    <w:pPr>
      <w:spacing w:before="260" w:after="100"/>
    </w:pPr>
    <w:rPr>
      <w:rFonts w:ascii="Segoe UI" w:hAnsi="Segoe UI" w:cs="Segoe UI"/>
      <w:b/>
      <w:sz w:val="28"/>
      <w:szCs w:val="28"/>
      <w:color w:val="0284C7"/>
    </w:rPr>
  </w:style>
  <w:style w:type="paragraph" w:styleId="Heading3">
    <w:name w:val="heading 3"/>
    <w:pPr>
      <w:spacing w:before="180" w:after="80"/>
    </w:pPr>
    <w:rPr>
      <w:rFonts w:ascii="Segoe UI" w:hAnsi="Segoe UI" w:cs="Segoe UI"/>
      <w:b/>
      <w:sz w:val="24"/>
      <w:szCs w:val="24"/>
      <w:color w:val="0F172A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Word</Application>
  <DocSecurity>0</DocSecurity>
  <Lines>1400</Lines>
  <Paragraphs>400</Paragraphs>
  <Company>Shalapai Security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программному комплексу «ИБ-Эффект»</dc:title>
  <dc:subject>Моделирование угроз АСУ ТП, расчет рисков и оценка возврата инвестиций ROSI</dc:subject>
  <dc:creator>Shalapai</dc:creator>
  <cp:lastModifiedBy>Shalapai</cp:lastModifiedBy>
  <dcterms:created xsi:type="dcterms:W3CDTF">2026-10-19T00:00:00Z</dcterms:created>
  <dcterms:modified xsi:type="dcterms:W3CDTF">2026-10-19T00:00:00Z</dcterms:modified>
</cp:coreProperties>
</file>