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Calibri" w:eastAsia="Microsoft YaHei"/>
          <w:b/>
          <w:bCs/>
          <w:color w:val="5B8DB8"/>
          <w:sz w:val="64"/>
          <w:szCs w:val="64"/>
        </w:rPr>
        <w:t xml:space="preserve">ATRIUM</w:t>
      </w:r>
    </w:p>
    <w:p>
      <w:pPr>
        <w:spacing w:after="400"/>
        <w:jc w:val="center"/>
      </w:pPr>
      <w:r>
        <w:rPr>
          <w:rFonts w:ascii="Calibri" w:eastAsia="Microsoft YaHei"/>
          <w:color w:val="6878A0"/>
          <w:sz w:val="28"/>
          <w:szCs w:val="28"/>
        </w:rPr>
        <w:t xml:space="preserve">Property Management System</w:t>
      </w:r>
    </w:p>
    <w:p>
      <w:pPr>
        <w:spacing w:after="120"/>
        <w:jc w:val="center"/>
      </w:pPr>
      <w:r>
        <w:rPr>
          <w:rFonts w:ascii="Calibri" w:eastAsia="Microsoft YaHei"/>
          <w:b/>
          <w:bCs/>
          <w:color w:val="0A1628"/>
          <w:sz w:val="40"/>
          <w:szCs w:val="40"/>
        </w:rPr>
        <w:t xml:space="preserve">Pre-Launch Technical &amp; Product Audit</w:t>
      </w:r>
    </w:p>
    <w:p>
      <w:pPr>
        <w:spacing w:after="600"/>
        <w:jc w:val="center"/>
      </w:pPr>
      <w:r>
        <w:rPr>
          <w:rFonts w:ascii="Calibri" w:eastAsia="Microsoft YaHei"/>
          <w:color w:val="6878A0"/>
          <w:sz w:val="24"/>
          <w:szCs w:val="24"/>
        </w:rPr>
        <w:t xml:space="preserve">Comprehensive Deep-Dive Analysis</w:t>
      </w:r>
    </w:p>
    <w:p>
      <w:pPr>
        <w:spacing w:before="1200"/>
      </w:pPr>
    </w:p>
    <w:p>
      <w:pPr>
        <w:spacing w:after="80"/>
        <w:jc w:val="center"/>
      </w:pPr>
      <w:r>
        <w:rPr>
          <w:rFonts w:ascii="Calibri" w:eastAsia="Microsoft YaHei"/>
          <w:b/>
          <w:bCs/>
          <w:color w:val="1A2B40"/>
          <w:sz w:val="22"/>
          <w:szCs w:val="22"/>
        </w:rPr>
        <w:t xml:space="preserve">PracticePro Technologies</w:t>
      </w:r>
    </w:p>
    <w:p>
      <w:pPr>
        <w:spacing w:after="80"/>
        <w:jc w:val="center"/>
      </w:pPr>
      <w:r>
        <w:rPr>
          <w:rFonts w:ascii="Calibri" w:eastAsia="Microsoft YaHei"/>
          <w:color w:val="6878A0"/>
          <w:sz w:val="20"/>
          <w:szCs w:val="20"/>
        </w:rPr>
        <w:t xml:space="preserve">June 16, 2026</w:t>
      </w:r>
    </w:p>
    <w:p>
      <w:pPr>
        <w:jc w:val="center"/>
      </w:pPr>
      <w:r>
        <w:rPr>
          <w:rFonts w:ascii="Calibri" w:eastAsia="Microsoft YaHei"/>
          <w:b/>
          <w:bCs/>
          <w:color w:val="C0392B"/>
          <w:sz w:val="18"/>
          <w:szCs w:val="18"/>
        </w:rPr>
        <w:t xml:space="preserve">CONFIDENTIAL</w:t>
      </w:r>
    </w:p>
    <w:p>
      <w:pPr>
        <w:sectPr>
          <w:pgSz w:w="11906" w:h="16838" w:orient="portrait"/>
          <w:pgMar w:top="1417" w:right="1417" w:bottom="1417" w:left="1701" w:header="708" w:footer="708" w:gutter="0"/>
          <w:pgNumType/>
          <w:docGrid w:linePitch="360"/>
        </w:sectPr>
      </w:pPr>
    </w:p>
    <w:p>
      <w:pPr>
        <w:pStyle w:val="Heading1"/>
        <w:spacing w:after="200" w:before="400" w:line="312"/>
      </w:pPr>
      <w:bookmarkStart w:id="100000" w:name="_Toc100000"/>
      <w:r>
        <w:rPr>
          <w:rFonts w:ascii="Calibri" w:eastAsia="Microsoft YaHei"/>
          <w:b/>
          <w:bCs/>
          <w:color w:val="0A1628"/>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Audit Scorecard</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Critical Issues (P0)</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Missing Authorization on Financial Mutations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XSS Vulnerability in Receipt Generation</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2.3 Tenancies Table Completely Unused</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2.4 Simulated Notifications (Not Actually Delivered)</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2.5 Missing Tenant Authorization in Portal</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2.6 Admin Functions Without Auth</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3. Significant Issues (P1)</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3.1 Data Model: Units as v.any() Embedded Array</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3.2 Missing Database Indexes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3.3 Full-Table Scans in Production Code</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3.4 v.any() Input Validation Gaps</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3.5 Race Conditions</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3.6 schemaValidation: false</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3.7 Missing Loading States</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3.8 AutomationCenter Select Dropdown Bug</w:t>
            </w:r>
            <w:r>
              <w:tab/>
            </w:r>
            <w:r>
              <w:fldChar w:fldCharType="begin"/>
            </w:r>
            <w:r>
              <w:instrText xml:space="preserve"> PAGEREF _Toc100018 \h </w:instrText>
            </w:r>
            <w:r>
              <w:fldChar w:fldCharType="separate"/>
            </w:r>
            <w:r>
              <w:t>11</w:t>
            </w:r>
            <w:r>
              <w:fldChar w:fldCharType="end"/>
            </w:r>
          </w:hyperlink>
        </w:p>
        <w:p>
          <w:pPr>
            <w:pStyle w:val="9"/>
            <w:tabs>
              <w:tab w:val="right" w:leader="dot" w:pos="9026"/>
            </w:tabs>
            <w:spacing w:before="120" w:after="60"/>
          </w:pPr>
          <w:hyperlink w:anchor="_Toc100019" w:history="1">
            <w:r>
              <w:rPr>
                <w:rStyle w:val="Hyperlink"/>
              </w:rPr>
              <w:t>4. Moderate Issues (P2)</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4.1 Missing Property Management Features</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4.2 Schema Inconsistencies</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4.3 Required Fields Marked as Optional</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4.4 Orphaned Stub Component</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4.5 Payment Proofs Not Linked to Ledger Entries</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4.6 Demand Notice Generation Issues</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4.7 Zero ARIA Accessibility</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5. Minor Issues (P3)</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5.1 UI Polish</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5.2 Code Quality</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5.3 Missing SMS Provider</w:t>
            </w:r>
            <w:r>
              <w:tab/>
            </w:r>
            <w:r>
              <w:fldChar w:fldCharType="begin"/>
            </w:r>
            <w:r>
              <w:instrText xml:space="preserve"> PAGEREF _Toc100030 \h </w:instrText>
            </w:r>
            <w:r>
              <w:fldChar w:fldCharType="separate"/>
            </w:r>
            <w:r>
              <w:t>15</w:t>
            </w:r>
            <w:r>
              <w:fldChar w:fldCharType="end"/>
            </w:r>
          </w:hyperlink>
        </w:p>
        <w:p>
          <w:pPr>
            <w:pStyle w:val="9"/>
            <w:tabs>
              <w:tab w:val="right" w:leader="dot" w:pos="9026"/>
            </w:tabs>
            <w:spacing w:before="120" w:after="60"/>
          </w:pPr>
          <w:hyperlink w:anchor="_Toc100031" w:history="1">
            <w:r>
              <w:rPr>
                <w:rStyle w:val="Hyperlink"/>
              </w:rPr>
              <w:t>6. Feature Completeness Assessment</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6.1 What Works Well</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6.2 What Needs Work</w:t>
            </w:r>
            <w:r>
              <w:tab/>
            </w:r>
            <w:r>
              <w:fldChar w:fldCharType="begin"/>
            </w:r>
            <w:r>
              <w:instrText xml:space="preserve"> PAGEREF _Toc100033 \h </w:instrText>
            </w:r>
            <w:r>
              <w:fldChar w:fldCharType="separate"/>
            </w:r>
            <w:r>
              <w:t>17</w:t>
            </w:r>
            <w:r>
              <w:fldChar w:fldCharType="end"/>
            </w:r>
          </w:hyperlink>
        </w:p>
        <w:p>
          <w:pPr>
            <w:pStyle w:val="9"/>
            <w:tabs>
              <w:tab w:val="right" w:leader="dot" w:pos="9026"/>
            </w:tabs>
            <w:spacing w:before="120" w:after="60"/>
          </w:pPr>
          <w:hyperlink w:anchor="_Toc100034" w:history="1">
            <w:r>
              <w:rPr>
                <w:rStyle w:val="Hyperlink"/>
              </w:rPr>
              <w:t>7. Recommendations &amp; Priority</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7.1 Must-Fix Before Launch (P0)</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7.2 Should-Fix Before Launch (P1)</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7.3 Post-Launch Priorities (P2/P3)</w:t>
            </w:r>
            <w:r>
              <w:tab/>
            </w:r>
            <w:r>
              <w:fldChar w:fldCharType="begin"/>
            </w:r>
            <w:r>
              <w:instrText xml:space="preserve"> PAGEREF _Toc100037 \h </w:instrText>
            </w:r>
            <w:r>
              <w:fldChar w:fldCharType="separate"/>
            </w:r>
            <w:r>
              <w:t>17</w:t>
            </w:r>
            <w:r>
              <w:fldChar w:fldCharType="end"/>
            </w:r>
          </w:hyperlink>
        </w:p>
        <w:p>
          <w:pPr>
            <w:pStyle w:val="9"/>
            <w:tabs>
              <w:tab w:val="right" w:leader="dot" w:pos="9026"/>
            </w:tabs>
            <w:spacing w:before="120" w:after="60"/>
          </w:pPr>
          <w:hyperlink w:anchor="_Toc100038" w:history="1">
            <w:r>
              <w:rPr>
                <w:rStyle w:val="Hyperlink"/>
              </w:rPr>
              <w:t>8. Architecture Recommendations</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8.1 Extract Units from Embedded Array</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8.2 Create Dedicated Property Mutations</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8.3 Implement Notification Pipeline</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8.4 Add Reporting Layer</w:t>
            </w:r>
            <w:r>
              <w:tab/>
            </w:r>
            <w:r>
              <w:fldChar w:fldCharType="begin"/>
            </w:r>
            <w:r>
              <w:instrText xml:space="preserve"> PAGEREF _Toc100042 \h </w:instrText>
            </w:r>
            <w:r>
              <w:fldChar w:fldCharType="separate"/>
            </w:r>
            <w:r>
              <w:t>19</w:t>
            </w:r>
            <w:r>
              <w:fldChar w:fldCharType="end"/>
            </w:r>
          </w:hyperlink>
        </w:p>
        <w:p>
          <w:r>
            <w:fldChar w:fldCharType="end"/>
          </w:r>
        </w:p>
      </w:sdtContent>
    </w:sdt>
    <w:p>
      <w:pPr>
        <w:spacing w:before="200"/>
        <w:jc w:val="center"/>
      </w:pPr>
      <w:r>
        <w:rPr>
          <w:rFonts w:ascii="Calibri" w:eastAsia="Microsoft YaHei"/>
          <w:i/>
          <w:iCs/>
          <w:color w:val="6878A0"/>
          <w:sz w:val="18"/>
          <w:szCs w:val="18"/>
        </w:rPr>
        <w:t xml:space="preserve">Right-click the TOC above and select “Update Field” to refresh page numbers.</w:t>
      </w:r>
    </w:p>
    <w:p>
      <w:r>
        <w:br w:type="page"/>
      </w:r>
    </w:p>
    <w:p>
      <w:pPr>
        <w:sectPr>
          <w:pgSz w:w="11906" w:h="16838" w:orient="portrait"/>
          <w:pgMar w:top="1417" w:right="1417" w:bottom="1417" w:left="1701" w:header="708" w:footer="708" w:gutter="0"/>
          <w:pgNumType/>
          <w:docGrid w:linePitch="360"/>
        </w:sectPr>
      </w:pPr>
    </w:p>
    <w:p>
      <w:pPr>
        <w:pStyle w:val="Heading1"/>
        <w:spacing w:after="200" w:before="360" w:line="312"/>
      </w:pPr>
      <w:bookmarkStart w:id="100001" w:name="_Toc100001"/>
      <w:r>
        <w:rPr>
          <w:rFonts w:ascii="Calibri" w:eastAsia="Microsoft YaHei"/>
          <w:b/>
          <w:bCs/>
          <w:color w:val="0A1628"/>
          <w:sz w:val="32"/>
          <w:szCs w:val="32"/>
        </w:rPr>
        <w:t xml:space="preserve">1. Executive Summary</w:t>
      </w:r>
      <w:bookmarkEnd w:id="100001"/>
    </w:p>
    <w:p>
      <w:pPr>
        <w:spacing w:after="80" w:before="80" w:line="312"/>
        <w:jc w:val="left"/>
      </w:pPr>
      <w:r>
        <w:rPr>
          <w:rFonts w:ascii="Calibri" w:eastAsia="Microsoft YaHei"/>
          <w:color w:val="1A2B40"/>
          <w:sz w:val="22"/>
          <w:szCs w:val="22"/>
        </w:rPr>
        <w:t xml:space="preserve">This report presents a comprehensive pre-launch audit of Atrium, the property management product within the PracticePro platform. The audit examined every layer of the system: data model, backend logic, UI components, security, user flows, and product completeness. Atrium has a solid foundation with an impressive feature set for a product at this stage, but several critical gaps must be addressed before launch to ensure reliability, security, and a professional user experience.</w:t>
      </w:r>
    </w:p>
    <w:p>
      <w:pPr>
        <w:spacing w:after="80" w:before="80" w:line="312"/>
        <w:jc w:val="left"/>
      </w:pPr>
      <w:r>
        <w:rPr>
          <w:rFonts w:ascii="Calibri" w:eastAsia="Microsoft YaHei"/>
          <w:color w:val="1A2B40"/>
          <w:sz w:val="22"/>
          <w:szCs w:val="22"/>
        </w:rPr>
        <w:t xml:space="preserve">The audit identified </w:t>
      </w:r>
      <w:r>
        <w:rPr>
          <w:rFonts w:ascii="Calibri" w:eastAsia="Microsoft YaHei"/>
          <w:b/>
          <w:bCs/>
          <w:color w:val="1A2B40"/>
          <w:sz w:val="22"/>
          <w:szCs w:val="22"/>
        </w:rPr>
        <w:t xml:space="preserve">47 issues</w:t>
      </w:r>
      <w:r>
        <w:rPr>
          <w:rFonts w:ascii="Calibri" w:eastAsia="Microsoft YaHei"/>
          <w:color w:val="1A2B40"/>
          <w:sz w:val="22"/>
          <w:szCs w:val="22"/>
        </w:rPr>
        <w:t xml:space="preserve"> across 6 categories: 8 critical (P0), 14 significant (P1), 17 moderate (P2), and 8 minor (P3). The most urgent issues are: missing authorization on financial mutations (any authenticated user can create ledger entries for any firm), an XSS vulnerability in receipt generation, the tenancies table being completely unused despite being central to the product flow, and automated notifications being simulated rather than actually delivered.</w:t>
      </w:r>
    </w:p>
    <w:p>
      <w:pPr>
        <w:spacing w:after="80" w:before="80" w:line="312"/>
        <w:jc w:val="left"/>
      </w:pPr>
      <w:r>
        <w:rPr>
          <w:rFonts w:ascii="Calibri" w:eastAsia="Microsoft YaHei"/>
          <w:color w:val="1A2B40"/>
          <w:sz w:val="22"/>
          <w:szCs w:val="22"/>
        </w:rPr>
        <w:t xml:space="preserve">On the positive side, the Atrium tenant portal is the most polished part of the product with comprehensive self-healing logic, the Revenue Engine provides a solid framework for service charge management and defaulter tracking, and the overall UI design is cohesive and responsive. The core property CRUD and unit management work end-to-end, and the onboarding flow now correctly handles annual-only billing for Atrium.</w:t>
      </w:r>
    </w:p>
    <w:p>
      <w:pPr>
        <w:pStyle w:val="Heading2"/>
        <w:spacing w:after="160" w:before="280" w:line="312"/>
      </w:pPr>
      <w:bookmarkStart w:id="100002" w:name="_Toc100002"/>
      <w:r>
        <w:rPr>
          <w:rFonts w:ascii="Calibri" w:eastAsia="Microsoft YaHei"/>
          <w:b/>
          <w:bCs/>
          <w:color w:val="0A1628"/>
          <w:sz w:val="26"/>
          <w:szCs w:val="26"/>
        </w:rPr>
        <w:t xml:space="preserve">1.1 Audit Scorecard</w:t>
      </w:r>
      <w:bookmarkEnd w:id="100002"/>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Category</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Completeness</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Critical Issues</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Notes</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Data Model</w:t>
            </w:r>
          </w:p>
        </w:tc>
        <w:tc>
          <w:tcPr>
            <w:tcMar>
              <w:top w:type="dxa" w:w="50"/>
              <w:left w:type="dxa" w:w="100"/>
              <w:bottom w:type="dxa" w:w="50"/>
              <w:right w:type="dxa" w:w="100"/>
            </w:tcMar>
          </w:tcPr>
          <w:p>
            <w:pPr>
              <w:jc w:val="left"/>
            </w:pPr>
            <w:r>
              <w:rPr>
                <w:rFonts w:ascii="Calibri" w:eastAsia="Microsoft YaHei"/>
                <w:color w:val="1A2B40"/>
                <w:sz w:val="18"/>
                <w:szCs w:val="18"/>
              </w:rPr>
              <w:t xml:space="preserve">65%</w:t>
            </w:r>
          </w:p>
        </w:tc>
        <w:tc>
          <w:tcPr>
            <w:tcMar>
              <w:top w:type="dxa" w:w="50"/>
              <w:left w:type="dxa" w:w="100"/>
              <w:bottom w:type="dxa" w:w="50"/>
              <w:right w:type="dxa" w:w="100"/>
            </w:tcMar>
          </w:tcPr>
          <w:p>
            <w:pPr>
              <w:jc w:val="left"/>
            </w:pPr>
            <w:r>
              <w:rPr>
                <w:rFonts w:ascii="Calibri" w:eastAsia="Microsoft YaHei"/>
                <w:color w:val="1A2B40"/>
                <w:sz w:val="18"/>
                <w:szCs w:val="18"/>
              </w:rPr>
              <w:t xml:space="preserve">3</w:t>
            </w:r>
          </w:p>
        </w:tc>
        <w:tc>
          <w:tcPr>
            <w:tcMar>
              <w:top w:type="dxa" w:w="50"/>
              <w:left w:type="dxa" w:w="100"/>
              <w:bottom w:type="dxa" w:w="50"/>
              <w:right w:type="dxa" w:w="100"/>
            </w:tcMar>
          </w:tcPr>
          <w:p>
            <w:pPr>
              <w:jc w:val="left"/>
            </w:pPr>
            <w:r>
              <w:rPr>
                <w:rFonts w:ascii="Calibri" w:eastAsia="Microsoft YaHei"/>
                <w:color w:val="1A2B40"/>
                <w:sz w:val="18"/>
                <w:szCs w:val="18"/>
              </w:rPr>
              <w:t xml:space="preserve">Units embedded as v.any(), tenancies table unused, missing indexes</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Backend Functions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55%</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4</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 auth on financial mutations, v.any() inputs, simulated notifications</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UI Components</w:t>
            </w:r>
          </w:p>
        </w:tc>
        <w:tc>
          <w:tcPr>
            <w:tcMar>
              <w:top w:type="dxa" w:w="50"/>
              <w:left w:type="dxa" w:w="100"/>
              <w:bottom w:type="dxa" w:w="50"/>
              <w:right w:type="dxa" w:w="100"/>
            </w:tcMar>
          </w:tcPr>
          <w:p>
            <w:pPr>
              <w:jc w:val="left"/>
            </w:pPr>
            <w:r>
              <w:rPr>
                <w:rFonts w:ascii="Calibri" w:eastAsia="Microsoft YaHei"/>
                <w:color w:val="1A2B40"/>
                <w:sz w:val="18"/>
                <w:szCs w:val="18"/>
              </w:rPr>
              <w:t xml:space="preserve">80%</w:t>
            </w:r>
          </w:p>
        </w:tc>
        <w:tc>
          <w:tcPr>
            <w:tcMar>
              <w:top w:type="dxa" w:w="50"/>
              <w:left w:type="dxa" w:w="100"/>
              <w:bottom w:type="dxa" w:w="50"/>
              <w:right w:type="dxa" w:w="100"/>
            </w:tcMar>
          </w:tcPr>
          <w:p>
            <w:pPr>
              <w:jc w:val="left"/>
            </w:pPr>
            <w:r>
              <w:rPr>
                <w:rFonts w:ascii="Calibri" w:eastAsia="Microsoft YaHei"/>
                <w:color w:val="1A2B40"/>
                <w:sz w:val="18"/>
                <w:szCs w:val="18"/>
              </w:rPr>
              <w:t xml:space="preserve">2</w:t>
            </w:r>
          </w:p>
        </w:tc>
        <w:tc>
          <w:tcPr>
            <w:tcMar>
              <w:top w:type="dxa" w:w="50"/>
              <w:left w:type="dxa" w:w="100"/>
              <w:bottom w:type="dxa" w:w="50"/>
              <w:right w:type="dxa" w:w="100"/>
            </w:tcMar>
          </w:tcPr>
          <w:p>
            <w:pPr>
              <w:jc w:val="left"/>
            </w:pPr>
            <w:r>
              <w:rPr>
                <w:rFonts w:ascii="Calibri" w:eastAsia="Microsoft YaHei"/>
                <w:color w:val="1A2B40"/>
                <w:sz w:val="18"/>
                <w:szCs w:val="18"/>
              </w:rPr>
              <w:t xml:space="preserve">XSS in receipts, orphaned stub component, zero ARIA accessibility</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Security</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40%</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3</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Missing auth on 12+ mutations, XSS, no tenant identity verification</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Product Completeness</w:t>
            </w:r>
          </w:p>
        </w:tc>
        <w:tc>
          <w:tcPr>
            <w:tcMar>
              <w:top w:type="dxa" w:w="50"/>
              <w:left w:type="dxa" w:w="100"/>
              <w:bottom w:type="dxa" w:w="50"/>
              <w:right w:type="dxa" w:w="100"/>
            </w:tcMar>
          </w:tcPr>
          <w:p>
            <w:pPr>
              <w:jc w:val="left"/>
            </w:pPr>
            <w:r>
              <w:rPr>
                <w:rFonts w:ascii="Calibri" w:eastAsia="Microsoft YaHei"/>
                <w:color w:val="1A2B40"/>
                <w:sz w:val="18"/>
                <w:szCs w:val="18"/>
              </w:rPr>
              <w:t xml:space="preserve">60%</w:t>
            </w:r>
          </w:p>
        </w:tc>
        <w:tc>
          <w:tcPr>
            <w:tcMar>
              <w:top w:type="dxa" w:w="50"/>
              <w:left w:type="dxa" w:w="100"/>
              <w:bottom w:type="dxa" w:w="50"/>
              <w:right w:type="dxa" w:w="100"/>
            </w:tcMar>
          </w:tcPr>
          <w:p>
            <w:pPr>
              <w:jc w:val="left"/>
            </w:pPr>
            <w:r>
              <w:rPr>
                <w:rFonts w:ascii="Calibri" w:eastAsia="Microsoft YaHei"/>
                <w:color w:val="1A2B40"/>
                <w:sz w:val="18"/>
                <w:szCs w:val="18"/>
              </w:rPr>
              <w:t xml:space="preserve">2</w:t>
            </w:r>
          </w:p>
        </w:tc>
        <w:tc>
          <w:tcPr>
            <w:tcMar>
              <w:top w:type="dxa" w:w="50"/>
              <w:left w:type="dxa" w:w="100"/>
              <w:bottom w:type="dxa" w:w="50"/>
              <w:right w:type="dxa" w:w="100"/>
            </w:tcMar>
          </w:tcPr>
          <w:p>
            <w:pPr>
              <w:jc w:val="left"/>
            </w:pPr>
            <w:r>
              <w:rPr>
                <w:rFonts w:ascii="Calibri" w:eastAsia="Microsoft YaHei"/>
                <w:color w:val="1A2B40"/>
                <w:sz w:val="18"/>
                <w:szCs w:val="18"/>
              </w:rPr>
              <w:t xml:space="preserve">No lease lifecycle, no demand notice delivery, no bulk operations</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Performance</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55%</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1</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Full-table scans in cron jobs, N+1 queries, unbounded document growth</w:t>
            </w:r>
          </w:p>
        </w:tc>
      </w:tr>
    </w:tbl>
    <w:p>
      <w:pPr>
        <w:pStyle w:val="Heading1"/>
        <w:spacing w:after="200" w:before="360" w:line="312"/>
      </w:pPr>
      <w:bookmarkStart w:id="100003" w:name="_Toc100003"/>
      <w:r>
        <w:rPr>
          <w:rFonts w:ascii="Calibri" w:eastAsia="Microsoft YaHei"/>
          <w:b/>
          <w:bCs/>
          <w:color w:val="0A1628"/>
          <w:sz w:val="32"/>
          <w:szCs w:val="32"/>
        </w:rPr>
        <w:t xml:space="preserve">2. Critical Issues (P0)</w:t>
      </w:r>
      <w:bookmarkEnd w:id="100003"/>
    </w:p>
    <w:p>
      <w:pPr>
        <w:spacing w:after="80" w:before="80" w:line="312"/>
        <w:jc w:val="left"/>
      </w:pPr>
      <w:r>
        <w:rPr>
          <w:rFonts w:ascii="Calibri" w:eastAsia="Microsoft YaHei"/>
          <w:color w:val="1A2B40"/>
          <w:sz w:val="22"/>
          <w:szCs w:val="22"/>
        </w:rPr>
        <w:t xml:space="preserve">These issues must be fixed before launch. They represent security vulnerabilities, data integrity risks, or core functionality that is broken.</w:t>
      </w:r>
    </w:p>
    <w:p>
      <w:pPr>
        <w:pStyle w:val="Heading2"/>
        <w:spacing w:after="160" w:before="280" w:line="312"/>
      </w:pPr>
      <w:bookmarkStart w:id="100004" w:name="_Toc100004"/>
      <w:r>
        <w:rPr>
          <w:rFonts w:ascii="Calibri" w:eastAsia="Microsoft YaHei"/>
          <w:b/>
          <w:bCs/>
          <w:color w:val="0A1628"/>
          <w:sz w:val="26"/>
          <w:szCs w:val="26"/>
        </w:rPr>
        <w:t xml:space="preserve">2.1 Missing Authorization on Financial Mutations</w:t>
      </w:r>
      <w:bookmarkEnd w:id="100004"/>
    </w:p>
    <w:p>
      <w:pPr>
        <w:spacing w:after="80" w:before="80" w:line="312"/>
        <w:jc w:val="left"/>
      </w:pPr>
      <w:r>
        <w:rPr>
          <w:rFonts w:ascii="Calibri" w:eastAsia="Microsoft YaHei"/>
          <w:color w:val="1A2B40"/>
          <w:sz w:val="22"/>
          <w:szCs w:val="22"/>
        </w:rPr>
        <w:t xml:space="preserve">The Atrium billing and revenue functions in sentry.ts have </w:t>
      </w:r>
      <w:r>
        <w:rPr>
          <w:rFonts w:ascii="Calibri" w:eastAsia="Microsoft YaHei"/>
          <w:b/>
          <w:bCs/>
          <w:color w:val="1A2B40"/>
          <w:sz w:val="22"/>
          <w:szCs w:val="22"/>
        </w:rPr>
        <w:t xml:space="preserve">no authorization checks</w:t>
      </w:r>
      <w:r>
        <w:rPr>
          <w:rFonts w:ascii="Calibri" w:eastAsia="Microsoft YaHei"/>
          <w:color w:val="1A2B40"/>
          <w:sz w:val="22"/>
          <w:szCs w:val="22"/>
        </w:rPr>
        <w:t xml:space="preserve">. Any authenticated user, even from a different firm, can create ledger entries, mark charges as paid, or apply late penalties to any firm's data. This is a serious security vulnerability that violates the most basic multi-tenancy isolation requirement.</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addLedgerEntry</w:t>
      </w:r>
      <w:r>
        <w:rPr>
          <w:rFonts w:ascii="Calibri" w:eastAsia="Microsoft YaHei"/>
          <w:color w:val="1A2B40"/>
          <w:sz w:val="22"/>
          <w:szCs w:val="22"/>
        </w:rPr>
        <w:t xml:space="preserve"> (sentry.ts:18) — No requireFirmUser call. Any user can create financial records for any firm.</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markChargeAsPaid</w:t>
      </w:r>
      <w:r>
        <w:rPr>
          <w:rFonts w:ascii="Calibri" w:eastAsia="Microsoft YaHei"/>
          <w:color w:val="1A2B40"/>
          <w:sz w:val="22"/>
          <w:szCs w:val="22"/>
        </w:rPr>
        <w:t xml:space="preserve"> (sentry.ts:193) — No auth check. Any user can mark any service charge as paid.</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applyLatePenalty</w:t>
      </w:r>
      <w:r>
        <w:rPr>
          <w:rFonts w:ascii="Calibri" w:eastAsia="Microsoft YaHei"/>
          <w:color w:val="1A2B40"/>
          <w:sz w:val="22"/>
          <w:szCs w:val="22"/>
        </w:rPr>
        <w:t xml:space="preserve"> (sentry.ts:163) — No auth check. Any user can apply penalties to any firm's tenants.</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updateLedgerStatus</w:t>
      </w:r>
      <w:r>
        <w:rPr>
          <w:rFonts w:ascii="Calibri" w:eastAsia="Microsoft YaHei"/>
          <w:color w:val="1A2B40"/>
          <w:sz w:val="22"/>
          <w:szCs w:val="22"/>
        </w:rPr>
        <w:t xml:space="preserve"> (sentry.ts:66) — No auth check. Ledger status can be changed by anyone.</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upsertServiceCharge</w:t>
      </w:r>
      <w:r>
        <w:rPr>
          <w:rFonts w:ascii="Calibri" w:eastAsia="Microsoft YaHei"/>
          <w:color w:val="1A2B40"/>
          <w:sz w:val="22"/>
          <w:szCs w:val="22"/>
        </w:rPr>
        <w:t xml:space="preserve"> (sentry.ts:116) — No auth check. Service charges can be created or modified by anyone.</w:t>
      </w:r>
    </w:p>
    <w:p>
      <w:pPr>
        <w:spacing w:after="80" w:before="80" w:line="312"/>
        <w:jc w:val="left"/>
      </w:pPr>
      <w:r>
        <w:rPr>
          <w:rFonts w:ascii="Calibri" w:eastAsia="Microsoft YaHei"/>
          <w:color w:val="1A2B40"/>
          <w:sz w:val="22"/>
          <w:szCs w:val="22"/>
        </w:rPr>
        <w:t xml:space="preserve">The fix is straightforward: add requireFirmUser(ctx, args.firmId) at the top of each mutation, following the pattern already used in myFunctions.ts for createItem and updateItem. Additionally, the firmId in the mutation args should be verified to match the caller's firm.</w:t>
      </w:r>
    </w:p>
    <w:p>
      <w:pPr>
        <w:pStyle w:val="Heading2"/>
        <w:spacing w:after="160" w:before="280" w:line="312"/>
      </w:pPr>
      <w:bookmarkStart w:id="100005" w:name="_Toc100005"/>
      <w:r>
        <w:rPr>
          <w:rFonts w:ascii="Calibri" w:eastAsia="Microsoft YaHei"/>
          <w:b/>
          <w:bCs/>
          <w:color w:val="0A1628"/>
          <w:sz w:val="26"/>
          <w:szCs w:val="26"/>
        </w:rPr>
        <w:t xml:space="preserve">2.2 XSS Vulnerability in Receipt Generation</w:t>
      </w:r>
      <w:bookmarkEnd w:id="100005"/>
    </w:p>
    <w:p>
      <w:pPr>
        <w:spacing w:after="80" w:before="80" w:line="312"/>
        <w:jc w:val="left"/>
      </w:pPr>
      <w:r>
        <w:rPr>
          <w:rFonts w:ascii="Calibri" w:eastAsia="Microsoft YaHei"/>
          <w:color w:val="1A2B40"/>
          <w:sz w:val="22"/>
          <w:szCs w:val="22"/>
        </w:rPr>
        <w:t xml:space="preserve">LedgerManager.tsx generates PDF receipts by interpolating user-controlled data (firm name, entry description, txHash) directly into an HTML string written via document.write(). If a firm name or ledger description contains a script tag, it will execute in the browser context. This is a classic reflected XSS vulnerability.</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LedgerManager.tsx</w:t>
      </w:r>
      <w:r>
        <w:rPr>
          <w:rFonts w:ascii="Calibri" w:eastAsia="Microsoft YaHei"/>
          <w:color w:val="1A2B40"/>
          <w:sz w:val="22"/>
          <w:szCs w:val="22"/>
        </w:rPr>
        <w:t xml:space="preserve"> (line 287-310) — firm.name, entry.description, and entry.txHash are interpolated into document.write() HTML without sanitization.</w:t>
      </w:r>
    </w:p>
    <w:p>
      <w:pPr>
        <w:spacing w:after="80" w:before="80" w:line="312"/>
        <w:jc w:val="left"/>
      </w:pPr>
      <w:r>
        <w:rPr>
          <w:rFonts w:ascii="Calibri" w:eastAsia="Microsoft YaHei"/>
          <w:color w:val="1A2B40"/>
          <w:sz w:val="22"/>
          <w:szCs w:val="22"/>
        </w:rPr>
        <w:t xml:space="preserve">The fix is to sanitize all user-controlled strings before interpolation, or better yet, use a proper PDF generation library (the project already uses jspdf and html2pdf elsewhere) instead of document.write().</w:t>
      </w:r>
    </w:p>
    <w:p>
      <w:pPr>
        <w:pStyle w:val="Heading2"/>
        <w:spacing w:after="160" w:before="280" w:line="312"/>
      </w:pPr>
      <w:bookmarkStart w:id="100006" w:name="_Toc100006"/>
      <w:r>
        <w:rPr>
          <w:rFonts w:ascii="Calibri" w:eastAsia="Microsoft YaHei"/>
          <w:b/>
          <w:bCs/>
          <w:color w:val="0A1628"/>
          <w:sz w:val="26"/>
          <w:szCs w:val="26"/>
        </w:rPr>
        <w:t xml:space="preserve">2.3 Tenancies Table Completely Unused</w:t>
      </w:r>
      <w:bookmarkEnd w:id="100006"/>
    </w:p>
    <w:p>
      <w:pPr>
        <w:spacing w:after="80" w:before="80" w:line="312"/>
        <w:jc w:val="left"/>
      </w:pPr>
      <w:r>
        <w:rPr>
          <w:rFonts w:ascii="Calibri" w:eastAsia="Microsoft YaHei"/>
          <w:color w:val="1A2B40"/>
          <w:sz w:val="22"/>
          <w:szCs w:val="22"/>
        </w:rPr>
        <w:t xml:space="preserve">The schema defines a tenancies table with proper indexes (by_firm, by_property, by_tenant), but no backend function ever creates, reads, or updates tenancy records except generateRentDemand in drafting.ts, which queries it and gets empty results every time. This means the entire lease lifecycle is broken: rent demands cannot populate tenant information, lease start/end dates are not tracked, and the tenancies table serves no purpose.</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tenancies</w:t>
      </w:r>
      <w:r>
        <w:rPr>
          <w:rFonts w:ascii="Calibri" w:eastAsia="Microsoft YaHei"/>
          <w:color w:val="1A2B40"/>
          <w:sz w:val="22"/>
          <w:szCs w:val="22"/>
        </w:rPr>
        <w:t xml:space="preserve"> table (schema.ts:716-732) — No CRUD mutations exist. generateRentDemand queries it and always receives null for tenant_name, rent_amount, and total_arrears.</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No lease creation flow</w:t>
      </w:r>
      <w:r>
        <w:rPr>
          <w:rFonts w:ascii="Calibri" w:eastAsia="Microsoft YaHei"/>
          <w:color w:val="1A2B40"/>
          <w:sz w:val="22"/>
          <w:szCs w:val="22"/>
        </w:rPr>
        <w:t xml:space="preserve"> — When a tenant is assigned to a unit via the portal invite flow, no tenancy record is created. The link between tenant and property is stored only in the untyped properties.units[] embedded array.</w:t>
      </w:r>
    </w:p>
    <w:p>
      <w:pPr>
        <w:spacing w:after="80" w:before="80" w:line="312"/>
        <w:jc w:val="left"/>
      </w:pPr>
      <w:r>
        <w:rPr>
          <w:rFonts w:ascii="Calibri" w:eastAsia="Microsoft YaHei"/>
          <w:color w:val="1A2B40"/>
          <w:sz w:val="22"/>
          <w:szCs w:val="22"/>
        </w:rPr>
        <w:t xml:space="preserve">The fix requires: (1) creating createTenancy, updateTenancy, and terminateTenancy mutations, (2) calling createTenancy when a tenant is assigned to a unit, (3) adding a unitId field to the tenancies table, and (4) updating generateRentDemand to rely on tenancies for arrears calculation.</w:t>
      </w:r>
    </w:p>
    <w:p>
      <w:pPr>
        <w:pStyle w:val="Heading2"/>
        <w:spacing w:after="160" w:before="280" w:line="312"/>
      </w:pPr>
      <w:bookmarkStart w:id="100007" w:name="_Toc100007"/>
      <w:r>
        <w:rPr>
          <w:rFonts w:ascii="Calibri" w:eastAsia="Microsoft YaHei"/>
          <w:b/>
          <w:bCs/>
          <w:color w:val="0A1628"/>
          <w:sz w:val="26"/>
          <w:szCs w:val="26"/>
        </w:rPr>
        <w:t xml:space="preserve">2.4 Simulated Notifications (Not Actually Delivered)</w:t>
      </w:r>
      <w:bookmarkEnd w:id="100007"/>
    </w:p>
    <w:p>
      <w:pPr>
        <w:spacing w:after="80" w:before="80" w:line="312"/>
        <w:jc w:val="left"/>
      </w:pPr>
      <w:r>
        <w:rPr>
          <w:rFonts w:ascii="Calibri" w:eastAsia="Microsoft YaHei"/>
          <w:color w:val="1A2B40"/>
          <w:sz w:val="22"/>
          <w:szCs w:val="22"/>
        </w:rPr>
        <w:t xml:space="preserve">The automated notification system is a facade. Both the daily automation cron and the service charge WhatsApp reminder cron log messages with status "simulated" but never actually send them. The processScheduledMessages cron marks messages as "sent" without delivering them. This means users are paying for a notification feature that does not work.</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sendServiceChargeReminders</w:t>
      </w:r>
      <w:r>
        <w:rPr>
          <w:rFonts w:ascii="Calibri" w:eastAsia="Microsoft YaHei"/>
          <w:color w:val="1A2B40"/>
          <w:sz w:val="22"/>
          <w:szCs w:val="22"/>
        </w:rPr>
        <w:t xml:space="preserve"> (sentry.ts:665-841) — All reminders logged with status: "simulated" (line 825). Comment says "actual WhatsApp/email dispatch would integrate with Twilio/Resend here" — never implemented.</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processScheduledMessages</w:t>
      </w:r>
      <w:r>
        <w:rPr>
          <w:rFonts w:ascii="Calibri" w:eastAsia="Microsoft YaHei"/>
          <w:color w:val="1A2B40"/>
          <w:sz w:val="22"/>
          <w:szCs w:val="22"/>
        </w:rPr>
        <w:t xml:space="preserve"> (portals.ts:1557) — Marks emails and WhatsApp messages as "sent" without actually delivering them (lines 1574-1587). SMS marked as "failed" with "SMS provider not configured".</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runDailyAutomation</w:t>
      </w:r>
      <w:r>
        <w:rPr>
          <w:rFonts w:ascii="Calibri" w:eastAsia="Microsoft YaHei"/>
          <w:color w:val="1A2B40"/>
          <w:sz w:val="22"/>
          <w:szCs w:val="22"/>
        </w:rPr>
        <w:t xml:space="preserve"> (sentry.ts:843-877) — Recipient hardcoded to "simulated_tenant" (line 868). No real delivery occurs.</w:t>
      </w:r>
    </w:p>
    <w:p>
      <w:pPr>
        <w:spacing w:after="80" w:before="80" w:line="312"/>
        <w:jc w:val="left"/>
      </w:pPr>
      <w:r>
        <w:rPr>
          <w:rFonts w:ascii="Calibri" w:eastAsia="Microsoft YaHei"/>
          <w:color w:val="1A2B40"/>
          <w:sz w:val="22"/>
          <w:szCs w:val="22"/>
        </w:rPr>
        <w:t xml:space="preserve">The communications.ts file already has working sendEmail (Brevo) and sendWhatsApp (Chakra) functions. The fix is to call these actual delivery functions from the cron handlers instead of logging simulated results.</w:t>
      </w:r>
    </w:p>
    <w:p>
      <w:pPr>
        <w:pStyle w:val="Heading2"/>
        <w:spacing w:after="160" w:before="280" w:line="312"/>
      </w:pPr>
      <w:bookmarkStart w:id="100008" w:name="_Toc100008"/>
      <w:r>
        <w:rPr>
          <w:rFonts w:ascii="Calibri" w:eastAsia="Microsoft YaHei"/>
          <w:b/>
          <w:bCs/>
          <w:color w:val="0A1628"/>
          <w:sz w:val="26"/>
          <w:szCs w:val="26"/>
        </w:rPr>
        <w:t xml:space="preserve">2.5 Missing Tenant Authorization in Portal</w:t>
      </w:r>
      <w:bookmarkEnd w:id="100008"/>
    </w:p>
    <w:p>
      <w:pPr>
        <w:spacing w:after="80" w:before="80" w:line="312"/>
        <w:jc w:val="left"/>
      </w:pPr>
      <w:r>
        <w:rPr>
          <w:rFonts w:ascii="Calibri" w:eastAsia="Microsoft YaHei"/>
          <w:color w:val="1A2B40"/>
          <w:sz w:val="22"/>
          <w:szCs w:val="22"/>
        </w:rPr>
        <w:t xml:space="preserve">Portal tenant queries do not verify that the caller is actually the tenant they are querying for. Any authenticated portal user can pass any tenantId and view that tenant's ledger, maintenance tickets, and messages.</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getTenantInfo</w:t>
      </w:r>
      <w:r>
        <w:rPr>
          <w:rFonts w:ascii="Calibri" w:eastAsia="Microsoft YaHei"/>
          <w:color w:val="1A2B40"/>
          <w:sz w:val="22"/>
          <w:szCs w:val="22"/>
        </w:rPr>
        <w:t xml:space="preserve"> (portals.ts:1621) — No identity verification. Any portal user can query any other tenant's data.</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getTenantLedger</w:t>
      </w:r>
      <w:r>
        <w:rPr>
          <w:rFonts w:ascii="Calibri" w:eastAsia="Microsoft YaHei"/>
          <w:color w:val="1A2B40"/>
          <w:sz w:val="22"/>
          <w:szCs w:val="22"/>
        </w:rPr>
        <w:t xml:space="preserve"> (portals.ts:1825) — Same issue. Financial data exposed to any authenticated user.</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getMaintenanceTicketsByTenant</w:t>
      </w:r>
      <w:r>
        <w:rPr>
          <w:rFonts w:ascii="Calibri" w:eastAsia="Microsoft YaHei"/>
          <w:color w:val="1A2B40"/>
          <w:sz w:val="22"/>
          <w:szCs w:val="22"/>
        </w:rPr>
        <w:t xml:space="preserve"> (portals.ts:45) — Same issue. Maintenance records exposed.</w:t>
      </w:r>
    </w:p>
    <w:p>
      <w:pPr>
        <w:spacing w:after="80" w:before="80" w:line="312"/>
        <w:jc w:val="left"/>
      </w:pPr>
      <w:r>
        <w:rPr>
          <w:rFonts w:ascii="Calibri" w:eastAsia="Microsoft YaHei"/>
          <w:color w:val="1A2B40"/>
          <w:sz w:val="22"/>
          <w:szCs w:val="22"/>
        </w:rPr>
        <w:t xml:space="preserve">The fix is to verify ctx.auth and match the caller's userId against the requested tenantId before returning data.</w:t>
      </w:r>
    </w:p>
    <w:p>
      <w:pPr>
        <w:pStyle w:val="Heading2"/>
        <w:spacing w:after="160" w:before="280" w:line="312"/>
      </w:pPr>
      <w:bookmarkStart w:id="100009" w:name="_Toc100009"/>
      <w:r>
        <w:rPr>
          <w:rFonts w:ascii="Calibri" w:eastAsia="Microsoft YaHei"/>
          <w:b/>
          <w:bCs/>
          <w:color w:val="0A1628"/>
          <w:sz w:val="26"/>
          <w:szCs w:val="26"/>
        </w:rPr>
        <w:t xml:space="preserve">2.6 Admin Functions Without Auth</w:t>
      </w:r>
      <w:bookmarkEnd w:id="100009"/>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adminSearchUsersByEmail</w:t>
      </w:r>
      <w:r>
        <w:rPr>
          <w:rFonts w:ascii="Calibri" w:eastAsia="Microsoft YaHei"/>
          <w:color w:val="1A2B40"/>
          <w:sz w:val="22"/>
          <w:szCs w:val="22"/>
        </w:rPr>
        <w:t xml:space="preserve"> (myFunctions.ts:2892) — Comment says "In a real app, verify the caller is an Admin" but no check exists.</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adminDeleteUser</w:t>
      </w:r>
      <w:r>
        <w:rPr>
          <w:rFonts w:ascii="Calibri" w:eastAsia="Microsoft YaHei"/>
          <w:color w:val="1A2B40"/>
          <w:sz w:val="22"/>
          <w:szCs w:val="22"/>
        </w:rPr>
        <w:t xml:space="preserve"> (myFunctions.ts:2905) — Same issue. Any user can delete any other user.</w:t>
      </w:r>
    </w:p>
    <w:p>
      <w:pPr>
        <w:spacing w:after="60" w:before="60" w:line="312"/>
        <w:ind w:left="240"/>
      </w:pPr>
      <w:r>
        <w:rPr>
          <w:rFonts w:ascii="Calibri" w:eastAsia="Microsoft YaHei"/>
          <w:b/>
          <w:bCs/>
          <w:color w:val="C0392B"/>
          <w:sz w:val="18"/>
          <w:szCs w:val="18"/>
        </w:rPr>
        <w:t xml:space="preserve"> [P0] </w:t>
      </w:r>
      <w:r>
        <w:rPr>
          <w:rFonts w:ascii="Calibri" w:eastAsia="Microsoft YaHei"/>
          <w:b/>
          <w:bCs/>
          <w:color w:val="1A2B40"/>
          <w:sz w:val="22"/>
          <w:szCs w:val="22"/>
        </w:rPr>
        <w:t xml:space="preserve">adminForceVerify</w:t>
      </w:r>
      <w:r>
        <w:rPr>
          <w:rFonts w:ascii="Calibri" w:eastAsia="Microsoft YaHei"/>
          <w:color w:val="1A2B40"/>
          <w:sz w:val="22"/>
          <w:szCs w:val="22"/>
        </w:rPr>
        <w:t xml:space="preserve"> (myFunctions.ts:2916) — Same issue. Any user can force-verify any email.</w:t>
      </w:r>
    </w:p>
    <w:p>
      <w:pPr>
        <w:pStyle w:val="Heading1"/>
        <w:spacing w:after="200" w:before="360" w:line="312"/>
      </w:pPr>
      <w:bookmarkStart w:id="100010" w:name="_Toc100010"/>
      <w:r>
        <w:rPr>
          <w:rFonts w:ascii="Calibri" w:eastAsia="Microsoft YaHei"/>
          <w:b/>
          <w:bCs/>
          <w:color w:val="0A1628"/>
          <w:sz w:val="32"/>
          <w:szCs w:val="32"/>
        </w:rPr>
        <w:t xml:space="preserve">3. Significant Issues (P1)</w:t>
      </w:r>
      <w:bookmarkEnd w:id="100010"/>
    </w:p>
    <w:p>
      <w:pPr>
        <w:spacing w:after="80" w:before="80" w:line="312"/>
        <w:jc w:val="left"/>
      </w:pPr>
      <w:r>
        <w:rPr>
          <w:rFonts w:ascii="Calibri" w:eastAsia="Microsoft YaHei"/>
          <w:color w:val="1A2B40"/>
          <w:sz w:val="22"/>
          <w:szCs w:val="22"/>
        </w:rPr>
        <w:t xml:space="preserve">These issues should be addressed before or shortly after launch. They affect data integrity, performance, or user experience significantly.</w:t>
      </w:r>
    </w:p>
    <w:p>
      <w:pPr>
        <w:pStyle w:val="Heading2"/>
        <w:spacing w:after="160" w:before="280" w:line="312"/>
      </w:pPr>
      <w:bookmarkStart w:id="100011" w:name="_Toc100011"/>
      <w:r>
        <w:rPr>
          <w:rFonts w:ascii="Calibri" w:eastAsia="Microsoft YaHei"/>
          <w:b/>
          <w:bCs/>
          <w:color w:val="0A1628"/>
          <w:sz w:val="26"/>
          <w:szCs w:val="26"/>
        </w:rPr>
        <w:t xml:space="preserve">3.1 Data Model: Units as v.any() Embedded Array</w:t>
      </w:r>
      <w:bookmarkEnd w:id="100011"/>
    </w:p>
    <w:p>
      <w:pPr>
        <w:spacing w:after="80" w:before="80" w:line="312"/>
        <w:jc w:val="left"/>
      </w:pPr>
      <w:r>
        <w:rPr>
          <w:rFonts w:ascii="Calibri" w:eastAsia="Microsoft YaHei"/>
          <w:color w:val="1A2B40"/>
          <w:sz w:val="22"/>
          <w:szCs w:val="22"/>
        </w:rPr>
        <w:t xml:space="preserve">Properties store their units as an embedded v.array(v.any()) field. This is the single largest data model issue because it means: no referential integrity between units and the six tables that reference unitId (service_charges, ledger_entries, leads_pipeline, automation_logs, atrium_inbound_messages, maintenance_tickets), no unit-level indexing, and unbounded document growth as units accumulate history. Convex has a 1MB document limit; a large property with 200+ units and historical data will approach this limit.</w:t>
      </w:r>
    </w:p>
    <w:p>
      <w:pPr>
        <w:spacing w:after="80" w:before="80" w:line="312"/>
        <w:jc w:val="left"/>
      </w:pPr>
      <w:r>
        <w:rPr>
          <w:rFonts w:ascii="Calibri" w:eastAsia="Microsoft YaHei"/>
          <w:color w:val="1A2B40"/>
          <w:sz w:val="22"/>
          <w:szCs w:val="22"/>
        </w:rPr>
        <w:t xml:space="preserve">Additionally, unitId fields in other tables are string references with no foreign key enforcement. If a unit is deleted from the embedded array, all related records become orphaned. The fix is to extract units into a dedicated table with proper typed fields, indexes, and foreign key references.</w:t>
      </w:r>
    </w:p>
    <w:p>
      <w:pPr>
        <w:pStyle w:val="Heading2"/>
        <w:spacing w:after="160" w:before="280" w:line="312"/>
      </w:pPr>
      <w:bookmarkStart w:id="100012" w:name="_Toc100012"/>
      <w:r>
        <w:rPr>
          <w:rFonts w:ascii="Calibri" w:eastAsia="Microsoft YaHei"/>
          <w:b/>
          <w:bCs/>
          <w:color w:val="0A1628"/>
          <w:sz w:val="26"/>
          <w:szCs w:val="26"/>
        </w:rPr>
        <w:t xml:space="preserve">3.2 Missing Database Indexes</w:t>
      </w:r>
      <w:bookmarkEnd w:id="100012"/>
    </w:p>
    <w:p>
      <w:pPr>
        <w:spacing w:after="80" w:before="80" w:line="312"/>
        <w:jc w:val="left"/>
      </w:pPr>
      <w:r>
        <w:rPr>
          <w:rFonts w:ascii="Calibri" w:eastAsia="Microsoft YaHei"/>
          <w:color w:val="1A2B40"/>
          <w:sz w:val="22"/>
          <w:szCs w:val="22"/>
        </w:rPr>
        <w:t xml:space="preserve">Several frequently-queried fields lack indexes, causing full table scans in production code. This will degrade performance as data grows.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Table</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Missing Index</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Impact</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properties</w:t>
            </w:r>
          </w:p>
        </w:tc>
        <w:tc>
          <w:tcPr>
            <w:tcMar>
              <w:top w:type="dxa" w:w="50"/>
              <w:left w:type="dxa" w:w="100"/>
              <w:bottom w:type="dxa" w:w="50"/>
              <w:right w:type="dxa" w:w="100"/>
            </w:tcMar>
          </w:tcPr>
          <w:p>
            <w:pPr>
              <w:jc w:val="left"/>
            </w:pPr>
            <w:r>
              <w:rPr>
                <w:rFonts w:ascii="Calibri" w:eastAsia="Microsoft YaHei"/>
                <w:color w:val="1A2B40"/>
                <w:sz w:val="18"/>
                <w:szCs w:val="18"/>
              </w:rPr>
              <w:t xml:space="preserve">by_firm_status</w:t>
            </w:r>
          </w:p>
        </w:tc>
        <w:tc>
          <w:tcPr>
            <w:tcMar>
              <w:top w:type="dxa" w:w="50"/>
              <w:left w:type="dxa" w:w="100"/>
              <w:bottom w:type="dxa" w:w="50"/>
              <w:right w:type="dxa" w:w="100"/>
            </w:tcMar>
          </w:tcPr>
          <w:p>
            <w:pPr>
              <w:jc w:val="left"/>
            </w:pPr>
            <w:r>
              <w:rPr>
                <w:rFonts w:ascii="Calibri" w:eastAsia="Microsoft YaHei"/>
                <w:color w:val="1A2B40"/>
                <w:sz w:val="18"/>
                <w:szCs w:val="18"/>
              </w:rPr>
              <w:t xml:space="preserve">Status filtering requires full firm scan</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properties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by_owner / by_landlord</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Landlord-specific queries are unindexed</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properties</w:t>
            </w:r>
          </w:p>
        </w:tc>
        <w:tc>
          <w:tcPr>
            <w:tcMar>
              <w:top w:type="dxa" w:w="50"/>
              <w:left w:type="dxa" w:w="100"/>
              <w:bottom w:type="dxa" w:w="50"/>
              <w:right w:type="dxa" w:w="100"/>
            </w:tcMar>
          </w:tcPr>
          <w:p>
            <w:pPr>
              <w:jc w:val="left"/>
            </w:pPr>
            <w:r>
              <w:rPr>
                <w:rFonts w:ascii="Calibri" w:eastAsia="Microsoft YaHei"/>
                <w:color w:val="1A2B40"/>
                <w:sz w:val="18"/>
                <w:szCs w:val="18"/>
              </w:rPr>
              <w:t xml:space="preserve">by_currentTenant</w:t>
            </w:r>
          </w:p>
        </w:tc>
        <w:tc>
          <w:tcPr>
            <w:tcMar>
              <w:top w:type="dxa" w:w="50"/>
              <w:left w:type="dxa" w:w="100"/>
              <w:bottom w:type="dxa" w:w="50"/>
              <w:right w:type="dxa" w:w="100"/>
            </w:tcMar>
          </w:tcPr>
          <w:p>
            <w:pPr>
              <w:jc w:val="left"/>
            </w:pPr>
            <w:r>
              <w:rPr>
                <w:rFonts w:ascii="Calibri" w:eastAsia="Microsoft YaHei"/>
                <w:color w:val="1A2B40"/>
                <w:sz w:val="18"/>
                <w:szCs w:val="18"/>
              </w:rPr>
              <w:t xml:space="preserve">"Which properties does this tenant occupy?" is O(n)</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tenancies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by_firm_status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Active tenancy filtering is unindexed</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tenancies</w:t>
            </w:r>
          </w:p>
        </w:tc>
        <w:tc>
          <w:tcPr>
            <w:tcMar>
              <w:top w:type="dxa" w:w="50"/>
              <w:left w:type="dxa" w:w="100"/>
              <w:bottom w:type="dxa" w:w="50"/>
              <w:right w:type="dxa" w:w="100"/>
            </w:tcMar>
          </w:tcPr>
          <w:p>
            <w:pPr>
              <w:jc w:val="left"/>
            </w:pPr>
            <w:r>
              <w:rPr>
                <w:rFonts w:ascii="Calibri" w:eastAsia="Microsoft YaHei"/>
                <w:color w:val="1A2B40"/>
                <w:sz w:val="18"/>
                <w:szCs w:val="18"/>
              </w:rPr>
              <w:t xml:space="preserve">by_property_status</w:t>
            </w:r>
          </w:p>
        </w:tc>
        <w:tc>
          <w:tcPr>
            <w:tcMar>
              <w:top w:type="dxa" w:w="50"/>
              <w:left w:type="dxa" w:w="100"/>
              <w:bottom w:type="dxa" w:w="50"/>
              <w:right w:type="dxa" w:w="100"/>
            </w:tcMar>
          </w:tcPr>
          <w:p>
            <w:pPr>
              <w:jc w:val="left"/>
            </w:pPr>
            <w:r>
              <w:rPr>
                <w:rFonts w:ascii="Calibri" w:eastAsia="Microsoft YaHei"/>
                <w:color w:val="1A2B40"/>
                <w:sz w:val="18"/>
                <w:szCs w:val="18"/>
              </w:rPr>
              <w:t xml:space="preserve">Active tenancies per property are unindexed</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tenancies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by_tenant_status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Tenant's current tenancy is unindexed</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service_charges</w:t>
            </w:r>
          </w:p>
        </w:tc>
        <w:tc>
          <w:tcPr>
            <w:tcMar>
              <w:top w:type="dxa" w:w="50"/>
              <w:left w:type="dxa" w:w="100"/>
              <w:bottom w:type="dxa" w:w="50"/>
              <w:right w:type="dxa" w:w="100"/>
            </w:tcMar>
          </w:tcPr>
          <w:p>
            <w:pPr>
              <w:jc w:val="left"/>
            </w:pPr>
            <w:r>
              <w:rPr>
                <w:rFonts w:ascii="Calibri" w:eastAsia="Microsoft YaHei"/>
                <w:color w:val="1A2B40"/>
                <w:sz w:val="18"/>
                <w:szCs w:val="18"/>
              </w:rPr>
              <w:t xml:space="preserve">by_tenant</w:t>
            </w:r>
          </w:p>
        </w:tc>
        <w:tc>
          <w:tcPr>
            <w:tcMar>
              <w:top w:type="dxa" w:w="50"/>
              <w:left w:type="dxa" w:w="100"/>
              <w:bottom w:type="dxa" w:w="50"/>
              <w:right w:type="dxa" w:w="100"/>
            </w:tcMar>
          </w:tcPr>
          <w:p>
            <w:pPr>
              <w:jc w:val="left"/>
            </w:pPr>
            <w:r>
              <w:rPr>
                <w:rFonts w:ascii="Calibri" w:eastAsia="Microsoft YaHei"/>
                <w:color w:val="1A2B40"/>
                <w:sz w:val="18"/>
                <w:szCs w:val="18"/>
              </w:rPr>
              <w:t xml:space="preserve">Tenant charge lookups require join or scan</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ledger_entries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by_propertyId</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Per-property financial queries are unindexed</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ledger_entries</w:t>
            </w:r>
          </w:p>
        </w:tc>
        <w:tc>
          <w:tcPr>
            <w:tcMar>
              <w:top w:type="dxa" w:w="50"/>
              <w:left w:type="dxa" w:w="100"/>
              <w:bottom w:type="dxa" w:w="50"/>
              <w:right w:type="dxa" w:w="100"/>
            </w:tcMar>
          </w:tcPr>
          <w:p>
            <w:pPr>
              <w:jc w:val="left"/>
            </w:pPr>
            <w:r>
              <w:rPr>
                <w:rFonts w:ascii="Calibri" w:eastAsia="Microsoft YaHei"/>
                <w:color w:val="1A2B40"/>
                <w:sz w:val="18"/>
                <w:szCs w:val="18"/>
              </w:rPr>
              <w:t xml:space="preserve">by_tenant</w:t>
            </w:r>
          </w:p>
        </w:tc>
        <w:tc>
          <w:tcPr>
            <w:tcMar>
              <w:top w:type="dxa" w:w="50"/>
              <w:left w:type="dxa" w:w="100"/>
              <w:bottom w:type="dxa" w:w="50"/>
              <w:right w:type="dxa" w:w="100"/>
            </w:tcMar>
          </w:tcPr>
          <w:p>
            <w:pPr>
              <w:jc w:val="left"/>
            </w:pPr>
            <w:r>
              <w:rPr>
                <w:rFonts w:ascii="Calibri" w:eastAsia="Microsoft YaHei"/>
                <w:color w:val="1A2B40"/>
                <w:sz w:val="18"/>
                <w:szCs w:val="18"/>
              </w:rPr>
              <w:t xml:space="preserve">Per-tenant transaction history is unindexed</w:t>
            </w:r>
          </w:p>
        </w:tc>
      </w:tr>
    </w:tbl>
    <w:p>
      <w:pPr>
        <w:pStyle w:val="Heading2"/>
        <w:spacing w:after="160" w:before="280" w:line="312"/>
      </w:pPr>
      <w:bookmarkStart w:id="100013" w:name="_Toc100013"/>
      <w:r>
        <w:rPr>
          <w:rFonts w:ascii="Calibri" w:eastAsia="Microsoft YaHei"/>
          <w:b/>
          <w:bCs/>
          <w:color w:val="0A1628"/>
          <w:sz w:val="26"/>
          <w:szCs w:val="26"/>
        </w:rPr>
        <w:t xml:space="preserve">3.3 Full-Table Scans in Production Code</w:t>
      </w:r>
      <w:bookmarkEnd w:id="100013"/>
    </w:p>
    <w:p>
      <w:pPr>
        <w:spacing w:after="80" w:before="80" w:line="312"/>
        <w:jc w:val="left"/>
      </w:pPr>
      <w:r>
        <w:rPr>
          <w:rFonts w:ascii="Calibri" w:eastAsia="Microsoft YaHei"/>
          <w:color w:val="1A2B40"/>
          <w:sz w:val="22"/>
          <w:szCs w:val="22"/>
        </w:rPr>
        <w:t xml:space="preserve">Several backend functions use .collect() without an index scope, loading ALL records across ALL firms. This is an O(n) operation that will become unsustainable.</w:t>
      </w:r>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sentry.ts:685,954,1017</w:t>
      </w:r>
      <w:r>
        <w:rPr>
          <w:rFonts w:ascii="Calibri" w:eastAsia="Microsoft YaHei"/>
          <w:color w:val="1A2B40"/>
          <w:sz w:val="22"/>
          <w:szCs w:val="22"/>
        </w:rPr>
        <w:t xml:space="preserve"> — ctx.db.query("properties").collect() loads ALL properties globally. Should use .withIndex("by_firm", ...) to scope queries.</w:t>
      </w:r>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sentry.ts:320</w:t>
      </w:r>
      <w:r>
        <w:rPr>
          <w:rFonts w:ascii="Calibri" w:eastAsia="Microsoft YaHei"/>
          <w:color w:val="1A2B40"/>
          <w:sz w:val="22"/>
          <w:szCs w:val="22"/>
        </w:rPr>
        <w:t xml:space="preserve"> — ctx.db.query("service_charges").collect() loads ALL service charges globally.</w:t>
      </w:r>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portals.ts:1368,1792</w:t>
      </w:r>
      <w:r>
        <w:rPr>
          <w:rFonts w:ascii="Calibri" w:eastAsia="Microsoft YaHei"/>
          <w:color w:val="1A2B40"/>
          <w:sz w:val="22"/>
          <w:szCs w:val="22"/>
        </w:rPr>
        <w:t xml:space="preserve"> — Same pattern, unscoped property queries.</w:t>
      </w:r>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deleteMatterCascade</w:t>
      </w:r>
      <w:r>
        <w:rPr>
          <w:rFonts w:ascii="Calibri" w:eastAsia="Microsoft YaHei"/>
          <w:color w:val="1A2B40"/>
          <w:sz w:val="22"/>
          <w:szCs w:val="22"/>
        </w:rPr>
        <w:t xml:space="preserve"> (myFunctions.ts:2742) — For each of 11 tables, fetches ALL firm items then filters. N+1 query pattern.</w:t>
      </w:r>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deleteContactCascade</w:t>
      </w:r>
      <w:r>
        <w:rPr>
          <w:rFonts w:ascii="Calibri" w:eastAsia="Microsoft YaHei"/>
          <w:color w:val="1A2B40"/>
          <w:sz w:val="22"/>
          <w:szCs w:val="22"/>
        </w:rPr>
        <w:t xml:space="preserve"> (myFunctions.ts:2857) — Nested loops: matters x 7 tables.</w:t>
      </w:r>
    </w:p>
    <w:p>
      <w:pPr>
        <w:pStyle w:val="Heading2"/>
        <w:spacing w:after="160" w:before="280" w:line="312"/>
      </w:pPr>
      <w:bookmarkStart w:id="100014" w:name="_Toc100014"/>
      <w:r>
        <w:rPr>
          <w:rFonts w:ascii="Calibri" w:eastAsia="Microsoft YaHei"/>
          <w:b/>
          <w:bCs/>
          <w:color w:val="0A1628"/>
          <w:sz w:val="26"/>
          <w:szCs w:val="26"/>
        </w:rPr>
        <w:t xml:space="preserve">3.4 v.any() Input Validation Gaps</w:t>
      </w:r>
      <w:bookmarkEnd w:id="100014"/>
    </w:p>
    <w:p>
      <w:pPr>
        <w:spacing w:after="80" w:before="80" w:line="312"/>
        <w:jc w:val="left"/>
      </w:pPr>
      <w:r>
        <w:rPr>
          <w:rFonts w:ascii="Calibri" w:eastAsia="Microsoft YaHei"/>
          <w:color w:val="1A2B40"/>
          <w:sz w:val="22"/>
          <w:szCs w:val="22"/>
        </w:rPr>
        <w:t xml:space="preserve">Nine mutation arguments use v.any(), providing zero type safety or input validation. This allows malformed data to enter the database and is a security risk.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Function</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File:Line</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Argument</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createItem</w:t>
            </w:r>
          </w:p>
        </w:tc>
        <w:tc>
          <w:tcPr>
            <w:tcMar>
              <w:top w:type="dxa" w:w="50"/>
              <w:left w:type="dxa" w:w="100"/>
              <w:bottom w:type="dxa" w:w="50"/>
              <w:right w:type="dxa" w:w="100"/>
            </w:tcMar>
          </w:tcPr>
          <w:p>
            <w:pPr>
              <w:jc w:val="left"/>
            </w:pPr>
            <w:r>
              <w:rPr>
                <w:rFonts w:ascii="Calibri" w:eastAsia="Microsoft YaHei"/>
                <w:color w:val="1A2B40"/>
                <w:sz w:val="18"/>
                <w:szCs w:val="18"/>
              </w:rPr>
              <w:t xml:space="preserve">myFunctions.ts:1828</w:t>
            </w:r>
          </w:p>
        </w:tc>
        <w:tc>
          <w:tcPr>
            <w:tcMar>
              <w:top w:type="dxa" w:w="50"/>
              <w:left w:type="dxa" w:w="100"/>
              <w:bottom w:type="dxa" w:w="50"/>
              <w:right w:type="dxa" w:w="100"/>
            </w:tcMar>
          </w:tcPr>
          <w:p>
            <w:pPr>
              <w:jc w:val="left"/>
            </w:pPr>
            <w:r>
              <w:rPr>
                <w:rFonts w:ascii="Calibri" w:eastAsia="Microsoft YaHei"/>
                <w:color w:val="1A2B40"/>
                <w:sz w:val="18"/>
                <w:szCs w:val="18"/>
              </w:rPr>
              <w:t xml:space="preserve">data: v.any()</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updateItem</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myFunctions.ts:1989</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data: v.any()</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addUnitToProperty</w:t>
            </w:r>
          </w:p>
        </w:tc>
        <w:tc>
          <w:tcPr>
            <w:tcMar>
              <w:top w:type="dxa" w:w="50"/>
              <w:left w:type="dxa" w:w="100"/>
              <w:bottom w:type="dxa" w:w="50"/>
              <w:right w:type="dxa" w:w="100"/>
            </w:tcMar>
          </w:tcPr>
          <w:p>
            <w:pPr>
              <w:jc w:val="left"/>
            </w:pPr>
            <w:r>
              <w:rPr>
                <w:rFonts w:ascii="Calibri" w:eastAsia="Microsoft YaHei"/>
                <w:color w:val="1A2B40"/>
                <w:sz w:val="18"/>
                <w:szCs w:val="18"/>
              </w:rPr>
              <w:t xml:space="preserve">myFunctions.ts:2959</w:t>
            </w:r>
          </w:p>
        </w:tc>
        <w:tc>
          <w:tcPr>
            <w:tcMar>
              <w:top w:type="dxa" w:w="50"/>
              <w:left w:type="dxa" w:w="100"/>
              <w:bottom w:type="dxa" w:w="50"/>
              <w:right w:type="dxa" w:w="100"/>
            </w:tcMar>
          </w:tcPr>
          <w:p>
            <w:pPr>
              <w:jc w:val="left"/>
            </w:pPr>
            <w:r>
              <w:rPr>
                <w:rFonts w:ascii="Calibri" w:eastAsia="Microsoft YaHei"/>
                <w:color w:val="1A2B40"/>
                <w:sz w:val="18"/>
                <w:szCs w:val="18"/>
              </w:rPr>
              <w:t xml:space="preserve">unitData: v.any()</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createUser</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myFunctions.ts:1012</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args: v.any()</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updateFirmSettings</w:t>
            </w:r>
          </w:p>
        </w:tc>
        <w:tc>
          <w:tcPr>
            <w:tcMar>
              <w:top w:type="dxa" w:w="50"/>
              <w:left w:type="dxa" w:w="100"/>
              <w:bottom w:type="dxa" w:w="50"/>
              <w:right w:type="dxa" w:w="100"/>
            </w:tcMar>
          </w:tcPr>
          <w:p>
            <w:pPr>
              <w:jc w:val="left"/>
            </w:pPr>
            <w:r>
              <w:rPr>
                <w:rFonts w:ascii="Calibri" w:eastAsia="Microsoft YaHei"/>
                <w:color w:val="1A2B40"/>
                <w:sz w:val="18"/>
                <w:szCs w:val="18"/>
              </w:rPr>
              <w:t xml:space="preserve">myFunctions.ts:1650</w:t>
            </w:r>
          </w:p>
        </w:tc>
        <w:tc>
          <w:tcPr>
            <w:tcMar>
              <w:top w:type="dxa" w:w="50"/>
              <w:left w:type="dxa" w:w="100"/>
              <w:bottom w:type="dxa" w:w="50"/>
              <w:right w:type="dxa" w:w="100"/>
            </w:tcMar>
          </w:tcPr>
          <w:p>
            <w:pPr>
              <w:jc w:val="left"/>
            </w:pPr>
            <w:r>
              <w:rPr>
                <w:rFonts w:ascii="Calibri" w:eastAsia="Microsoft YaHei"/>
                <w:color w:val="1A2B40"/>
                <w:sz w:val="18"/>
                <w:szCs w:val="18"/>
              </w:rPr>
              <w:t xml:space="preserve">settings: v.any()</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updateUserSecurityFields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myFunctions.ts:996</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fields: v.any()</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saveAloaMessage</w:t>
            </w:r>
          </w:p>
        </w:tc>
        <w:tc>
          <w:tcPr>
            <w:tcMar>
              <w:top w:type="dxa" w:w="50"/>
              <w:left w:type="dxa" w:w="100"/>
              <w:bottom w:type="dxa" w:w="50"/>
              <w:right w:type="dxa" w:w="100"/>
            </w:tcMar>
          </w:tcPr>
          <w:p>
            <w:pPr>
              <w:jc w:val="left"/>
            </w:pPr>
            <w:r>
              <w:rPr>
                <w:rFonts w:ascii="Calibri" w:eastAsia="Microsoft YaHei"/>
                <w:color w:val="1A2B40"/>
                <w:sz w:val="18"/>
                <w:szCs w:val="18"/>
              </w:rPr>
              <w:t xml:space="preserve">myFunctions.ts:2629</w:t>
            </w:r>
          </w:p>
        </w:tc>
        <w:tc>
          <w:tcPr>
            <w:tcMar>
              <w:top w:type="dxa" w:w="50"/>
              <w:left w:type="dxa" w:w="100"/>
              <w:bottom w:type="dxa" w:w="50"/>
              <w:right w:type="dxa" w:w="100"/>
            </w:tcMar>
          </w:tcPr>
          <w:p>
            <w:pPr>
              <w:jc w:val="left"/>
            </w:pPr>
            <w:r>
              <w:rPr>
                <w:rFonts w:ascii="Calibri" w:eastAsia="Microsoft YaHei"/>
                <w:color w:val="1A2B40"/>
                <w:sz w:val="18"/>
                <w:szCs w:val="18"/>
              </w:rPr>
              <w:t xml:space="preserve">message: v.any()</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logActivity</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myFunctions.ts:1892</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metadata: v.optional(v.any())</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updateInviteRecord</w:t>
            </w:r>
          </w:p>
        </w:tc>
        <w:tc>
          <w:tcPr>
            <w:tcMar>
              <w:top w:type="dxa" w:w="50"/>
              <w:left w:type="dxa" w:w="100"/>
              <w:bottom w:type="dxa" w:w="50"/>
              <w:right w:type="dxa" w:w="100"/>
            </w:tcMar>
          </w:tcPr>
          <w:p>
            <w:pPr>
              <w:jc w:val="left"/>
            </w:pPr>
            <w:r>
              <w:rPr>
                <w:rFonts w:ascii="Calibri" w:eastAsia="Microsoft YaHei"/>
                <w:color w:val="1A2B40"/>
                <w:sz w:val="18"/>
                <w:szCs w:val="18"/>
              </w:rPr>
              <w:t xml:space="preserve">portals.ts:607</w:t>
            </w:r>
          </w:p>
        </w:tc>
        <w:tc>
          <w:tcPr>
            <w:tcMar>
              <w:top w:type="dxa" w:w="50"/>
              <w:left w:type="dxa" w:w="100"/>
              <w:bottom w:type="dxa" w:w="50"/>
              <w:right w:type="dxa" w:w="100"/>
            </w:tcMar>
          </w:tcPr>
          <w:p>
            <w:pPr>
              <w:jc w:val="left"/>
            </w:pPr>
            <w:r>
              <w:rPr>
                <w:rFonts w:ascii="Calibri" w:eastAsia="Microsoft YaHei"/>
                <w:color w:val="1A2B40"/>
                <w:sz w:val="18"/>
                <w:szCs w:val="18"/>
              </w:rPr>
              <w:t xml:space="preserve">updates: v.any()</w:t>
            </w:r>
          </w:p>
        </w:tc>
      </w:tr>
    </w:tbl>
    <w:p>
      <w:pPr>
        <w:pStyle w:val="Heading2"/>
        <w:spacing w:after="160" w:before="280" w:line="312"/>
      </w:pPr>
      <w:bookmarkStart w:id="100015" w:name="_Toc100015"/>
      <w:r>
        <w:rPr>
          <w:rFonts w:ascii="Calibri" w:eastAsia="Microsoft YaHei"/>
          <w:b/>
          <w:bCs/>
          <w:color w:val="0A1628"/>
          <w:sz w:val="26"/>
          <w:szCs w:val="26"/>
        </w:rPr>
        <w:t xml:space="preserve">3.5 Race Conditions</w:t>
      </w:r>
      <w:bookmarkEnd w:id="100015"/>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addUnitToProperty</w:t>
      </w:r>
      <w:r>
        <w:rPr>
          <w:rFonts w:ascii="Calibri" w:eastAsia="Microsoft YaHei"/>
          <w:color w:val="1A2B40"/>
          <w:sz w:val="22"/>
          <w:szCs w:val="22"/>
        </w:rPr>
        <w:t xml:space="preserve"> (myFunctions.ts:2974) — Reads property.units then patches with [...existingUnits, newUnit]. Two concurrent calls could both read the same existingUnits and one addition gets lost.</w:t>
      </w:r>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incrementWhatsAppQuota</w:t>
      </w:r>
      <w:r>
        <w:rPr>
          <w:rFonts w:ascii="Calibri" w:eastAsia="Microsoft YaHei"/>
          <w:color w:val="1A2B40"/>
          <w:sz w:val="22"/>
          <w:szCs w:val="22"/>
        </w:rPr>
        <w:t xml:space="preserve"> (myFunctions.ts:2947) — Read-then-increment counter. Concurrent sends could exceed the monthly limit.</w:t>
      </w:r>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createPortalInvite</w:t>
      </w:r>
      <w:r>
        <w:rPr>
          <w:rFonts w:ascii="Calibri" w:eastAsia="Microsoft YaHei"/>
          <w:color w:val="1A2B40"/>
          <w:sz w:val="22"/>
          <w:szCs w:val="22"/>
        </w:rPr>
        <w:t xml:space="preserve"> (portals.ts) — Supersede existing invites then insert. Small window where concurrent invites for same email could both succeed.</w:t>
      </w:r>
    </w:p>
    <w:p>
      <w:pPr>
        <w:pStyle w:val="Heading2"/>
        <w:spacing w:after="160" w:before="280" w:line="312"/>
      </w:pPr>
      <w:bookmarkStart w:id="100016" w:name="_Toc100016"/>
      <w:r>
        <w:rPr>
          <w:rFonts w:ascii="Calibri" w:eastAsia="Microsoft YaHei"/>
          <w:b/>
          <w:bCs/>
          <w:color w:val="0A1628"/>
          <w:sz w:val="26"/>
          <w:szCs w:val="26"/>
        </w:rPr>
        <w:t xml:space="preserve">3.6 schemaValidation: false</w:t>
      </w:r>
      <w:bookmarkEnd w:id="100016"/>
    </w:p>
    <w:p>
      <w:pPr>
        <w:spacing w:after="80" w:before="80" w:line="312"/>
        <w:jc w:val="left"/>
      </w:pPr>
      <w:r>
        <w:rPr>
          <w:rFonts w:ascii="Calibri" w:eastAsia="Microsoft YaHei"/>
          <w:color w:val="1A2B40"/>
          <w:sz w:val="22"/>
          <w:szCs w:val="22"/>
        </w:rPr>
        <w:t xml:space="preserve">The Convex schema has schemaValidation: false (schema.ts line 1355), which means Convex will not enforce type constraints at the database level. This negates much of the schema definition work and allows fields like portalPresenceHidden (used in code but missing from the schema) to silently work until they cause bugs. Production deployments should have schema validation enabled.</w:t>
      </w:r>
    </w:p>
    <w:p>
      <w:pPr>
        <w:pStyle w:val="Heading2"/>
        <w:spacing w:after="160" w:before="280" w:line="312"/>
      </w:pPr>
      <w:bookmarkStart w:id="100017" w:name="_Toc100017"/>
      <w:r>
        <w:rPr>
          <w:rFonts w:ascii="Calibri" w:eastAsia="Microsoft YaHei"/>
          <w:b/>
          <w:bCs/>
          <w:color w:val="0A1628"/>
          <w:sz w:val="26"/>
          <w:szCs w:val="26"/>
        </w:rPr>
        <w:t xml:space="preserve">3.7 Missing Loading States</w:t>
      </w:r>
      <w:bookmarkEnd w:id="100017"/>
    </w:p>
    <w:p>
      <w:pPr>
        <w:spacing w:after="80" w:before="80" w:line="312"/>
        <w:jc w:val="left"/>
      </w:pPr>
      <w:r>
        <w:rPr>
          <w:rFonts w:ascii="Calibri" w:eastAsia="Microsoft YaHei"/>
          <w:color w:val="1A2B40"/>
          <w:sz w:val="22"/>
          <w:szCs w:val="22"/>
        </w:rPr>
        <w:t xml:space="preserve">Several Atrium components have no loading skeleton, showing an empty or broken layout while data fetches:</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PropertyManagerView</w:t>
      </w:r>
      <w:r>
        <w:rPr>
          <w:rFonts w:ascii="Calibri" w:eastAsia="Microsoft YaHei"/>
          <w:color w:val="1A2B40"/>
          <w:sz w:val="22"/>
          <w:szCs w:val="22"/>
        </w:rPr>
        <w:t xml:space="preserve"> — No loading skeleton while properties are fetching</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RevenueEngine</w:t>
      </w:r>
      <w:r>
        <w:rPr>
          <w:rFonts w:ascii="Calibri" w:eastAsia="Microsoft YaHei"/>
          <w:color w:val="1A2B40"/>
          <w:sz w:val="22"/>
          <w:szCs w:val="22"/>
        </w:rPr>
        <w:t xml:space="preserve"> — No loading skeleton when coreState data is undefined</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VacancyPipeline</w:t>
      </w:r>
      <w:r>
        <w:rPr>
          <w:rFonts w:ascii="Calibri" w:eastAsia="Microsoft YaHei"/>
          <w:color w:val="1A2B40"/>
          <w:sz w:val="22"/>
          <w:szCs w:val="22"/>
        </w:rPr>
        <w:t xml:space="preserve"> — Assumes leadsPipeline is always available</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PropertyReports</w:t>
      </w:r>
      <w:r>
        <w:rPr>
          <w:rFonts w:ascii="Calibri" w:eastAsia="Microsoft YaHei"/>
          <w:color w:val="1A2B40"/>
          <w:sz w:val="22"/>
          <w:szCs w:val="22"/>
        </w:rPr>
        <w:t xml:space="preserve"> — No loading skeleton at all</w:t>
      </w:r>
    </w:p>
    <w:p>
      <w:pPr>
        <w:pStyle w:val="Heading2"/>
        <w:spacing w:after="160" w:before="280" w:line="312"/>
      </w:pPr>
      <w:bookmarkStart w:id="100018" w:name="_Toc100018"/>
      <w:r>
        <w:rPr>
          <w:rFonts w:ascii="Calibri" w:eastAsia="Microsoft YaHei"/>
          <w:b/>
          <w:bCs/>
          <w:color w:val="0A1628"/>
          <w:sz w:val="26"/>
          <w:szCs w:val="26"/>
        </w:rPr>
        <w:t xml:space="preserve">3.8 AutomationCenter Select Dropdown Bug</w:t>
      </w:r>
      <w:bookmarkEnd w:id="100018"/>
    </w:p>
    <w:p>
      <w:pPr>
        <w:spacing w:after="60" w:before="60" w:line="312"/>
        <w:ind w:left="240"/>
      </w:pPr>
      <w:r>
        <w:rPr>
          <w:rFonts w:ascii="Calibri" w:eastAsia="Microsoft YaHei"/>
          <w:b/>
          <w:bCs/>
          <w:color w:val="D4A030"/>
          <w:sz w:val="18"/>
          <w:szCs w:val="18"/>
        </w:rPr>
        <w:t xml:space="preserve"> [P1] </w:t>
      </w:r>
      <w:r>
        <w:rPr>
          <w:rFonts w:ascii="Calibri" w:eastAsia="Microsoft YaHei"/>
          <w:b/>
          <w:bCs/>
          <w:color w:val="1A2B40"/>
          <w:sz w:val="22"/>
          <w:szCs w:val="22"/>
        </w:rPr>
        <w:t xml:space="preserve">AutomationCenter.tsx</w:t>
      </w:r>
      <w:r>
        <w:rPr>
          <w:rFonts w:ascii="Calibri" w:eastAsia="Microsoft YaHei"/>
          <w:color w:val="1A2B40"/>
          <w:sz w:val="22"/>
          <w:szCs w:val="22"/>
        </w:rPr>
        <w:t xml:space="preserve"> (line 270) — React elements (SVG icons) are rendered inside &lt;option&gt; tags as {MSG_TYPE_ICONS[k]} {v}, producing "[object Object]" text in the dropdown. Icons must be removed from &lt;option&gt; elements.</w:t>
      </w:r>
    </w:p>
    <w:p>
      <w:pPr>
        <w:pStyle w:val="Heading1"/>
        <w:spacing w:after="200" w:before="360" w:line="312"/>
      </w:pPr>
      <w:bookmarkStart w:id="100019" w:name="_Toc100019"/>
      <w:r>
        <w:rPr>
          <w:rFonts w:ascii="Calibri" w:eastAsia="Microsoft YaHei"/>
          <w:b/>
          <w:bCs/>
          <w:color w:val="0A1628"/>
          <w:sz w:val="32"/>
          <w:szCs w:val="32"/>
        </w:rPr>
        <w:t xml:space="preserve">4. Moderate Issues (P2)</w:t>
      </w:r>
      <w:bookmarkEnd w:id="100019"/>
    </w:p>
    <w:p>
      <w:pPr>
        <w:spacing w:after="80" w:before="80" w:line="312"/>
        <w:jc w:val="left"/>
      </w:pPr>
      <w:r>
        <w:rPr>
          <w:rFonts w:ascii="Calibri" w:eastAsia="Microsoft YaHei"/>
          <w:color w:val="1A2B40"/>
          <w:sz w:val="22"/>
          <w:szCs w:val="22"/>
        </w:rPr>
        <w:t xml:space="preserve">These issues should be addressed in the first post-launch iteration. They affect completeness, consistency, or maintainability.</w:t>
      </w:r>
    </w:p>
    <w:p>
      <w:pPr>
        <w:pStyle w:val="Heading2"/>
        <w:spacing w:after="160" w:before="280" w:line="312"/>
      </w:pPr>
      <w:bookmarkStart w:id="100020" w:name="_Toc100020"/>
      <w:r>
        <w:rPr>
          <w:rFonts w:ascii="Calibri" w:eastAsia="Microsoft YaHei"/>
          <w:b/>
          <w:bCs/>
          <w:color w:val="0A1628"/>
          <w:sz w:val="26"/>
          <w:szCs w:val="26"/>
        </w:rPr>
        <w:t xml:space="preserve">4.1 Missing Property Management Features</w:t>
      </w:r>
      <w:bookmarkEnd w:id="100020"/>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Feature</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Status</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Impact</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Lease lifecycle (create/renew/terminate)</w:t>
            </w:r>
          </w:p>
        </w:tc>
        <w:tc>
          <w:tcP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tcMar>
              <w:top w:type="dxa" w:w="50"/>
              <w:left w:type="dxa" w:w="100"/>
              <w:bottom w:type="dxa" w:w="50"/>
              <w:right w:type="dxa" w:w="100"/>
            </w:tcMar>
          </w:tcPr>
          <w:p>
            <w:pPr>
              <w:jc w:val="left"/>
            </w:pPr>
            <w:r>
              <w:rPr>
                <w:rFonts w:ascii="Calibri" w:eastAsia="Microsoft YaHei"/>
                <w:color w:val="1A2B40"/>
                <w:sz w:val="18"/>
                <w:szCs w:val="18"/>
              </w:rPr>
              <w:t xml:space="preserve">Tenancies table unused; no lease tracking</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Demand notice delivery</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Notices generated but never sent to tenants</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Bulk unit generation</w:t>
            </w:r>
          </w:p>
        </w:tc>
        <w:tc>
          <w:tcP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tcMar>
              <w:top w:type="dxa" w:w="50"/>
              <w:left w:type="dxa" w:w="100"/>
              <w:bottom w:type="dxa" w:w="50"/>
              <w:right w:type="dxa" w:w="100"/>
            </w:tcMar>
          </w:tcPr>
          <w:p>
            <w:pPr>
              <w:jc w:val="left"/>
            </w:pPr>
            <w:r>
              <w:rPr>
                <w:rFonts w:ascii="Calibri" w:eastAsia="Microsoft YaHei"/>
                <w:color w:val="1A2B40"/>
                <w:sz w:val="18"/>
                <w:szCs w:val="18"/>
              </w:rPr>
              <w:t xml:space="preserve">50-unit property requires 50 separate mutations</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Unit status management</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 updateUnitStatus mutation</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Occupancy rate calculation</w:t>
            </w:r>
          </w:p>
        </w:tc>
        <w:tc>
          <w:tcP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tcMar>
              <w:top w:type="dxa" w:w="50"/>
              <w:left w:type="dxa" w:w="100"/>
              <w:bottom w:type="dxa" w:w="50"/>
              <w:right w:type="dxa" w:w="100"/>
            </w:tcMar>
          </w:tcPr>
          <w:p>
            <w:pPr>
              <w:jc w:val="left"/>
            </w:pPr>
            <w:r>
              <w:rPr>
                <w:rFonts w:ascii="Calibri" w:eastAsia="Microsoft YaHei"/>
                <w:color w:val="1A2B40"/>
                <w:sz w:val="18"/>
                <w:szCs w:val="18"/>
              </w:rPr>
              <w:t xml:space="preserve">No function computes this key KPI</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Aging report (30/60/90 day)</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 arrears breakdown by age</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Rent roll report</w:t>
            </w:r>
          </w:p>
        </w:tc>
        <w:tc>
          <w:tcP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tcMar>
              <w:top w:type="dxa" w:w="50"/>
              <w:left w:type="dxa" w:w="100"/>
              <w:bottom w:type="dxa" w:w="50"/>
              <w:right w:type="dxa" w:w="100"/>
            </w:tcMar>
          </w:tcPr>
          <w:p>
            <w:pPr>
              <w:jc w:val="left"/>
            </w:pPr>
            <w:r>
              <w:rPr>
                <w:rFonts w:ascii="Calibri" w:eastAsia="Microsoft YaHei"/>
                <w:color w:val="1A2B40"/>
                <w:sz w:val="18"/>
                <w:szCs w:val="18"/>
              </w:rPr>
              <w:t xml:space="preserve">Standard property management report absent</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Payment collection rate</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 percentage tracking of collected vs owed</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Revenue by property</w:t>
            </w:r>
          </w:p>
        </w:tc>
        <w:tc>
          <w:tcP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tcMar>
              <w:top w:type="dxa" w:w="50"/>
              <w:left w:type="dxa" w:w="100"/>
              <w:bottom w:type="dxa" w:w="50"/>
              <w:right w:type="dxa" w:w="100"/>
            </w:tcMar>
          </w:tcPr>
          <w:p>
            <w:pPr>
              <w:jc w:val="left"/>
            </w:pPr>
            <w:r>
              <w:rPr>
                <w:rFonts w:ascii="Calibri" w:eastAsia="Microsoft YaHei"/>
                <w:color w:val="1A2B40"/>
                <w:sz w:val="18"/>
                <w:szCs w:val="18"/>
              </w:rPr>
              <w:t xml:space="preserve">getCashFlowSummary is firm-wide only</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Lease expiry notifications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 cron detects upcoming lease expirations</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Managed data migration tool</w:t>
            </w:r>
          </w:p>
        </w:tc>
        <w:tc>
          <w:tcP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tcMar>
              <w:top w:type="dxa" w:w="50"/>
              <w:left w:type="dxa" w:w="100"/>
              <w:bottom w:type="dxa" w:w="50"/>
              <w:right w:type="dxa" w:w="100"/>
            </w:tcMar>
          </w:tcPr>
          <w:p>
            <w:pPr>
              <w:jc w:val="left"/>
            </w:pPr>
            <w:r>
              <w:rPr>
                <w:rFonts w:ascii="Calibri" w:eastAsia="Microsoft YaHei"/>
                <w:color w:val="1A2B40"/>
                <w:sz w:val="18"/>
                <w:szCs w:val="18"/>
              </w:rPr>
              <w:t xml:space="preserve">isDataMigration flag exists but no import API</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Bulk demand notice generation</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Missing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One-at-a-time only; not scalable for defaulters</w:t>
            </w:r>
          </w:p>
        </w:tc>
      </w:tr>
    </w:tbl>
    <w:p>
      <w:pPr>
        <w:pStyle w:val="Heading2"/>
        <w:spacing w:after="160" w:before="280" w:line="312"/>
      </w:pPr>
      <w:bookmarkStart w:id="100021" w:name="_Toc100021"/>
      <w:r>
        <w:rPr>
          <w:rFonts w:ascii="Calibri" w:eastAsia="Microsoft YaHei"/>
          <w:b/>
          <w:bCs/>
          <w:color w:val="0A1628"/>
          <w:sz w:val="26"/>
          <w:szCs w:val="26"/>
        </w:rPr>
        <w:t xml:space="preserve">4.2 Schema Inconsistencies</w:t>
      </w:r>
      <w:bookmarkEnd w:id="100021"/>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portalPresenceHidden</w:t>
      </w:r>
      <w:r>
        <w:rPr>
          <w:rFonts w:ascii="Calibri" w:eastAsia="Microsoft YaHei"/>
          <w:color w:val="1A2B40"/>
          <w:sz w:val="22"/>
          <w:szCs w:val="22"/>
        </w:rPr>
        <w:t xml:space="preserve"> — Used in code (myFunctions.ts, portals.ts) but not defined in users schema. Works only because schemaValidation is false.</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Duplicate created_by / createdBy</w:t>
      </w:r>
      <w:r>
        <w:rPr>
          <w:rFonts w:ascii="Calibri" w:eastAsia="Microsoft YaHei"/>
          <w:color w:val="1A2B40"/>
          <w:sz w:val="22"/>
          <w:szCs w:val="22"/>
        </w:rPr>
        <w:t xml:space="preserve"> — Both exist in firms table (lines 35-36) with different naming conventions.</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numberOfUnits vs units.length</w:t>
      </w:r>
      <w:r>
        <w:rPr>
          <w:rFonts w:ascii="Calibri" w:eastAsia="Microsoft YaHei"/>
          <w:color w:val="1A2B40"/>
          <w:sz w:val="22"/>
          <w:szCs w:val="22"/>
        </w:rPr>
        <w:t xml:space="preserve"> — Both exist on properties table (lines 688-689) and can diverge.</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rentPaymentHistory</w:t>
      </w:r>
      <w:r>
        <w:rPr>
          <w:rFonts w:ascii="Calibri" w:eastAsia="Microsoft YaHei"/>
          <w:color w:val="1A2B40"/>
          <w:sz w:val="22"/>
          <w:szCs w:val="22"/>
        </w:rPr>
        <w:t xml:space="preserve"> — Denormalized on properties table (line 694) duplicates ledger_entries. Can become stale.</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maintenanceHistory</w:t>
      </w:r>
      <w:r>
        <w:rPr>
          <w:rFonts w:ascii="Calibri" w:eastAsia="Microsoft YaHei"/>
          <w:color w:val="1A2B40"/>
          <w:sz w:val="22"/>
          <w:szCs w:val="22"/>
        </w:rPr>
        <w:t xml:space="preserve"> — Same denormalization issue (line 693) duplicates maintenance_tickets.</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Field naming inconsistency</w:t>
      </w:r>
      <w:r>
        <w:rPr>
          <w:rFonts w:ascii="Calibri" w:eastAsia="Microsoft YaHei"/>
          <w:color w:val="1A2B40"/>
          <w:sz w:val="22"/>
          <w:szCs w:val="22"/>
        </w:rPr>
        <w:t xml:space="preserve"> — invoices.total_amount uses snake_case; timeEntries.user_id uses snake_case while everything else uses camelCase.</w:t>
      </w:r>
    </w:p>
    <w:p>
      <w:pPr>
        <w:pStyle w:val="Heading2"/>
        <w:spacing w:after="160" w:before="280" w:line="312"/>
      </w:pPr>
      <w:bookmarkStart w:id="100022" w:name="_Toc100022"/>
      <w:r>
        <w:rPr>
          <w:rFonts w:ascii="Calibri" w:eastAsia="Microsoft YaHei"/>
          <w:b/>
          <w:bCs/>
          <w:color w:val="0A1628"/>
          <w:sz w:val="26"/>
          <w:szCs w:val="26"/>
        </w:rPr>
        <w:t xml:space="preserve">4.3 Required Fields Marked as Optional</w:t>
      </w:r>
      <w:bookmarkEnd w:id="100022"/>
    </w:p>
    <w:p>
      <w:pPr>
        <w:spacing w:after="80" w:before="80" w:line="312"/>
        <w:jc w:val="left"/>
      </w:pPr>
      <w:r>
        <w:rPr>
          <w:rFonts w:ascii="Calibri" w:eastAsia="Microsoft YaHei"/>
          <w:color w:val="1A2B40"/>
          <w:sz w:val="22"/>
          <w:szCs w:val="22"/>
        </w:rPr>
        <w:t xml:space="preserve">The nullableString/nullableNumber/nullableBoolean pattern creates a triple-state problem (undefined | null | value). Critical fields that should be required include: properties.firmId, properties.address, properties.propertyType, tenancies.firmId, tenancies.propertyId, tenancies.tenantId, tenancies.rentAmount, tenancies.startDate, payment_proofs.firmId, payment_proofs.tenantId, payment_proofs.amount, payment_proofs.status, and portal_settings.firmId.</w:t>
      </w:r>
    </w:p>
    <w:p>
      <w:pPr>
        <w:pStyle w:val="Heading2"/>
        <w:spacing w:after="160" w:before="280" w:line="312"/>
      </w:pPr>
      <w:bookmarkStart w:id="100023" w:name="_Toc100023"/>
      <w:r>
        <w:rPr>
          <w:rFonts w:ascii="Calibri" w:eastAsia="Microsoft YaHei"/>
          <w:b/>
          <w:bCs/>
          <w:color w:val="0A1628"/>
          <w:sz w:val="26"/>
          <w:szCs w:val="26"/>
        </w:rPr>
        <w:t xml:space="preserve">4.4 Orphaned Stub Component</w:t>
      </w:r>
      <w:bookmarkEnd w:id="100023"/>
    </w:p>
    <w:p>
      <w:pPr>
        <w:spacing w:after="60" w:before="60" w:line="312"/>
        <w:ind w:left="240"/>
      </w:pPr>
      <w:r>
        <w:rPr>
          <w:rFonts w:ascii="Calibri" w:eastAsia="Microsoft YaHei"/>
          <w:b/>
          <w:bCs/>
          <w:color w:val="5B8DB8"/>
          <w:sz w:val="18"/>
          <w:szCs w:val="18"/>
        </w:rPr>
        <w:t xml:space="preserve"> [P2] </w:t>
      </w:r>
      <w:r>
        <w:rPr>
          <w:rFonts w:ascii="Calibri" w:eastAsia="Microsoft YaHei"/>
          <w:b/>
          <w:bCs/>
          <w:color w:val="1A2B40"/>
          <w:sz w:val="22"/>
          <w:szCs w:val="22"/>
        </w:rPr>
        <w:t xml:space="preserve">AtriumPublicApplicationForm.tsx</w:t>
      </w:r>
      <w:r>
        <w:rPr>
          <w:rFonts w:ascii="Calibri" w:eastAsia="Microsoft YaHei"/>
          <w:color w:val="1A2B40"/>
          <w:sz w:val="22"/>
          <w:szCs w:val="22"/>
        </w:rPr>
        <w:t xml:space="preserve"> — The public application form component has its backend mutation commented out (line 17), submission is console.log only, the component is not imported anywhere, and no /apply/:propertyId route exists. This is dead code that should either be completed or removed.</w:t>
      </w:r>
    </w:p>
    <w:p>
      <w:pPr>
        <w:pStyle w:val="Heading2"/>
        <w:spacing w:after="160" w:before="280" w:line="312"/>
      </w:pPr>
      <w:bookmarkStart w:id="100024" w:name="_Toc100024"/>
      <w:r>
        <w:rPr>
          <w:rFonts w:ascii="Calibri" w:eastAsia="Microsoft YaHei"/>
          <w:b/>
          <w:bCs/>
          <w:color w:val="0A1628"/>
          <w:sz w:val="26"/>
          <w:szCs w:val="26"/>
        </w:rPr>
        <w:t xml:space="preserve">4.5 Payment Proofs Not Linked to Ledger Entries</w:t>
      </w:r>
      <w:bookmarkEnd w:id="100024"/>
    </w:p>
    <w:p>
      <w:pPr>
        <w:spacing w:after="80" w:before="80" w:line="312"/>
        <w:jc w:val="left"/>
      </w:pPr>
      <w:r>
        <w:rPr>
          <w:rFonts w:ascii="Calibri" w:eastAsia="Microsoft YaHei"/>
          <w:color w:val="1A2B40"/>
          <w:sz w:val="22"/>
          <w:szCs w:val="22"/>
        </w:rPr>
        <w:t xml:space="preserve">When a tenant uploads a payment proof via the portal, there is no automatic ledger entry creation. An admin must manually mark the corresponding service charge as paid via markChargeAsPaid. There is no ledgerEntryId on payment_proofs or vice versa, making reconciliation difficult and error-prone.</w:t>
      </w:r>
    </w:p>
    <w:p>
      <w:pPr>
        <w:pStyle w:val="Heading2"/>
        <w:spacing w:after="160" w:before="280" w:line="312"/>
      </w:pPr>
      <w:bookmarkStart w:id="100025" w:name="_Toc100025"/>
      <w:r>
        <w:rPr>
          <w:rFonts w:ascii="Calibri" w:eastAsia="Microsoft YaHei"/>
          <w:b/>
          <w:bCs/>
          <w:color w:val="0A1628"/>
          <w:sz w:val="26"/>
          <w:szCs w:val="26"/>
        </w:rPr>
        <w:t xml:space="preserve">4.6 Demand Notice Generation Issues</w:t>
      </w:r>
      <w:bookmarkEnd w:id="100025"/>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No dedicated demand_notices table</w:t>
      </w:r>
      <w:r>
        <w:rPr>
          <w:rFonts w:ascii="Calibri" w:eastAsia="Microsoft YaHei"/>
          <w:color w:val="1A2B40"/>
          <w:sz w:val="22"/>
          <w:szCs w:val="22"/>
        </w:rPr>
        <w:t xml:space="preserve"> — No way to track notice delivery status, tenant response, or escalation level</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No delivery mechanism</w:t>
      </w:r>
      <w:r>
        <w:rPr>
          <w:rFonts w:ascii="Calibri" w:eastAsia="Microsoft YaHei"/>
          <w:color w:val="1A2B40"/>
          <w:sz w:val="22"/>
          <w:szCs w:val="22"/>
        </w:rPr>
        <w:t xml:space="preserve"> — Generated demand notices are returned as text but never sent via WhatsApp or email</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Hardcoded notice period</w:t>
      </w:r>
      <w:r>
        <w:rPr>
          <w:rFonts w:ascii="Calibri" w:eastAsia="Microsoft YaHei"/>
          <w:color w:val="1A2B40"/>
          <w:sz w:val="22"/>
          <w:szCs w:val="22"/>
        </w:rPr>
        <w:t xml:space="preserve"> — notice_period: 7 (drafting.ts:67) should be configurable per jurisdiction/property</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No link to tenancies.totalArrears</w:t>
      </w:r>
      <w:r>
        <w:rPr>
          <w:rFonts w:ascii="Calibri" w:eastAsia="Microsoft YaHei"/>
          <w:color w:val="1A2B40"/>
          <w:sz w:val="22"/>
          <w:szCs w:val="22"/>
        </w:rPr>
        <w:t xml:space="preserve"> — Generating a demand doesn't update the arrears balance</w:t>
      </w:r>
    </w:p>
    <w:p>
      <w:pPr>
        <w:pStyle w:val="Heading2"/>
        <w:spacing w:after="160" w:before="280" w:line="312"/>
      </w:pPr>
      <w:bookmarkStart w:id="100026" w:name="_Toc100026"/>
      <w:r>
        <w:rPr>
          <w:rFonts w:ascii="Calibri" w:eastAsia="Microsoft YaHei"/>
          <w:b/>
          <w:bCs/>
          <w:color w:val="0A1628"/>
          <w:sz w:val="26"/>
          <w:szCs w:val="26"/>
        </w:rPr>
        <w:t xml:space="preserve">4.7 Zero ARIA Accessibility</w:t>
      </w:r>
      <w:bookmarkEnd w:id="100026"/>
    </w:p>
    <w:p>
      <w:pPr>
        <w:spacing w:after="80" w:before="80" w:line="312"/>
        <w:jc w:val="left"/>
      </w:pPr>
      <w:r>
        <w:rPr>
          <w:rFonts w:ascii="Calibri" w:eastAsia="Microsoft YaHei"/>
          <w:color w:val="1A2B40"/>
          <w:sz w:val="22"/>
          <w:szCs w:val="22"/>
        </w:rPr>
        <w:t xml:space="preserve">None of the Atrium components have ARIA attributes (aria-label, role, aria-describedby, aria-pressed). Tab bars lack role="tablist"/"tab", modal close buttons lack aria-label, and interactive filter pills lack aria-pressed. This is a WCAG 2.1 compliance issue that affects users with disabilities and may have legal implications depending on jurisdiction.</w:t>
      </w:r>
    </w:p>
    <w:p>
      <w:pPr>
        <w:pStyle w:val="Heading1"/>
        <w:spacing w:after="200" w:before="360" w:line="312"/>
      </w:pPr>
      <w:bookmarkStart w:id="100027" w:name="_Toc100027"/>
      <w:r>
        <w:rPr>
          <w:rFonts w:ascii="Calibri" w:eastAsia="Microsoft YaHei"/>
          <w:b/>
          <w:bCs/>
          <w:color w:val="0A1628"/>
          <w:sz w:val="32"/>
          <w:szCs w:val="32"/>
        </w:rPr>
        <w:t xml:space="preserve">5. Minor Issues (P3)</w:t>
      </w:r>
      <w:bookmarkEnd w:id="100027"/>
    </w:p>
    <w:p>
      <w:pPr>
        <w:spacing w:after="80" w:before="80" w:line="312"/>
        <w:jc w:val="left"/>
      </w:pPr>
      <w:r>
        <w:rPr>
          <w:rFonts w:ascii="Calibri" w:eastAsia="Microsoft YaHei"/>
          <w:color w:val="1A2B40"/>
          <w:sz w:val="22"/>
          <w:szCs w:val="22"/>
        </w:rPr>
        <w:t xml:space="preserve">These are quality-of-life improvements that can be addressed in subsequent iterations.</w:t>
      </w:r>
    </w:p>
    <w:p>
      <w:pPr>
        <w:pStyle w:val="Heading2"/>
        <w:spacing w:after="160" w:before="280" w:line="312"/>
      </w:pPr>
      <w:bookmarkStart w:id="100028" w:name="_Toc100028"/>
      <w:r>
        <w:rPr>
          <w:rFonts w:ascii="Calibri" w:eastAsia="Microsoft YaHei"/>
          <w:b/>
          <w:bCs/>
          <w:color w:val="0A1628"/>
          <w:sz w:val="26"/>
          <w:szCs w:val="26"/>
        </w:rPr>
        <w:t xml:space="preserve">5.1 UI Polish</w:t>
      </w:r>
      <w:bookmarkEnd w:id="100028"/>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CommunicationPrintView</w:t>
      </w:r>
      <w:r>
        <w:rPr>
          <w:rFonts w:ascii="Calibri" w:eastAsia="Microsoft YaHei"/>
          <w:color w:val="1A2B40"/>
          <w:sz w:val="22"/>
          <w:szCs w:val="22"/>
        </w:rPr>
        <w:t xml:space="preserve"> — "Page 1 of 1" is hardcoded; multi-page prints will show incorrect pagination</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PropertyReports</w:t>
      </w:r>
      <w:r>
        <w:rPr>
          <w:rFonts w:ascii="Calibri" w:eastAsia="Microsoft YaHei"/>
          <w:color w:val="1A2B40"/>
          <w:sz w:val="22"/>
          <w:szCs w:val="22"/>
        </w:rPr>
        <w:t xml:space="preserve"> — No error handling or empty state; table may overflow on mobile without horizontal scroll</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BulkEditPropertyModal</w:t>
      </w:r>
      <w:r>
        <w:rPr>
          <w:rFonts w:ascii="Calibri" w:eastAsia="Microsoft YaHei"/>
          <w:color w:val="1A2B40"/>
          <w:sz w:val="22"/>
          <w:szCs w:val="22"/>
        </w:rPr>
        <w:t xml:space="preserve"> — handleConfirm has no try/catch; if onConfirm rejects, the modal silently fails</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TenantPortal</w:t>
      </w:r>
      <w:r>
        <w:rPr>
          <w:rFonts w:ascii="Calibri" w:eastAsia="Microsoft YaHei"/>
          <w:color w:val="1A2B40"/>
          <w:sz w:val="22"/>
          <w:szCs w:val="22"/>
        </w:rPr>
        <w:t xml:space="preserve"> — TODO comment: "Extract isDark detection into a shared useIsDark hook" (line 210)</w:t>
      </w:r>
    </w:p>
    <w:p>
      <w:pPr>
        <w:pStyle w:val="Heading2"/>
        <w:spacing w:after="160" w:before="280" w:line="312"/>
      </w:pPr>
      <w:bookmarkStart w:id="100029" w:name="_Toc100029"/>
      <w:r>
        <w:rPr>
          <w:rFonts w:ascii="Calibri" w:eastAsia="Microsoft YaHei"/>
          <w:b/>
          <w:bCs/>
          <w:color w:val="0A1628"/>
          <w:sz w:val="26"/>
          <w:szCs w:val="26"/>
        </w:rPr>
        <w:t xml:space="preserve">5.2 Code Quality</w:t>
      </w:r>
      <w:bookmarkEnd w:id="100029"/>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product === 'property' check</w:t>
      </w:r>
      <w:r>
        <w:rPr>
          <w:rFonts w:ascii="Calibri" w:eastAsia="Microsoft YaHei"/>
          <w:color w:val="1A2B40"/>
          <w:sz w:val="22"/>
          <w:szCs w:val="22"/>
        </w:rPr>
        <w:t xml:space="preserve"> in App.tsx — Should use isAtrium from context instead of string comparison, since ProductContext maps property to atrium</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Deprecated fields in schema</w:t>
      </w:r>
      <w:r>
        <w:rPr>
          <w:rFonts w:ascii="Calibri" w:eastAsia="Microsoft YaHei"/>
          <w:color w:val="1A2B40"/>
          <w:sz w:val="22"/>
          <w:szCs w:val="22"/>
        </w:rPr>
        <w:t xml:space="preserve"> — portal_messages.replyContent and repliedAt are marked DEPRECATED but remain in schema</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attachments vs images</w:t>
      </w:r>
      <w:r>
        <w:rPr>
          <w:rFonts w:ascii="Calibri" w:eastAsia="Microsoft YaHei"/>
          <w:color w:val="1A2B40"/>
          <w:sz w:val="22"/>
          <w:szCs w:val="22"/>
        </w:rPr>
        <w:t xml:space="preserve"> — portals.ts:28 names the argument "attachments" but maps it to "images" in the insert (line 36). Confusing API surface.</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sentryWebhook.ts:21</w:t>
      </w:r>
      <w:r>
        <w:rPr>
          <w:rFonts w:ascii="Calibri" w:eastAsia="Microsoft YaHei"/>
          <w:color w:val="1A2B40"/>
          <w:sz w:val="22"/>
          <w:szCs w:val="22"/>
        </w:rPr>
        <w:t xml:space="preserve"> — TODO comment about crypto validation that was never implemented</w:t>
      </w:r>
    </w:p>
    <w:p>
      <w:pPr>
        <w:pStyle w:val="Heading2"/>
        <w:spacing w:after="160" w:before="280" w:line="312"/>
      </w:pPr>
      <w:bookmarkStart w:id="100030" w:name="_Toc100030"/>
      <w:r>
        <w:rPr>
          <w:rFonts w:ascii="Calibri" w:eastAsia="Microsoft YaHei"/>
          <w:b/>
          <w:bCs/>
          <w:color w:val="0A1628"/>
          <w:sz w:val="26"/>
          <w:szCs w:val="26"/>
        </w:rPr>
        <w:t xml:space="preserve">5.3 Missing SMS Provider</w:t>
      </w:r>
      <w:bookmarkEnd w:id="100030"/>
    </w:p>
    <w:p>
      <w:pPr>
        <w:spacing w:after="80" w:before="80" w:line="312"/>
        <w:jc w:val="left"/>
      </w:pPr>
      <w:r>
        <w:rPr>
          <w:rFonts w:ascii="Calibri" w:eastAsia="Microsoft YaHei"/>
          <w:color w:val="1A2B40"/>
          <w:sz w:val="22"/>
          <w:szCs w:val="22"/>
        </w:rPr>
        <w:t xml:space="preserve">The processScheduledMessages cron marks SMS as "failed" with "SMS provider not configured". If SMS is a planned feature, a provider (e.g., Twilio, Termii) needs to be integrated. If not, the SMS option should be removed from the UI to avoid misleading users.</w:t>
      </w:r>
    </w:p>
    <w:p>
      <w:pPr>
        <w:pStyle w:val="Heading1"/>
        <w:spacing w:after="200" w:before="360" w:line="312"/>
      </w:pPr>
      <w:bookmarkStart w:id="100031" w:name="_Toc100031"/>
      <w:r>
        <w:rPr>
          <w:rFonts w:ascii="Calibri" w:eastAsia="Microsoft YaHei"/>
          <w:b/>
          <w:bCs/>
          <w:color w:val="0A1628"/>
          <w:sz w:val="32"/>
          <w:szCs w:val="32"/>
        </w:rPr>
        <w:t xml:space="preserve">6. Feature Completeness Assessment</w:t>
      </w:r>
      <w:bookmarkEnd w:id="100031"/>
    </w:p>
    <w:p>
      <w:pPr>
        <w:pStyle w:val="Heading2"/>
        <w:spacing w:after="160" w:before="280" w:line="312"/>
      </w:pPr>
      <w:bookmarkStart w:id="100032" w:name="_Toc100032"/>
      <w:r>
        <w:rPr>
          <w:rFonts w:ascii="Calibri" w:eastAsia="Microsoft YaHei"/>
          <w:b/>
          <w:bCs/>
          <w:color w:val="0A1628"/>
          <w:sz w:val="26"/>
          <w:szCs w:val="26"/>
        </w:rPr>
        <w:t xml:space="preserve">6.1 What Works Well</w:t>
      </w:r>
      <w:bookmarkEnd w:id="100032"/>
    </w:p>
    <w:p>
      <w:pPr>
        <w:spacing w:after="80" w:before="80" w:line="312"/>
        <w:jc w:val="left"/>
      </w:pPr>
      <w:r>
        <w:rPr>
          <w:rFonts w:ascii="Calibri" w:eastAsia="Microsoft YaHei"/>
          <w:color w:val="1A2B40"/>
          <w:sz w:val="22"/>
          <w:szCs w:val="22"/>
        </w:rPr>
        <w:t xml:space="preserve">Despite the issues identified, Atrium has several areas that are genuinely well-built and production-ready:</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Tenant Portal</w:t>
      </w:r>
      <w:r>
        <w:rPr>
          <w:rFonts w:ascii="Calibri" w:eastAsia="Microsoft YaHei"/>
          <w:color w:val="1A2B40"/>
          <w:sz w:val="22"/>
          <w:szCs w:val="22"/>
        </w:rPr>
        <w:t xml:space="preserve"> (80% complete) — The most polished part of the product. 7 tabs with comprehensive functionality, per-tab error boundaries, auto-repair for missing firmId and stale property links, and mobile-first responsive design. This is genuinely impressive.</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Revenue Engine</w:t>
      </w:r>
      <w:r>
        <w:rPr>
          <w:rFonts w:ascii="Calibri" w:eastAsia="Microsoft YaHei"/>
          <w:color w:val="1A2B40"/>
          <w:sz w:val="22"/>
          <w:szCs w:val="22"/>
        </w:rPr>
        <w:t xml:space="preserve"> (75% complete) — The service charge monitor with defaulter tracking, penalty application, and cash flow visualization provides a solid framework. The ledger system with immutable entries and txHash idempotency is well-designed.</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Onboarding Flow</w:t>
      </w:r>
      <w:r>
        <w:rPr>
          <w:rFonts w:ascii="Calibri" w:eastAsia="Microsoft YaHei"/>
          <w:color w:val="1A2B40"/>
          <w:sz w:val="22"/>
          <w:szCs w:val="22"/>
        </w:rPr>
        <w:t xml:space="preserve"> (90% complete) — After recent fixes, the Atrium-specific plan selection, annual-only billing, SCE display, and managed data migration opt-in work correctly end-to-end.</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Automation Center</w:t>
      </w:r>
      <w:r>
        <w:rPr>
          <w:rFonts w:ascii="Calibri" w:eastAsia="Microsoft YaHei"/>
          <w:color w:val="1A2B40"/>
          <w:sz w:val="22"/>
          <w:szCs w:val="22"/>
        </w:rPr>
        <w:t xml:space="preserve"> (70% complete) — The rule configuration, template editor, and audit trail provide a good foundation for communication automation.</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Property CRUD</w:t>
      </w:r>
      <w:r>
        <w:rPr>
          <w:rFonts w:ascii="Calibri" w:eastAsia="Microsoft YaHei"/>
          <w:color w:val="1A2B40"/>
          <w:sz w:val="22"/>
          <w:szCs w:val="22"/>
        </w:rPr>
        <w:t xml:space="preserve"> (85% complete) — Creating, editing, and managing properties with units works well from a UI perspective, with bulk edit support and responsive design.</w:t>
      </w:r>
    </w:p>
    <w:p>
      <w:pPr>
        <w:pStyle w:val="Heading2"/>
        <w:spacing w:after="160" w:before="280" w:line="312"/>
      </w:pPr>
      <w:bookmarkStart w:id="100033" w:name="_Toc100033"/>
      <w:r>
        <w:rPr>
          <w:rFonts w:ascii="Calibri" w:eastAsia="Microsoft YaHei"/>
          <w:b/>
          <w:bCs/>
          <w:color w:val="0A1628"/>
          <w:sz w:val="26"/>
          <w:szCs w:val="26"/>
        </w:rPr>
        <w:t xml:space="preserve">6.2 What Needs Work</w:t>
      </w:r>
      <w:bookmarkEnd w:id="100033"/>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Area</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Completeness</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Key Gaps</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Property CRUD</w:t>
            </w:r>
          </w:p>
        </w:tc>
        <w:tc>
          <w:tcPr>
            <w:tcMar>
              <w:top w:type="dxa" w:w="50"/>
              <w:left w:type="dxa" w:w="100"/>
              <w:bottom w:type="dxa" w:w="50"/>
              <w:right w:type="dxa" w:w="100"/>
            </w:tcMar>
          </w:tcPr>
          <w:p>
            <w:pPr>
              <w:jc w:val="left"/>
            </w:pPr>
            <w:r>
              <w:rPr>
                <w:rFonts w:ascii="Calibri" w:eastAsia="Microsoft YaHei"/>
                <w:color w:val="1A2B40"/>
                <w:sz w:val="18"/>
                <w:szCs w:val="18"/>
              </w:rPr>
              <w:t xml:space="preserve">85%</w:t>
            </w:r>
          </w:p>
        </w:tc>
        <w:tc>
          <w:tcPr>
            <w:tcMar>
              <w:top w:type="dxa" w:w="50"/>
              <w:left w:type="dxa" w:w="100"/>
              <w:bottom w:type="dxa" w:w="50"/>
              <w:right w:type="dxa" w:w="100"/>
            </w:tcMar>
          </w:tcPr>
          <w:p>
            <w:pPr>
              <w:jc w:val="left"/>
            </w:pPr>
            <w:r>
              <w:rPr>
                <w:rFonts w:ascii="Calibri" w:eastAsia="Microsoft YaHei"/>
                <w:color w:val="1A2B40"/>
                <w:sz w:val="18"/>
                <w:szCs w:val="18"/>
              </w:rPr>
              <w:t xml:space="preserve">No dedicated mutations, v.any() data, no maxUnits enforcement</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Unit Management</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30%</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 bulk generation, no status management, v.any() unit data</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Tenant/Lease Mgmt</w:t>
            </w:r>
          </w:p>
        </w:tc>
        <w:tc>
          <w:tcPr>
            <w:tcMar>
              <w:top w:type="dxa" w:w="50"/>
              <w:left w:type="dxa" w:w="100"/>
              <w:bottom w:type="dxa" w:w="50"/>
              <w:right w:type="dxa" w:w="100"/>
            </w:tcMar>
          </w:tcPr>
          <w:p>
            <w:pPr>
              <w:jc w:val="left"/>
            </w:pPr>
            <w:r>
              <w:rPr>
                <w:rFonts w:ascii="Calibri" w:eastAsia="Microsoft YaHei"/>
                <w:color w:val="1A2B40"/>
                <w:sz w:val="18"/>
                <w:szCs w:val="18"/>
              </w:rPr>
              <w:t xml:space="preserve">40%</w:t>
            </w:r>
          </w:p>
        </w:tc>
        <w:tc>
          <w:tcPr>
            <w:tcMar>
              <w:top w:type="dxa" w:w="50"/>
              <w:left w:type="dxa" w:w="100"/>
              <w:bottom w:type="dxa" w:w="50"/>
              <w:right w:type="dxa" w:w="100"/>
            </w:tcMar>
          </w:tcPr>
          <w:p>
            <w:pPr>
              <w:jc w:val="left"/>
            </w:pPr>
            <w:r>
              <w:rPr>
                <w:rFonts w:ascii="Calibri" w:eastAsia="Microsoft YaHei"/>
                <w:color w:val="1A2B40"/>
                <w:sz w:val="18"/>
                <w:szCs w:val="18"/>
              </w:rPr>
              <w:t xml:space="preserve">No lease CRUD, tenancies table unused, no lease expiry tracking</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Billing/Revenue</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60%</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Ledger works well but no auth, no invoice generation</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Demand Notices</w:t>
            </w:r>
          </w:p>
        </w:tc>
        <w:tc>
          <w:tcPr>
            <w:tcMar>
              <w:top w:type="dxa" w:w="50"/>
              <w:left w:type="dxa" w:w="100"/>
              <w:bottom w:type="dxa" w:w="50"/>
              <w:right w:type="dxa" w:w="100"/>
            </w:tcMar>
          </w:tcPr>
          <w:p>
            <w:pPr>
              <w:jc w:val="left"/>
            </w:pPr>
            <w:r>
              <w:rPr>
                <w:rFonts w:ascii="Calibri" w:eastAsia="Microsoft YaHei"/>
                <w:color w:val="1A2B40"/>
                <w:sz w:val="18"/>
                <w:szCs w:val="18"/>
              </w:rPr>
              <w:t xml:space="preserve">30%</w:t>
            </w:r>
          </w:p>
        </w:tc>
        <w:tc>
          <w:tcPr>
            <w:tcMar>
              <w:top w:type="dxa" w:w="50"/>
              <w:left w:type="dxa" w:w="100"/>
              <w:bottom w:type="dxa" w:w="50"/>
              <w:right w:type="dxa" w:w="100"/>
            </w:tcMar>
          </w:tcPr>
          <w:p>
            <w:pPr>
              <w:jc w:val="left"/>
            </w:pPr>
            <w:r>
              <w:rPr>
                <w:rFonts w:ascii="Calibri" w:eastAsia="Microsoft YaHei"/>
                <w:color w:val="1A2B40"/>
                <w:sz w:val="18"/>
                <w:szCs w:val="18"/>
              </w:rPr>
              <w:t xml:space="preserve">Generation exists but no delivery, tenancies table empty</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Financial Reporting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40%</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Basic summaries only; no occupancy, aging, rent roll</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Tenant Portal</w:t>
            </w:r>
          </w:p>
        </w:tc>
        <w:tc>
          <w:tcPr>
            <w:tcMar>
              <w:top w:type="dxa" w:w="50"/>
              <w:left w:type="dxa" w:w="100"/>
              <w:bottom w:type="dxa" w:w="50"/>
              <w:right w:type="dxa" w:w="100"/>
            </w:tcMar>
          </w:tcPr>
          <w:p>
            <w:pPr>
              <w:jc w:val="left"/>
            </w:pPr>
            <w:r>
              <w:rPr>
                <w:rFonts w:ascii="Calibri" w:eastAsia="Microsoft YaHei"/>
                <w:color w:val="1A2B40"/>
                <w:sz w:val="18"/>
                <w:szCs w:val="18"/>
              </w:rPr>
              <w:t xml:space="preserve">80%</w:t>
            </w:r>
          </w:p>
        </w:tc>
        <w:tc>
          <w:tcPr>
            <w:tcMar>
              <w:top w:type="dxa" w:w="50"/>
              <w:left w:type="dxa" w:w="100"/>
              <w:bottom w:type="dxa" w:w="50"/>
              <w:right w:type="dxa" w:w="100"/>
            </w:tcMar>
          </w:tcPr>
          <w:p>
            <w:pPr>
              <w:jc w:val="left"/>
            </w:pPr>
            <w:r>
              <w:rPr>
                <w:rFonts w:ascii="Calibri" w:eastAsia="Microsoft YaHei"/>
                <w:color w:val="1A2B40"/>
                <w:sz w:val="18"/>
                <w:szCs w:val="18"/>
              </w:rPr>
              <w:t xml:space="preserve">Comprehensive but no tenant auth on queries</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Data Migration</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20%</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No bulk import, no managed migration tool</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Notifications</w:t>
            </w:r>
          </w:p>
        </w:tc>
        <w:tc>
          <w:tcPr>
            <w:tcMar>
              <w:top w:type="dxa" w:w="50"/>
              <w:left w:type="dxa" w:w="100"/>
              <w:bottom w:type="dxa" w:w="50"/>
              <w:right w:type="dxa" w:w="100"/>
            </w:tcMar>
          </w:tcPr>
          <w:p>
            <w:pPr>
              <w:jc w:val="left"/>
            </w:pPr>
            <w:r>
              <w:rPr>
                <w:rFonts w:ascii="Calibri" w:eastAsia="Microsoft YaHei"/>
                <w:color w:val="1A2B40"/>
                <w:sz w:val="18"/>
                <w:szCs w:val="18"/>
              </w:rPr>
              <w:t xml:space="preserve">40%</w:t>
            </w:r>
          </w:p>
        </w:tc>
        <w:tc>
          <w:tcPr>
            <w:tcMar>
              <w:top w:type="dxa" w:w="50"/>
              <w:left w:type="dxa" w:w="100"/>
              <w:bottom w:type="dxa" w:w="50"/>
              <w:right w:type="dxa" w:w="100"/>
            </w:tcMar>
          </w:tcPr>
          <w:p>
            <w:pPr>
              <w:jc w:val="left"/>
            </w:pPr>
            <w:r>
              <w:rPr>
                <w:rFonts w:ascii="Calibri" w:eastAsia="Microsoft YaHei"/>
                <w:color w:val="1A2B40"/>
                <w:sz w:val="18"/>
                <w:szCs w:val="18"/>
              </w:rPr>
              <w:t xml:space="preserve">Infrastructure exists but reminders are simulated</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AI Features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20%</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Generic proxy only, no Atrium-specific AI capabilities</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Accessibility</w:t>
            </w:r>
          </w:p>
        </w:tc>
        <w:tc>
          <w:tcPr>
            <w:tcMar>
              <w:top w:type="dxa" w:w="50"/>
              <w:left w:type="dxa" w:w="100"/>
              <w:bottom w:type="dxa" w:w="50"/>
              <w:right w:type="dxa" w:w="100"/>
            </w:tcMar>
          </w:tcPr>
          <w:p>
            <w:pPr>
              <w:jc w:val="left"/>
            </w:pPr>
            <w:r>
              <w:rPr>
                <w:rFonts w:ascii="Calibri" w:eastAsia="Microsoft YaHei"/>
                <w:color w:val="1A2B40"/>
                <w:sz w:val="18"/>
                <w:szCs w:val="18"/>
              </w:rPr>
              <w:t xml:space="preserve">5%</w:t>
            </w:r>
          </w:p>
        </w:tc>
        <w:tc>
          <w:tcPr>
            <w:tcMar>
              <w:top w:type="dxa" w:w="50"/>
              <w:left w:type="dxa" w:w="100"/>
              <w:bottom w:type="dxa" w:w="50"/>
              <w:right w:type="dxa" w:w="100"/>
            </w:tcMar>
          </w:tcPr>
          <w:p>
            <w:pPr>
              <w:jc w:val="left"/>
            </w:pPr>
            <w:r>
              <w:rPr>
                <w:rFonts w:ascii="Calibri" w:eastAsia="Microsoft YaHei"/>
                <w:color w:val="1A2B40"/>
                <w:sz w:val="18"/>
                <w:szCs w:val="18"/>
              </w:rPr>
              <w:t xml:space="preserve">Zero ARIA attributes across all Atrium components</w:t>
            </w:r>
          </w:p>
        </w:tc>
      </w:tr>
    </w:tbl>
    <w:p>
      <w:pPr>
        <w:pStyle w:val="Heading1"/>
        <w:spacing w:after="200" w:before="360" w:line="312"/>
      </w:pPr>
      <w:bookmarkStart w:id="100034" w:name="_Toc100034"/>
      <w:r>
        <w:rPr>
          <w:rFonts w:ascii="Calibri" w:eastAsia="Microsoft YaHei"/>
          <w:b/>
          <w:bCs/>
          <w:color w:val="0A1628"/>
          <w:sz w:val="32"/>
          <w:szCs w:val="32"/>
        </w:rPr>
        <w:t xml:space="preserve">7. Recommendations &amp; Priority</w:t>
      </w:r>
      <w:bookmarkEnd w:id="100034"/>
    </w:p>
    <w:p>
      <w:pPr>
        <w:pStyle w:val="Heading2"/>
        <w:spacing w:after="160" w:before="280" w:line="312"/>
      </w:pPr>
      <w:bookmarkStart w:id="100035" w:name="_Toc100035"/>
      <w:r>
        <w:rPr>
          <w:rFonts w:ascii="Calibri" w:eastAsia="Microsoft YaHei"/>
          <w:b/>
          <w:bCs/>
          <w:color w:val="0A1628"/>
          <w:sz w:val="26"/>
          <w:szCs w:val="26"/>
        </w:rPr>
        <w:t xml:space="preserve">7.1 Must-Fix Before Launch (P0)</w:t>
      </w:r>
      <w:bookmarkEnd w:id="100035"/>
    </w:p>
    <w:p>
      <w:pPr>
        <w:spacing w:after="80" w:before="80" w:line="312"/>
        <w:jc w:val="left"/>
      </w:pPr>
      <w:r>
        <w:rPr>
          <w:rFonts w:ascii="Calibri" w:eastAsia="Microsoft YaHei"/>
          <w:color w:val="1A2B40"/>
          <w:sz w:val="22"/>
          <w:szCs w:val="22"/>
        </w:rPr>
        <w:t xml:space="preserve">These items are non-negotiable for a production launch. They represent security vulnerabilities or core functionality that is fundamentally broken.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Issue</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Effort</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Risk if Unfixed</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1</w:t>
            </w:r>
          </w:p>
        </w:tc>
        <w:tc>
          <w:tcPr>
            <w:tcMar>
              <w:top w:type="dxa" w:w="50"/>
              <w:left w:type="dxa" w:w="100"/>
              <w:bottom w:type="dxa" w:w="50"/>
              <w:right w:type="dxa" w:w="100"/>
            </w:tcMar>
          </w:tcPr>
          <w:p>
            <w:pPr>
              <w:jc w:val="left"/>
            </w:pPr>
            <w:r>
              <w:rPr>
                <w:rFonts w:ascii="Calibri" w:eastAsia="Microsoft YaHei"/>
                <w:color w:val="1A2B40"/>
                <w:sz w:val="18"/>
                <w:szCs w:val="18"/>
              </w:rPr>
              <w:t xml:space="preserve">Add authorization to all Atrium financial mutations (sentry.ts)</w:t>
            </w:r>
          </w:p>
        </w:tc>
        <w:tc>
          <w:tcPr>
            <w:tcMar>
              <w:top w:type="dxa" w:w="50"/>
              <w:left w:type="dxa" w:w="100"/>
              <w:bottom w:type="dxa" w:w="50"/>
              <w:right w:type="dxa" w:w="100"/>
            </w:tcMar>
          </w:tcPr>
          <w:p>
            <w:pPr>
              <w:jc w:val="left"/>
            </w:pPr>
            <w:r>
              <w:rPr>
                <w:rFonts w:ascii="Calibri" w:eastAsia="Microsoft YaHei"/>
                <w:color w:val="1A2B40"/>
                <w:sz w:val="18"/>
                <w:szCs w:val="18"/>
              </w:rPr>
              <w:t xml:space="preserve">2-3 days</w:t>
            </w:r>
          </w:p>
        </w:tc>
        <w:tc>
          <w:tcPr>
            <w:tcMar>
              <w:top w:type="dxa" w:w="50"/>
              <w:left w:type="dxa" w:w="100"/>
              <w:bottom w:type="dxa" w:w="50"/>
              <w:right w:type="dxa" w:w="100"/>
            </w:tcMar>
          </w:tcPr>
          <w:p>
            <w:pPr>
              <w:jc w:val="left"/>
            </w:pPr>
            <w:r>
              <w:rPr>
                <w:rFonts w:ascii="Calibri" w:eastAsia="Microsoft YaHei"/>
                <w:color w:val="1A2B40"/>
                <w:sz w:val="18"/>
                <w:szCs w:val="18"/>
              </w:rPr>
              <w:t xml:space="preserve">Any user can modify any firm's financial data</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2</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Add tenant identity verification to portal queries (portals.ts)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1-2 days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Tenants can view other tenants' financial data</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3</w:t>
            </w:r>
          </w:p>
        </w:tc>
        <w:tc>
          <w:tcPr>
            <w:tcMar>
              <w:top w:type="dxa" w:w="50"/>
              <w:left w:type="dxa" w:w="100"/>
              <w:bottom w:type="dxa" w:w="50"/>
              <w:right w:type="dxa" w:w="100"/>
            </w:tcMar>
          </w:tcPr>
          <w:p>
            <w:pPr>
              <w:jc w:val="left"/>
            </w:pPr>
            <w:r>
              <w:rPr>
                <w:rFonts w:ascii="Calibri" w:eastAsia="Microsoft YaHei"/>
                <w:color w:val="1A2B40"/>
                <w:sz w:val="18"/>
                <w:szCs w:val="18"/>
              </w:rPr>
              <w:t xml:space="preserve">Add admin auth checks to adminSearchUsersByEmail, adminDeleteUser, adminForceVerify</w:t>
            </w:r>
          </w:p>
        </w:tc>
        <w:tc>
          <w:tcPr>
            <w:tcMar>
              <w:top w:type="dxa" w:w="50"/>
              <w:left w:type="dxa" w:w="100"/>
              <w:bottom w:type="dxa" w:w="50"/>
              <w:right w:type="dxa" w:w="100"/>
            </w:tcMar>
          </w:tcPr>
          <w:p>
            <w:pPr>
              <w:jc w:val="left"/>
            </w:pPr>
            <w:r>
              <w:rPr>
                <w:rFonts w:ascii="Calibri" w:eastAsia="Microsoft YaHei"/>
                <w:color w:val="1A2B40"/>
                <w:sz w:val="18"/>
                <w:szCs w:val="18"/>
              </w:rPr>
              <w:t xml:space="preserve">0.5 days</w:t>
            </w:r>
          </w:p>
        </w:tc>
        <w:tc>
          <w:tcPr>
            <w:tcMar>
              <w:top w:type="dxa" w:w="50"/>
              <w:left w:type="dxa" w:w="100"/>
              <w:bottom w:type="dxa" w:w="50"/>
              <w:right w:type="dxa" w:w="100"/>
            </w:tcMar>
          </w:tcPr>
          <w:p>
            <w:pPr>
              <w:jc w:val="left"/>
            </w:pPr>
            <w:r>
              <w:rPr>
                <w:rFonts w:ascii="Calibri" w:eastAsia="Microsoft YaHei"/>
                <w:color w:val="1A2B40"/>
                <w:sz w:val="18"/>
                <w:szCs w:val="18"/>
              </w:rPr>
              <w:t xml:space="preserve">Any user can search/delete/verify other users</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4</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Fix XSS in LedgerManager receipt generation</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0.5 days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Script injection via firm name or description</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5</w:t>
            </w:r>
          </w:p>
        </w:tc>
        <w:tc>
          <w:tcPr>
            <w:tcMar>
              <w:top w:type="dxa" w:w="50"/>
              <w:left w:type="dxa" w:w="100"/>
              <w:bottom w:type="dxa" w:w="50"/>
              <w:right w:type="dxa" w:w="100"/>
            </w:tcMar>
          </w:tcPr>
          <w:p>
            <w:pPr>
              <w:jc w:val="left"/>
            </w:pPr>
            <w:r>
              <w:rPr>
                <w:rFonts w:ascii="Calibri" w:eastAsia="Microsoft YaHei"/>
                <w:color w:val="1A2B40"/>
                <w:sz w:val="18"/>
                <w:szCs w:val="18"/>
              </w:rPr>
              <w:t xml:space="preserve">Implement actual notification delivery in cron handlers</w:t>
            </w:r>
          </w:p>
        </w:tc>
        <w:tc>
          <w:tcPr>
            <w:tcMar>
              <w:top w:type="dxa" w:w="50"/>
              <w:left w:type="dxa" w:w="100"/>
              <w:bottom w:type="dxa" w:w="50"/>
              <w:right w:type="dxa" w:w="100"/>
            </w:tcMar>
          </w:tcPr>
          <w:p>
            <w:pPr>
              <w:jc w:val="left"/>
            </w:pPr>
            <w:r>
              <w:rPr>
                <w:rFonts w:ascii="Calibri" w:eastAsia="Microsoft YaHei"/>
                <w:color w:val="1A2B40"/>
                <w:sz w:val="18"/>
                <w:szCs w:val="18"/>
              </w:rPr>
              <w:t xml:space="preserve">2-3 days</w:t>
            </w:r>
          </w:p>
        </w:tc>
        <w:tc>
          <w:tcPr>
            <w:tcMar>
              <w:top w:type="dxa" w:w="50"/>
              <w:left w:type="dxa" w:w="100"/>
              <w:bottom w:type="dxa" w:w="50"/>
              <w:right w:type="dxa" w:w="100"/>
            </w:tcMar>
          </w:tcPr>
          <w:p>
            <w:pPr>
              <w:jc w:val="left"/>
            </w:pPr>
            <w:r>
              <w:rPr>
                <w:rFonts w:ascii="Calibri" w:eastAsia="Microsoft YaHei"/>
                <w:color w:val="1A2B40"/>
                <w:sz w:val="18"/>
                <w:szCs w:val="18"/>
              </w:rPr>
              <w:t xml:space="preserve">Users pay for notifications that don't work</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6</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Create tenancy CRUD + wire into portal invite flow</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3-4 days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Rent demands always show null tenant info</w:t>
            </w:r>
          </w:p>
        </w:tc>
      </w:tr>
    </w:tbl>
    <w:p>
      <w:pPr>
        <w:pStyle w:val="Heading2"/>
        <w:spacing w:after="160" w:before="280" w:line="312"/>
      </w:pPr>
      <w:bookmarkStart w:id="100036" w:name="_Toc100036"/>
      <w:r>
        <w:rPr>
          <w:rFonts w:ascii="Calibri" w:eastAsia="Microsoft YaHei"/>
          <w:b/>
          <w:bCs/>
          <w:color w:val="0A1628"/>
          <w:sz w:val="26"/>
          <w:szCs w:val="26"/>
        </w:rPr>
        <w:t xml:space="preserve">7.2 Should-Fix Before Launch (P1)</w:t>
      </w:r>
      <w:bookmarkEnd w:id="100036"/>
    </w:p>
    <w:p>
      <w:pPr>
        <w:spacing w:after="80" w:before="80" w:line="312"/>
        <w:jc w:val="left"/>
      </w:pPr>
      <w:r>
        <w:rPr>
          <w:rFonts w:ascii="Calibri" w:eastAsia="Microsoft YaHei"/>
          <w:color w:val="1A2B40"/>
          <w:sz w:val="22"/>
          <w:szCs w:val="22"/>
        </w:rPr>
        <w:t xml:space="preserve">These items are strongly recommended for launch. They affect performance, data integrity, or user experience at scale.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Issue</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Effort</w:t>
            </w:r>
          </w:p>
        </w:tc>
        <w:tc>
          <w:tcPr>
            <w:shd w:fill="0A1628" w:color="auto" w:val="clear"/>
            <w:tcMar>
              <w:top w:type="dxa" w:w="60"/>
              <w:left w:type="dxa" w:w="120"/>
              <w:bottom w:type="dxa" w:w="60"/>
              <w:right w:type="dxa" w:w="120"/>
            </w:tcMar>
          </w:tcPr>
          <w:p>
            <w:pPr>
              <w:jc w:val="center"/>
            </w:pPr>
            <w:r>
              <w:rPr>
                <w:rFonts w:ascii="Calibri" w:eastAsia="Microsoft YaHei"/>
                <w:b/>
                <w:bCs/>
                <w:color w:val="FFFFFF"/>
                <w:sz w:val="18"/>
                <w:szCs w:val="18"/>
              </w:rPr>
              <w:t xml:space="preserve">Impact</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1</w:t>
            </w:r>
          </w:p>
        </w:tc>
        <w:tc>
          <w:tcPr>
            <w:tcMar>
              <w:top w:type="dxa" w:w="50"/>
              <w:left w:type="dxa" w:w="100"/>
              <w:bottom w:type="dxa" w:w="50"/>
              <w:right w:type="dxa" w:w="100"/>
            </w:tcMar>
          </w:tcPr>
          <w:p>
            <w:pPr>
              <w:jc w:val="left"/>
            </w:pPr>
            <w:r>
              <w:rPr>
                <w:rFonts w:ascii="Calibri" w:eastAsia="Microsoft YaHei"/>
                <w:color w:val="1A2B40"/>
                <w:sz w:val="18"/>
                <w:szCs w:val="18"/>
              </w:rPr>
              <w:t xml:space="preserve">Add missing database indexes (9 indexes)</w:t>
            </w:r>
          </w:p>
        </w:tc>
        <w:tc>
          <w:tcPr>
            <w:tcMar>
              <w:top w:type="dxa" w:w="50"/>
              <w:left w:type="dxa" w:w="100"/>
              <w:bottom w:type="dxa" w:w="50"/>
              <w:right w:type="dxa" w:w="100"/>
            </w:tcMar>
          </w:tcPr>
          <w:p>
            <w:pPr>
              <w:jc w:val="left"/>
            </w:pPr>
            <w:r>
              <w:rPr>
                <w:rFonts w:ascii="Calibri" w:eastAsia="Microsoft YaHei"/>
                <w:color w:val="1A2B40"/>
                <w:sz w:val="18"/>
                <w:szCs w:val="18"/>
              </w:rPr>
              <w:t xml:space="preserve">1 day</w:t>
            </w:r>
          </w:p>
        </w:tc>
        <w:tc>
          <w:tcPr>
            <w:tcMar>
              <w:top w:type="dxa" w:w="50"/>
              <w:left w:type="dxa" w:w="100"/>
              <w:bottom w:type="dxa" w:w="50"/>
              <w:right w:type="dxa" w:w="100"/>
            </w:tcMar>
          </w:tcPr>
          <w:p>
            <w:pPr>
              <w:jc w:val="left"/>
            </w:pPr>
            <w:r>
              <w:rPr>
                <w:rFonts w:ascii="Calibri" w:eastAsia="Microsoft YaHei"/>
                <w:color w:val="1A2B40"/>
                <w:sz w:val="18"/>
                <w:szCs w:val="18"/>
              </w:rPr>
              <w:t xml:space="preserve">Query performance degrades linearly with data growth</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2</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Replace v.any() with typed validators on critical mutations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2-3 days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Malformed data enters database unchecked</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3</w:t>
            </w:r>
          </w:p>
        </w:tc>
        <w:tc>
          <w:tcPr>
            <w:tcMar>
              <w:top w:type="dxa" w:w="50"/>
              <w:left w:type="dxa" w:w="100"/>
              <w:bottom w:type="dxa" w:w="50"/>
              <w:right w:type="dxa" w:w="100"/>
            </w:tcMar>
          </w:tcPr>
          <w:p>
            <w:pPr>
              <w:jc w:val="left"/>
            </w:pPr>
            <w:r>
              <w:rPr>
                <w:rFonts w:ascii="Calibri" w:eastAsia="Microsoft YaHei"/>
                <w:color w:val="1A2B40"/>
                <w:sz w:val="18"/>
                <w:szCs w:val="18"/>
              </w:rPr>
              <w:t xml:space="preserve">Fix full-table scans in cron jobs (scope queries by firmId)</w:t>
            </w:r>
          </w:p>
        </w:tc>
        <w:tc>
          <w:tcPr>
            <w:tcMar>
              <w:top w:type="dxa" w:w="50"/>
              <w:left w:type="dxa" w:w="100"/>
              <w:bottom w:type="dxa" w:w="50"/>
              <w:right w:type="dxa" w:w="100"/>
            </w:tcMar>
          </w:tcPr>
          <w:p>
            <w:pPr>
              <w:jc w:val="left"/>
            </w:pPr>
            <w:r>
              <w:rPr>
                <w:rFonts w:ascii="Calibri" w:eastAsia="Microsoft YaHei"/>
                <w:color w:val="1A2B40"/>
                <w:sz w:val="18"/>
                <w:szCs w:val="18"/>
              </w:rPr>
              <w:t xml:space="preserve">1 day</w:t>
            </w:r>
          </w:p>
        </w:tc>
        <w:tc>
          <w:tcPr>
            <w:tcMar>
              <w:top w:type="dxa" w:w="50"/>
              <w:left w:type="dxa" w:w="100"/>
              <w:bottom w:type="dxa" w:w="50"/>
              <w:right w:type="dxa" w:w="100"/>
            </w:tcMar>
          </w:tcPr>
          <w:p>
            <w:pPr>
              <w:jc w:val="left"/>
            </w:pPr>
            <w:r>
              <w:rPr>
                <w:rFonts w:ascii="Calibri" w:eastAsia="Microsoft YaHei"/>
                <w:color w:val="1A2B40"/>
                <w:sz w:val="18"/>
                <w:szCs w:val="18"/>
              </w:rPr>
              <w:t xml:space="preserve">Cron jobs will time out as data grows</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4</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Fix race conditions (addUnitToProperty, WhatsApp quota)</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1-2 days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Data loss under concurrent operations</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5</w:t>
            </w:r>
          </w:p>
        </w:tc>
        <w:tc>
          <w:tcPr>
            <w:tcMar>
              <w:top w:type="dxa" w:w="50"/>
              <w:left w:type="dxa" w:w="100"/>
              <w:bottom w:type="dxa" w:w="50"/>
              <w:right w:type="dxa" w:w="100"/>
            </w:tcMar>
          </w:tcPr>
          <w:p>
            <w:pPr>
              <w:jc w:val="left"/>
            </w:pPr>
            <w:r>
              <w:rPr>
                <w:rFonts w:ascii="Calibri" w:eastAsia="Microsoft YaHei"/>
                <w:color w:val="1A2B40"/>
                <w:sz w:val="18"/>
                <w:szCs w:val="18"/>
              </w:rPr>
              <w:t xml:space="preserve">Add loading skeletons to PropertyManagerView, RevenueEngine, VacancyPipeline, PropertyReports</w:t>
            </w:r>
          </w:p>
        </w:tc>
        <w:tc>
          <w:tcPr>
            <w:tcMar>
              <w:top w:type="dxa" w:w="50"/>
              <w:left w:type="dxa" w:w="100"/>
              <w:bottom w:type="dxa" w:w="50"/>
              <w:right w:type="dxa" w:w="100"/>
            </w:tcMar>
          </w:tcPr>
          <w:p>
            <w:pPr>
              <w:jc w:val="left"/>
            </w:pPr>
            <w:r>
              <w:rPr>
                <w:rFonts w:ascii="Calibri" w:eastAsia="Microsoft YaHei"/>
                <w:color w:val="1A2B40"/>
                <w:sz w:val="18"/>
                <w:szCs w:val="18"/>
              </w:rPr>
              <w:t xml:space="preserve">1 day</w:t>
            </w:r>
          </w:p>
        </w:tc>
        <w:tc>
          <w:tcPr>
            <w:tcMar>
              <w:top w:type="dxa" w:w="50"/>
              <w:left w:type="dxa" w:w="100"/>
              <w:bottom w:type="dxa" w:w="50"/>
              <w:right w:type="dxa" w:w="100"/>
            </w:tcMar>
          </w:tcPr>
          <w:p>
            <w:pPr>
              <w:jc w:val="left"/>
            </w:pPr>
            <w:r>
              <w:rPr>
                <w:rFonts w:ascii="Calibri" w:eastAsia="Microsoft YaHei"/>
                <w:color w:val="1A2B40"/>
                <w:sz w:val="18"/>
                <w:szCs w:val="18"/>
              </w:rPr>
              <w:t xml:space="preserve">Broken layout during data loading</w:t>
            </w:r>
          </w:p>
        </w:tc>
      </w:tr>
      <w:tr>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6</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Fix AutomationCenter select dropdown ([object Object] bug)</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0.5 days</w:t>
            </w:r>
          </w:p>
        </w:tc>
        <w:tc>
          <w:tcPr>
            <w:shd w:fill="F4F8FC" w:color="auto" w:val="clear"/>
            <w:tcMar>
              <w:top w:type="dxa" w:w="50"/>
              <w:left w:type="dxa" w:w="100"/>
              <w:bottom w:type="dxa" w:w="50"/>
              <w:right w:type="dxa" w:w="100"/>
            </w:tcMar>
          </w:tcPr>
          <w:p>
            <w:pPr>
              <w:jc w:val="left"/>
            </w:pPr>
            <w:r>
              <w:rPr>
                <w:rFonts w:ascii="Calibri" w:eastAsia="Microsoft YaHei"/>
                <w:color w:val="1A2B40"/>
                <w:sz w:val="18"/>
                <w:szCs w:val="18"/>
              </w:rPr>
              <w:t xml:space="preserve">Dropdown shows garbage text</w:t>
            </w:r>
          </w:p>
        </w:tc>
      </w:tr>
      <w:tr>
        <w:tc>
          <w:tcPr>
            <w:tcMar>
              <w:top w:type="dxa" w:w="50"/>
              <w:left w:type="dxa" w:w="100"/>
              <w:bottom w:type="dxa" w:w="50"/>
              <w:right w:type="dxa" w:w="100"/>
            </w:tcMar>
          </w:tcPr>
          <w:p>
            <w:pPr>
              <w:jc w:val="left"/>
            </w:pPr>
            <w:r>
              <w:rPr>
                <w:rFonts w:ascii="Calibri" w:eastAsia="Microsoft YaHei"/>
                <w:color w:val="1A2B40"/>
                <w:sz w:val="18"/>
                <w:szCs w:val="18"/>
              </w:rPr>
              <w:t xml:space="preserve">7</w:t>
            </w:r>
          </w:p>
        </w:tc>
        <w:tc>
          <w:tcPr>
            <w:tcMar>
              <w:top w:type="dxa" w:w="50"/>
              <w:left w:type="dxa" w:w="100"/>
              <w:bottom w:type="dxa" w:w="50"/>
              <w:right w:type="dxa" w:w="100"/>
            </w:tcMar>
          </w:tcPr>
          <w:p>
            <w:pPr>
              <w:jc w:val="left"/>
            </w:pPr>
            <w:r>
              <w:rPr>
                <w:rFonts w:ascii="Calibri" w:eastAsia="Microsoft YaHei"/>
                <w:color w:val="1A2B40"/>
                <w:sz w:val="18"/>
                <w:szCs w:val="18"/>
              </w:rPr>
              <w:t xml:space="preserve">Enable schemaValidation: true and add portalPresenceHidden to schema</w:t>
            </w:r>
          </w:p>
        </w:tc>
        <w:tc>
          <w:tcPr>
            <w:tcMar>
              <w:top w:type="dxa" w:w="50"/>
              <w:left w:type="dxa" w:w="100"/>
              <w:bottom w:type="dxa" w:w="50"/>
              <w:right w:type="dxa" w:w="100"/>
            </w:tcMar>
          </w:tcPr>
          <w:p>
            <w:pPr>
              <w:jc w:val="left"/>
            </w:pPr>
            <w:r>
              <w:rPr>
                <w:rFonts w:ascii="Calibri" w:eastAsia="Microsoft YaHei"/>
                <w:color w:val="1A2B40"/>
                <w:sz w:val="18"/>
                <w:szCs w:val="18"/>
              </w:rPr>
              <w:t xml:space="preserve">1 day</w:t>
            </w:r>
          </w:p>
        </w:tc>
        <w:tc>
          <w:tcPr>
            <w:tcMar>
              <w:top w:type="dxa" w:w="50"/>
              <w:left w:type="dxa" w:w="100"/>
              <w:bottom w:type="dxa" w:w="50"/>
              <w:right w:type="dxa" w:w="100"/>
            </w:tcMar>
          </w:tcPr>
          <w:p>
            <w:pPr>
              <w:jc w:val="left"/>
            </w:pPr>
            <w:r>
              <w:rPr>
                <w:rFonts w:ascii="Calibri" w:eastAsia="Microsoft YaHei"/>
                <w:color w:val="1A2B40"/>
                <w:sz w:val="18"/>
                <w:szCs w:val="18"/>
              </w:rPr>
              <w:t xml:space="preserve">Schema violations silently ignored</w:t>
            </w:r>
          </w:p>
        </w:tc>
      </w:tr>
    </w:tbl>
    <w:p>
      <w:pPr>
        <w:pStyle w:val="Heading2"/>
        <w:spacing w:after="160" w:before="280" w:line="312"/>
      </w:pPr>
      <w:bookmarkStart w:id="100037" w:name="_Toc100037"/>
      <w:r>
        <w:rPr>
          <w:rFonts w:ascii="Calibri" w:eastAsia="Microsoft YaHei"/>
          <w:b/>
          <w:bCs/>
          <w:color w:val="0A1628"/>
          <w:sz w:val="26"/>
          <w:szCs w:val="26"/>
        </w:rPr>
        <w:t xml:space="preserve">7.3 Post-Launch Priorities (P2/P3)</w:t>
      </w:r>
      <w:bookmarkEnd w:id="100037"/>
    </w:p>
    <w:p>
      <w:pPr>
        <w:spacing w:after="80" w:before="80" w:line="312"/>
        <w:jc w:val="left"/>
      </w:pPr>
      <w:r>
        <w:rPr>
          <w:rFonts w:ascii="Calibri" w:eastAsia="Microsoft YaHei"/>
          <w:color w:val="1A2B40"/>
          <w:sz w:val="22"/>
          <w:szCs w:val="22"/>
        </w:rPr>
        <w:t xml:space="preserve">These items should be addressed in the first 2-4 weeks after launch, prioritized by user impact:</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Week 1-2</w:t>
      </w:r>
      <w:r>
        <w:rPr>
          <w:rFonts w:ascii="Calibri" w:eastAsia="Microsoft YaHei"/>
          <w:color w:val="1A2B40"/>
          <w:sz w:val="22"/>
          <w:szCs w:val="22"/>
        </w:rPr>
        <w:t xml:space="preserve">: Bulk unit generation, lease lifecycle mutations, demand notice delivery integration, payment proof-to-ledger reconciliation</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Week 2-3</w:t>
      </w:r>
      <w:r>
        <w:rPr>
          <w:rFonts w:ascii="Calibri" w:eastAsia="Microsoft YaHei"/>
          <w:color w:val="1A2B40"/>
          <w:sz w:val="22"/>
          <w:szCs w:val="22"/>
        </w:rPr>
        <w:t xml:space="preserve">: Financial reporting (occupancy rates, aging report, rent roll, revenue by property), ARIA accessibility across all components</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Week 3-4</w:t>
      </w:r>
      <w:r>
        <w:rPr>
          <w:rFonts w:ascii="Calibri" w:eastAsia="Microsoft YaHei"/>
          <w:color w:val="1A2B40"/>
          <w:sz w:val="22"/>
          <w:szCs w:val="22"/>
        </w:rPr>
        <w:t xml:space="preserve">: Extract units into dedicated table (data model migration), managed data migration tool, remove deprecated fields</w:t>
      </w:r>
    </w:p>
    <w:p>
      <w:pPr>
        <w:spacing w:after="40" w:before="40" w:line="312"/>
        <w:ind w:left="480"/>
      </w:pPr>
      <w:r>
        <w:rPr>
          <w:rFonts w:ascii="Calibri" w:eastAsia="Microsoft YaHei"/>
          <w:color w:val="5B8DB8"/>
          <w:sz w:val="22"/>
          <w:szCs w:val="22"/>
        </w:rPr>
        <w:t xml:space="preserve">• </w:t>
      </w:r>
      <w:r>
        <w:rPr>
          <w:rFonts w:ascii="Calibri" w:eastAsia="Microsoft YaHei"/>
          <w:b/>
          <w:bCs/>
          <w:color w:val="1A2B40"/>
          <w:sz w:val="22"/>
          <w:szCs w:val="22"/>
        </w:rPr>
        <w:t xml:space="preserve">Ongoing</w:t>
      </w:r>
      <w:r>
        <w:rPr>
          <w:rFonts w:ascii="Calibri" w:eastAsia="Microsoft YaHei"/>
          <w:color w:val="1A2B40"/>
          <w:sz w:val="22"/>
          <w:szCs w:val="22"/>
        </w:rPr>
        <w:t xml:space="preserve">: AI property-specific features, SMS provider integration, performance optimization</w:t>
      </w:r>
    </w:p>
    <w:p>
      <w:pPr>
        <w:pStyle w:val="Heading1"/>
        <w:spacing w:after="200" w:before="360" w:line="312"/>
      </w:pPr>
      <w:bookmarkStart w:id="100038" w:name="_Toc100038"/>
      <w:r>
        <w:rPr>
          <w:rFonts w:ascii="Calibri" w:eastAsia="Microsoft YaHei"/>
          <w:b/>
          <w:bCs/>
          <w:color w:val="0A1628"/>
          <w:sz w:val="32"/>
          <w:szCs w:val="32"/>
        </w:rPr>
        <w:t xml:space="preserve">8. Architecture Recommendations</w:t>
      </w:r>
      <w:bookmarkEnd w:id="100038"/>
    </w:p>
    <w:p>
      <w:pPr>
        <w:pStyle w:val="Heading2"/>
        <w:spacing w:after="160" w:before="280" w:line="312"/>
      </w:pPr>
      <w:bookmarkStart w:id="100039" w:name="_Toc100039"/>
      <w:r>
        <w:rPr>
          <w:rFonts w:ascii="Calibri" w:eastAsia="Microsoft YaHei"/>
          <w:b/>
          <w:bCs/>
          <w:color w:val="0A1628"/>
          <w:sz w:val="26"/>
          <w:szCs w:val="26"/>
        </w:rPr>
        <w:t xml:space="preserve">8.1 Extract Units from Embedded Array</w:t>
      </w:r>
      <w:bookmarkEnd w:id="100039"/>
    </w:p>
    <w:p>
      <w:pPr>
        <w:spacing w:after="80" w:before="80" w:line="312"/>
        <w:jc w:val="left"/>
      </w:pPr>
      <w:r>
        <w:rPr>
          <w:rFonts w:ascii="Calibri" w:eastAsia="Microsoft YaHei"/>
          <w:color w:val="1A2B40"/>
          <w:sz w:val="22"/>
          <w:szCs w:val="22"/>
        </w:rPr>
        <w:t xml:space="preserve">The most impactful architectural change is extracting units from the embedded properties.units array into a dedicated units table. This would enable: proper referential integrity with unitId foreign keys, unit-level indexing for fast lookups, bounded document sizes, atomic unit-level operations without race conditions, and proper unit status management. This is a non-trivial migration that requires careful planning, but it is essential for long-term scalability.</w:t>
      </w:r>
    </w:p>
    <w:p>
      <w:pPr>
        <w:pStyle w:val="Heading2"/>
        <w:spacing w:after="160" w:before="280" w:line="312"/>
      </w:pPr>
      <w:bookmarkStart w:id="100040" w:name="_Toc100040"/>
      <w:r>
        <w:rPr>
          <w:rFonts w:ascii="Calibri" w:eastAsia="Microsoft YaHei"/>
          <w:b/>
          <w:bCs/>
          <w:color w:val="0A1628"/>
          <w:sz w:val="26"/>
          <w:szCs w:val="26"/>
        </w:rPr>
        <w:t xml:space="preserve">8.2 Create Dedicated Property Mutations</w:t>
      </w:r>
      <w:bookmarkEnd w:id="100040"/>
    </w:p>
    <w:p>
      <w:pPr>
        <w:spacing w:after="80" w:before="80" w:line="312"/>
        <w:jc w:val="left"/>
      </w:pPr>
      <w:r>
        <w:rPr>
          <w:rFonts w:ascii="Calibri" w:eastAsia="Microsoft YaHei"/>
          <w:color w:val="1A2B40"/>
          <w:sz w:val="22"/>
          <w:szCs w:val="22"/>
        </w:rPr>
        <w:t xml:space="preserve">Replace the generic createItem/updateItem mutations with dedicated createProperty/updateProperty mutations that enforce: required field validation (address, propertyType, firmId), maxUnits limit checks from the firm's tier, proper unit structure validation, and firm-scoped authorization. This eliminates the v.any() vulnerability for the most critical data operations.</w:t>
      </w:r>
    </w:p>
    <w:p>
      <w:pPr>
        <w:pStyle w:val="Heading2"/>
        <w:spacing w:after="160" w:before="280" w:line="312"/>
      </w:pPr>
      <w:bookmarkStart w:id="100041" w:name="_Toc100041"/>
      <w:r>
        <w:rPr>
          <w:rFonts w:ascii="Calibri" w:eastAsia="Microsoft YaHei"/>
          <w:b/>
          <w:bCs/>
          <w:color w:val="0A1628"/>
          <w:sz w:val="26"/>
          <w:szCs w:val="26"/>
        </w:rPr>
        <w:t xml:space="preserve">8.3 Implement Notification Pipeline</w:t>
      </w:r>
      <w:bookmarkEnd w:id="100041"/>
    </w:p>
    <w:p>
      <w:pPr>
        <w:spacing w:after="80" w:before="80" w:line="312"/>
        <w:jc w:val="left"/>
      </w:pPr>
      <w:r>
        <w:rPr>
          <w:rFonts w:ascii="Calibri" w:eastAsia="Microsoft YaHei"/>
          <w:color w:val="1A2B40"/>
          <w:sz w:val="22"/>
          <w:szCs w:val="22"/>
        </w:rPr>
        <w:t xml:space="preserve">The communication infrastructure (Brevo for email, Chakra for WhatsApp) exists and works. The gap is the cron handlers that are supposed to trigger these send functions but instead log simulated results. The fix is straightforward: call sendEmail and sendWhatsApp from the cron handlers with proper error handling, retry logic, and delivery tracking.</w:t>
      </w:r>
    </w:p>
    <w:p>
      <w:pPr>
        <w:pStyle w:val="Heading2"/>
        <w:spacing w:after="160" w:before="280" w:line="312"/>
      </w:pPr>
      <w:bookmarkStart w:id="100042" w:name="_Toc100042"/>
      <w:r>
        <w:rPr>
          <w:rFonts w:ascii="Calibri" w:eastAsia="Microsoft YaHei"/>
          <w:b/>
          <w:bCs/>
          <w:color w:val="0A1628"/>
          <w:sz w:val="26"/>
          <w:szCs w:val="26"/>
        </w:rPr>
        <w:t xml:space="preserve">8.4 Add Reporting Layer</w:t>
      </w:r>
      <w:bookmarkEnd w:id="100042"/>
    </w:p>
    <w:p>
      <w:pPr>
        <w:spacing w:after="80" w:before="80" w:line="312"/>
        <w:jc w:val="left"/>
      </w:pPr>
      <w:r>
        <w:rPr>
          <w:rFonts w:ascii="Calibri" w:eastAsia="Microsoft YaHei"/>
          <w:color w:val="1A2B40"/>
          <w:sz w:val="22"/>
          <w:szCs w:val="22"/>
        </w:rPr>
        <w:t xml:space="preserve">Atrium lacks several standard property management reports. The reporting layer should be built on top of the existing getCashFlowSummary pattern, extending it with: per-property revenue aggregation, occupancy rate calculations (occupied units / total units), 30/60/90-day aging breakdown, payment collection rate (collected / owed), and rent roll (unit-by-unit rent status). These can be implemented as Convex query functions with appropriate caching.</w:t>
      </w:r>
    </w:p>
    <w:sectPr>
      <w:headerReference w:type="default" r:id="rId7"/>
      <w:footerReference w:type="default" r:id="rId8"/>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6878A0"/>
        <w:sz w:val="18"/>
        <w:szCs w:val="18"/>
      </w:rPr>
      <w:t xml:space="preserve">Confidential — PracticePro Technologies — Page </w:t>
    </w:r>
    <w:r>
      <w:rPr>
        <w:rFonts w:ascii="Calibri" w:eastAsia="Microsoft YaHe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6878A0"/>
        <w:sz w:val="18"/>
        <w:szCs w:val="18"/>
      </w:rPr>
      <w:t xml:space="preserve">Atrium Pre-Launch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b/>
      <w:bCs/>
      <w:color w:val="0A1628"/>
      <w:sz w:val="32"/>
      <w:szCs w:val="32"/>
    </w:rPr>
  </w:style>
  <w:style w:type="paragraph" w:styleId="Heading2">
    <w:name w:val="Heading 2"/>
    <w:basedOn w:val="Normal"/>
    <w:next w:val="Normal"/>
    <w:qFormat/>
    <w:pPr>
      <w:spacing w:after="160" w:before="280" w:line="312"/>
      <w:outlineLvl w:val="1"/>
    </w:pPr>
    <w:rPr>
      <w:rFonts w:ascii="Calibri" w:eastAsia="Microsoft YaHei"/>
      <w:b/>
      <w:bCs/>
      <w:color w:val="0A1628"/>
      <w:sz w:val="26"/>
      <w:szCs w:val="26"/>
    </w:rPr>
  </w:style>
  <w:style w:type="paragraph" w:styleId="Heading3">
    <w:name w:val="Heading 3"/>
    <w:basedOn w:val="Normal"/>
    <w:next w:val="Normal"/>
    <w:qFormat/>
    <w:pPr>
      <w:spacing w:after="120" w:before="200" w:line="312"/>
      <w:outlineLvl w:val="2"/>
    </w:pPr>
    <w:rPr>
      <w:rFonts w:ascii="Calibri" w:eastAsia="Microsoft YaHei"/>
      <w:b/>
      <w:bCs/>
      <w:color w:val="1A2B40"/>
      <w:sz w:val="23"/>
      <w:szCs w:val="23"/>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2026-06-15T16:20:09.936Z</dcterms:created>
  <dcterms:modified xsi:type="dcterms:W3CDTF">2026-06-15T16:20:09.936Z</dcterms:modified>
</cp:coreProperties>
</file>

<file path=docProps/custom.xml><?xml version="1.0" encoding="utf-8"?>
<Properties xmlns="http://schemas.openxmlformats.org/officeDocument/2006/custom-properties" xmlns:vt="http://schemas.openxmlformats.org/officeDocument/2006/docPropsVTypes"/>
</file>