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Arial" w:hAnsi="Arial"/>
          <w:b/>
          <w:bCs/>
          <w:sz w:val="22"/>
        </w:rPr>
        <w:t xml:space="preserve">Supplementary Materials</w:t>
      </w:r>
    </w:p>
    <w:p>
      <w:pPr>
        <w:pStyle w:val="BodyText"/>
      </w:pPr>
      <w:r>
        <w:rPr>
          <w:rFonts w:ascii="Arial" w:hAnsi="Arial"/>
          <w:i/>
          <w:iCs/>
          <w:sz w:val="22"/>
        </w:rPr>
        <w:t xml:space="preserve">Empirical constraints on the fraction of surface latent heat flux</w:t>
      </w:r>
      <w:r>
        <w:rPr>
          <w:rFonts w:ascii="Arial" w:hAnsi="Arial"/>
          <w:i/>
          <w:iCs/>
          <w:sz w:val="22"/>
        </w:rPr>
        <w:t xml:space="preserve"> </w:t>
      </w:r>
      <w:r>
        <w:rPr>
          <w:rFonts w:ascii="Arial" w:hAnsi="Arial"/>
          <w:i/>
          <w:iCs/>
          <w:sz w:val="22"/>
        </w:rPr>
        <w:t xml:space="preserve">reaching the top of atmosphere as net radiative cooling</w:t>
      </w:r>
    </w:p>
    <w:p>
      <w:pPr>
        <w:pStyle w:val="BodyText"/>
      </w:pPr>
      <w:r>
        <w:rPr>
          <w:rFonts w:ascii="Arial" w:hAnsi="Arial"/>
          <w:sz w:val="22"/>
        </w:rPr>
        <w:t xml:space="preserve">Ali B. Shahid</w:t>
      </w:r>
    </w:p>
    <w:p>
      <w:pPr>
        <w:pStyle w:val="BodyText"/>
      </w:pPr>
      <w:r>
        <w:rPr>
          <w:rFonts w:ascii="Arial" w:hAnsi="Arial"/>
          <w:sz w:val="22"/>
        </w:rPr>
        <w:t xml:space="preserve">Version 5, June 2026</w:t>
      </w:r>
    </w:p>
    <w:p>
      <w:pPr>
        <w:pStyle w:val="BodyText"/>
      </w:pPr>
      <w:r>
        <w:rPr>
          <w:rFonts w:ascii="Arial" w:hAnsi="Arial"/>
          <w:b/>
          <w:bCs/>
          <w:sz w:val="22"/>
        </w:rPr>
        <w:t xml:space="preserve">S1. Forward Lagrangian trajectory analysis: methods</w:t>
      </w:r>
    </w:p>
    <w:p>
      <w:pPr>
        <w:pStyle w:val="BodyText"/>
      </w:pPr>
      <w:r>
        <w:rPr>
          <w:rFonts w:ascii="Arial" w:hAnsi="Arial"/>
          <w:sz w:val="22"/>
        </w:rPr>
        <w:t xml:space="preserve">Section 5.5 of the main text proposes the convective relay as the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mechanism that reconciles the low local transfer fraction (14.7 percent)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with the thermodynamic expectation that condensation heat must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eventually exit the climate system. This supplementary material reports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the direct empirical test of that mechanism using forward Lagrangian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trajectories.</w:t>
      </w:r>
    </w:p>
    <w:p>
      <w:pPr>
        <w:pStyle w:val="BodyText"/>
      </w:pPr>
      <w:r>
        <w:rPr>
          <w:rFonts w:ascii="Arial" w:hAnsi="Arial"/>
          <w:b/>
          <w:bCs/>
          <w:sz w:val="22"/>
        </w:rPr>
        <w:t xml:space="preserve">S1.1 Input data</w:t>
      </w:r>
    </w:p>
    <w:p>
      <w:pPr>
        <w:pStyle w:val="BodyText"/>
      </w:pPr>
      <w:r>
        <w:rPr>
          <w:rFonts w:ascii="Arial" w:hAnsi="Arial"/>
          <w:sz w:val="22"/>
        </w:rPr>
        <w:t xml:space="preserve">Trajectories were computed from the ERA5 reanalysis (Hersbach et al.,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2020) at the 200 hPa pressure level (approximately 12 km altitude,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within the upper troposphere and tropical tropopause layer). Three wind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components (zonal u, meridional v, vertical omega) were retrieved at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6-hourly resolution for a domain extending from 30 degrees S to 60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degrees N and from 90 degrees W to 30 degrees E. Seven years were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processed: 2005, 2008, 2010, 2015, 2016, 2019, and 2020, spanning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ENSO-neutral (2010, 2019), La Nina (2008, 2020), and El Nino (2015,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2016) states.</w:t>
      </w:r>
    </w:p>
    <w:p>
      <w:pPr>
        <w:pStyle w:val="BodyText"/>
      </w:pPr>
      <w:r>
        <w:rPr>
          <w:rFonts w:ascii="Arial" w:hAnsi="Arial"/>
          <w:b/>
          <w:bCs/>
          <w:sz w:val="22"/>
        </w:rPr>
        <w:t xml:space="preserve">S1.2 Release protocol</w:t>
      </w:r>
    </w:p>
    <w:p>
      <w:pPr>
        <w:pStyle w:val="BodyText"/>
      </w:pPr>
      <w:r>
        <w:rPr>
          <w:rFonts w:ascii="Arial" w:hAnsi="Arial"/>
          <w:sz w:val="22"/>
        </w:rPr>
        <w:t xml:space="preserve">Air parcels were released from a 1-degree grid over the Amazon basin (5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degrees S to 5 degrees N, 75 degrees W to 50 degrees W), yielding 286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parcels per release (11 latitudes x 26 longitudes). Releases were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performed on the 15th of January, April, July, and October each year at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12:00 UTC. Parcels were advected forward for 20 days using a simple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Euler integration scheme with a 6-hour timestep (80 steps total). Wind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fields at each step were interpolated to the parcel position using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bilinear interpolation. Parcels that exited the domain were retained at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their last in-domain position.</w:t>
      </w:r>
    </w:p>
    <w:p>
      <w:pPr>
        <w:pStyle w:val="BodyText"/>
      </w:pPr>
      <w:r>
        <w:rPr>
          <w:rFonts w:ascii="Arial" w:hAnsi="Arial"/>
          <w:b/>
          <w:bCs/>
          <w:sz w:val="22"/>
        </w:rPr>
        <w:t xml:space="preserve">S1.3 Control experiment</w:t>
      </w:r>
    </w:p>
    <w:p>
      <w:pPr>
        <w:pStyle w:val="BodyText"/>
      </w:pPr>
      <w:r>
        <w:rPr>
          <w:rFonts w:ascii="Arial" w:hAnsi="Arial"/>
          <w:sz w:val="22"/>
        </w:rPr>
        <w:t xml:space="preserve">To distinguish forest-specific transport from the general Hadley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circulation, a symmetric control experiment was conducted matching the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full main-ensemble release matrix: all 7 years (2005, 2008, 2010, 2015,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2016, 2019, 2020) and all 4 seasons (January, April, July, October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releases), for a total of 28 control runs. The control used the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identical advection protocol but released parcels from the tropical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Atlantic (5 degrees S to 5 degrees N, 30 degrees W to 5 degrees W), an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open-ocean area with no forest and no continental convective source.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The 7 years span neutral / weak La Nina (2005), La Nina (2008, 2020),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El Nino to La Nina transition (2010), strong El Nino (2015), El Nino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tail (2016), and weak El Nino (2019) phases, providing ENSO-matched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coverage of the main Amazon ensemble. If the convective relay pathway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is forest-specific, Amazon-released parcels should reach systematically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different destinations or higher-OLR zones than Atlantic-released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parcels at identical times. If the pathway reflects general Hadley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infrastructure, both sets should behave similarly.</w:t>
      </w:r>
    </w:p>
    <w:p>
      <w:pPr>
        <w:pStyle w:val="BodyText"/>
      </w:pPr>
      <w:r>
        <w:rPr>
          <w:rFonts w:ascii="Arial" w:hAnsi="Arial"/>
          <w:b/>
          <w:bCs/>
          <w:sz w:val="22"/>
        </w:rPr>
        <w:t xml:space="preserve">S1.4 CERES coupling</w:t>
      </w:r>
    </w:p>
    <w:p>
      <w:pPr>
        <w:pStyle w:val="BodyText"/>
      </w:pPr>
      <w:r>
        <w:rPr>
          <w:rFonts w:ascii="Arial" w:hAnsi="Arial"/>
          <w:sz w:val="22"/>
        </w:rPr>
        <w:t xml:space="preserve">For each release, the CERES EBAF Ed4.2 monthly all-sky OLR (Loeb et al.,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2018) corresponding to the release month was extracted. At each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trajectory endpoint (days 0, 5, 10, 15, 20), OLR was sampled at each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parcel location using nearest-neighbor interpolation on the 1-degree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CERES grid. The enhancement metric is the difference between the mean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OLR at parcel locations and the mean OLR over the Amazon source region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(5S-5N, 75W-50W).</w:t>
      </w:r>
    </w:p>
    <w:p>
      <w:pPr>
        <w:pStyle w:val="BodyText"/>
      </w:pPr>
      <w:r>
        <w:rPr>
          <w:rFonts w:ascii="Arial" w:hAnsi="Arial"/>
          <w:b/>
          <w:bCs/>
          <w:sz w:val="22"/>
        </w:rPr>
        <w:t xml:space="preserve">S2. Results</w:t>
      </w:r>
    </w:p>
    <w:p>
      <w:pPr>
        <w:pStyle w:val="BodyText"/>
      </w:pPr>
      <w:r>
        <w:rPr>
          <w:rFonts w:ascii="Arial" w:hAnsi="Arial"/>
          <w:b/>
          <w:bCs/>
          <w:sz w:val="22"/>
        </w:rPr>
        <w:t xml:space="preserve">S2.1 Trajectory ensemble (Amazon source)</w:t>
      </w:r>
    </w:p>
    <w:p>
      <w:pPr>
        <w:pStyle w:val="BodyText"/>
      </w:pPr>
      <w:r>
        <w:rPr>
          <w:rFonts w:ascii="Arial" w:hAnsi="Arial"/>
          <w:sz w:val="22"/>
        </w:rPr>
        <w:t xml:space="preserve">Across all 28 Amazon releases, parcels consistently drift poleward and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eastward. By day 5, the mean absolute latitude reaches 16.2 degrees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(standard deviation across runs = 3.5 degrees). By day 20, the mean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latitude reaches 22.9 degrees, placing most parcels in the subtropical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Hadley descending branch. Longitudinal displacement averages 60 degrees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eastward by day 20, carrying parcels across the Atlantic into West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Africa and the eastern Atlantic.</w:t>
      </w:r>
    </w:p>
    <w:p>
      <w:pPr>
        <w:pStyle w:val="BodyText"/>
      </w:pPr>
      <w:r>
        <w:rPr>
          <w:rFonts w:ascii="Arial" w:hAnsi="Arial"/>
          <w:sz w:val="22"/>
        </w:rPr>
        <w:t xml:space="preserve">The OLR at parcel destinations rises rapidly in the first 5 days then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plateaus. Day 5 OLR averages 270.3 W m-2 across all 28 ensembles (versus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232.1 W m-2 mean Amazon source), an enhancement of +38.2 W m-2 (standard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deviation 14.8). Day 20 OLR averages 276.7 W m-2, an enhancement of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+44.6 W m-2 (standard deviation 15.3). The enhancement is positive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across all runs and all years, confirming that parcels released from the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Amazon TTL reach higher-OLR zones within 5 days and remain there through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the 20-day integration.</w:t>
      </w:r>
    </w:p>
    <w:p>
      <w:pPr>
        <w:pStyle w:val="BodyText"/>
      </w:pPr>
      <w:r>
        <w:rPr>
          <w:rFonts w:ascii="Arial" w:hAnsi="Arial"/>
          <w:b/>
          <w:bCs/>
          <w:sz w:val="22"/>
        </w:rPr>
        <w:t xml:space="preserve">S2.2 Control experiment (Atlantic source)</w:t>
      </w:r>
    </w:p>
    <w:p>
      <w:pPr>
        <w:pStyle w:val="BodyText"/>
      </w:pPr>
      <w:r>
        <w:rPr>
          <w:rFonts w:ascii="Arial" w:hAnsi="Arial"/>
          <w:sz w:val="22"/>
        </w:rPr>
        <w:t xml:space="preserve">When parcels are released from the tropical Atlantic rather than the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Amazon at the identical altitude and times, the endpoint OLR values show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no consistent direction of difference from the Amazon case. Across the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full symmetric matrix of 28 control runs (7 years x 4 seasons), the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mean Amazon-minus-Atlantic endpoint OLR difference is +0.44 W m-2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(standard deviation 11.14 W m-2, range -16.4 to +23.0 W m-2). A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one-sample t-test against a null difference of zero yields t = 0.21,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p = 0.83: the null hypothesis that Amazon-source and Atlantic-source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parcels reach indistinguishable subtropical endpoint OLR cannot be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rejected. The 95% range of differences (approximately -22 to +22 W m-2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at 2 sigma) is larger than any plausible forest-specific enhancement,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indicating that natural advection variability, not statistical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underpowering, dominates the scatter.</w:t>
      </w:r>
    </w:p>
    <w:p>
      <w:pPr>
        <w:pStyle w:val="BodyText"/>
      </w:pPr>
      <w:r>
        <w:rPr>
          <w:rFonts w:ascii="Arial" w:hAnsi="Arial"/>
          <w:sz w:val="22"/>
        </w:rPr>
        <w:t xml:space="preserve">The result is consistent across ENSO phases. Mean Amazon-minus-Atlantic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differences by phase are: neutral / weak La Nina (2005) = -4.2 W m-2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(n = 4, standard deviation 14.0); La Nina (2008, 2020) = +0.4 W m-2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(n = 8, standard deviation 9.4); El Nino to La Nina transition (2010) =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-0.4 W m-2 (n = 4, standard deviation 13.0); strong El Nino (2015) =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+7.3 W m-2 (n = 4, standard deviation 12.7); El Nino tail (2016) =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+2.2 W m-2 (n = 4, standard deviation 10.1); weak El Nino (2019) =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-2.8 W m-2 (n = 4, standard deviation 13.2). No phase exhibits a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systematic Amazon-specific signal, and within every phase the range of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differences exceeds the phase mean by a factor of three to six.</w:t>
      </w:r>
    </w:p>
    <w:p>
      <w:pPr>
        <w:pStyle w:val="BodyText"/>
      </w:pPr>
      <w:r>
        <w:rPr>
          <w:rFonts w:ascii="Arial" w:hAnsi="Arial"/>
          <w:sz w:val="22"/>
        </w:rPr>
        <w:t xml:space="preserve">Both Amazon-released and Atlantic-released parcels reach the subtropical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descending branch with similar endpoint OLR. The +38 to +45 W m-2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enhancement observed for Amazon parcels is therefore a general property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of tropical-to-subtropical Hadley transport, not a forest-specific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signature.</w:t>
      </w:r>
    </w:p>
    <w:p>
      <w:pPr>
        <w:pStyle w:val="BodyText"/>
      </w:pPr>
      <w:r>
        <w:rPr>
          <w:rFonts w:ascii="Arial" w:hAnsi="Arial"/>
          <w:sz w:val="22"/>
        </w:rPr>
        <w:drawing>
          <wp:inline>
            <wp:extent cx="5943600" cy="2377440"/>
            <wp:effectExtent b="0" l="0" r="0" t="0"/>
            <wp:docPr descr="Trajectory and control analysis" title="" id="10" name="Picture"/>
            <a:graphic>
              <a:graphicData uri="http://schemas.openxmlformats.org/drawingml/2006/picture">
                <pic:pic>
                  <pic:nvPicPr>
                    <pic:cNvPr descr="media/media/00c08d51c3af46c6a79b903121b5ec722ca79c08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Arial" w:hAnsi="Arial"/>
          <w:b/>
          <w:bCs/>
          <w:sz w:val="22"/>
        </w:rPr>
        <w:t xml:space="preserve">Figure S1.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Forward Lagrangian trajectory analysis from the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Amazon tropical tropopause layer at 200 hPa. (a) OLR enhancement at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parcel endpoint locations relative to the Amazon source region, averaged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across 28 trajectory ensembles (7 years, 4 seasons, 286 parcels each).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Error bars show one standard deviation. Numbers below markers indicate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mean parcel latitude. (b) Control comparison: day 20 endpoint OLR for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parcels released from the Amazon (dark green) versus the tropical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Atlantic (teal), with differences shown above each month pair. No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consistent Amazon advantage is observed.</w:t>
      </w:r>
    </w:p>
    <w:p>
      <w:pPr>
        <w:pStyle w:val="BodyText"/>
      </w:pPr>
      <w:r>
        <w:rPr>
          <w:rFonts w:ascii="Arial" w:hAnsi="Arial"/>
          <w:b/>
          <w:bCs/>
          <w:sz w:val="22"/>
        </w:rPr>
        <w:t xml:space="preserve">Table S1.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Summary of 28 Amazon trajectory ensembles. Mean and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standard deviation of parcel latitude and OLR at each endpoint day.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>
            <w:tcW w:type="dxa" w:w="1584"/>
          </w:tcPr>
          <w:p>
            <w:r>
              <w:rPr>
                <w:rFonts w:ascii="Arial" w:hAnsi="Arial"/>
                <w:b/>
                <w:sz w:val="18"/>
              </w:rPr>
              <w:t>Day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b/>
                <w:sz w:val="18"/>
              </w:rPr>
              <w:t>Mean |latitude|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b/>
                <w:sz w:val="18"/>
              </w:rPr>
              <w:t>Mean OLR (W m⁻²)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b/>
                <w:sz w:val="18"/>
              </w:rPr>
              <w:t>Enhancement (W m⁻²)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b/>
                <w:sz w:val="18"/>
              </w:rPr>
              <w:t>Standard deviation</w:t>
            </w:r>
          </w:p>
        </w:tc>
      </w:tr>
      <w:tr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2.7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233.4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+1.3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1.4</w:t>
            </w:r>
          </w:p>
        </w:tc>
      </w:tr>
      <w:tr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16.2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270.3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+38.2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14.8</w:t>
            </w:r>
          </w:p>
        </w:tc>
      </w:tr>
      <w:tr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20.7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275.0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+42.9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15.4</w:t>
            </w:r>
          </w:p>
        </w:tc>
      </w:tr>
      <w:tr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22.5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276.3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+44.2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14.7</w:t>
            </w:r>
          </w:p>
        </w:tc>
      </w:tr>
      <w:tr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22.9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276.7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+44.6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15.3</w:t>
            </w:r>
          </w:p>
        </w:tc>
      </w:tr>
    </w:tbl>
    <w:p>
      <w:pPr>
        <w:pStyle w:val="BodyText"/>
      </w:pPr>
      <w:r>
        <w:rPr>
          <w:rFonts w:ascii="Arial" w:hAnsi="Arial"/>
          <w:b/>
          <w:bCs/>
          <w:sz w:val="22"/>
        </w:rPr>
        <w:t xml:space="preserve">Table S2.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Amazon versus Atlantic source control comparison, day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20 endpoint OLR for 2010. Differences have no consistent direction.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>
            <w:tcW w:type="dxa" w:w="1584"/>
          </w:tcPr>
          <w:p>
            <w:r>
              <w:rPr>
                <w:rFonts w:ascii="Arial" w:hAnsi="Arial"/>
                <w:b/>
                <w:sz w:val="18"/>
              </w:rPr>
              <w:t>Month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b/>
                <w:sz w:val="18"/>
              </w:rPr>
              <w:t>Amazon OLR (W m⁻²)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b/>
                <w:sz w:val="18"/>
              </w:rPr>
              <w:t>Atlantic OLR (W m⁻²)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b/>
                <w:sz w:val="18"/>
              </w:rPr>
              <w:t>Difference (W m⁻²)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b/>
                <w:sz w:val="18"/>
              </w:rPr>
              <w:t>Interpretation</w:t>
            </w:r>
          </w:p>
        </w:tc>
      </w:tr>
      <w:tr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Jan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273.3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287.9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−14.6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Atlantic higher</w:t>
            </w:r>
          </w:p>
        </w:tc>
      </w:tr>
      <w:tr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Apr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273.9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256.4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+17.5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Amazon higher</w:t>
            </w:r>
          </w:p>
        </w:tc>
      </w:tr>
      <w:tr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Jul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265.2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269.0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−3.8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Similar</w:t>
            </w:r>
          </w:p>
        </w:tc>
      </w:tr>
      <w:tr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Oct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272.1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267.9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+4.2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Similar</w:t>
            </w:r>
          </w:p>
        </w:tc>
      </w:tr>
      <w:tr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Mean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271.1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270.3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+0.8</w:t>
            </w:r>
          </w:p>
        </w:tc>
        <w:tc>
          <w:tcPr>
            <w:tcW w:type="dxa" w:w="1584"/>
          </w:tcPr>
          <w:p>
            <w:r>
              <w:rPr>
                <w:rFonts w:ascii="Arial" w:hAnsi="Arial"/>
                <w:sz w:val="18"/>
              </w:rPr>
              <w:t>No consistent signal</w:t>
            </w:r>
          </w:p>
        </w:tc>
      </w:tr>
    </w:tbl>
    <w:p>
      <w:pPr>
        <w:pStyle w:val="BodyText"/>
      </w:pPr>
      <w:r>
        <w:rPr>
          <w:rFonts w:ascii="Arial" w:hAnsi="Arial"/>
          <w:b/>
          <w:bCs/>
          <w:sz w:val="22"/>
        </w:rPr>
        <w:t xml:space="preserve">S3. Interpretation</w:t>
      </w:r>
    </w:p>
    <w:p>
      <w:pPr>
        <w:pStyle w:val="BodyText"/>
      </w:pPr>
      <w:r>
        <w:rPr>
          <w:rFonts w:ascii="Arial" w:hAnsi="Arial"/>
          <w:sz w:val="22"/>
        </w:rPr>
        <w:t xml:space="preserve">The trajectory analysis produces two findings that together support the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main paper's conclusions rather than contradict them.</w:t>
      </w:r>
    </w:p>
    <w:p>
      <w:pPr>
        <w:pStyle w:val="BodyText"/>
      </w:pPr>
      <w:r>
        <w:rPr>
          <w:rFonts w:ascii="Arial" w:hAnsi="Arial"/>
          <w:sz w:val="22"/>
        </w:rPr>
        <w:t xml:space="preserve">First, the relay pathway is confirmed: air parcels released from the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Amazon at 200 hPa do reach subtropical latitudes within 5 to 10 days,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and those destinations have substantially higher OLR than the Amazon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source region. The mechanism described in Section 5.5 of the main text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(surface LE, cloud formation, longwave trapping, deeper convection, TTL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injection, Hadley transport, subtropical clear-sky exit) is therefore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physically real. The atmosphere does move heat from the Amazon to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subtropical clear-sky zones on weekly timescales.</w:t>
      </w:r>
    </w:p>
    <w:p>
      <w:pPr>
        <w:pStyle w:val="BodyText"/>
      </w:pPr>
      <w:r>
        <w:rPr>
          <w:rFonts w:ascii="Arial" w:hAnsi="Arial"/>
          <w:sz w:val="22"/>
        </w:rPr>
        <w:t xml:space="preserve">Second, the pathway is not forest-specific. Parcels released from the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tropical Atlantic, where there is no forest and no continental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convective source, reach the same subtropical destinations with the same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OLR characteristics as Amazon-released parcels. The subtropical high-OLR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zone is a property of the Hadley circulation, not of forest-driven deep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convection specifically.</w:t>
      </w:r>
    </w:p>
    <w:p>
      <w:pPr>
        <w:pStyle w:val="BodyText"/>
      </w:pPr>
      <w:r>
        <w:rPr>
          <w:rFonts w:ascii="Arial" w:hAnsi="Arial"/>
          <w:sz w:val="22"/>
        </w:rPr>
        <w:t xml:space="preserve">Taken together, these findings mean that the forest's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causal contribution to TOA cooling cannot be attributed to the pathway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above 200 hPa. The pathway is shared infrastructure used by any tropical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upper-tropospheric air parcel. What the forest controls is upstream: the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quantity of heat that is injected into the TTL through deep convection.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Intact forest generates higher latent heat flux, higher convective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available potential energy, taller cumulonimbus towers, and therefore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more mass reaching the TTL than deforested land of equivalent geography.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The forest-specific TOA signal is therefore correctly quantified by the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surface-to-TOA transfer fraction at the local scale (Section 3.1) and at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the basin scale (Section 3.6), not by the trajectory endpoint OLR.</w:t>
      </w:r>
    </w:p>
    <w:p>
      <w:pPr>
        <w:pStyle w:val="BodyText"/>
      </w:pPr>
      <w:r>
        <w:rPr>
          <w:rFonts w:ascii="Arial" w:hAnsi="Arial"/>
          <w:sz w:val="22"/>
        </w:rPr>
        <w:t xml:space="preserve">This result also constrains the spatial misattribution hypothesis,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under which local CERES measurements would underestimate forest-driven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cooling because the heat exits to space at higher latitudes. If that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were the dominant effect, Amazon parcels should reach regions with OLR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enhancement that Atlantic parcels do not. The control shows they do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not. Spatial misattribution therefore cannot account for the gap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between prior top-down estimates and the 14.7 to 20.8 percent measured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here; the geometric bound on η in deep convective regimes (main text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Section 6.10) provides the governing constraint.</w:t>
      </w:r>
    </w:p>
    <w:p>
      <w:pPr>
        <w:pStyle w:val="BodyText"/>
      </w:pPr>
      <w:r>
        <w:rPr>
          <w:rFonts w:ascii="Arial" w:hAnsi="Arial"/>
          <w:b/>
          <w:bCs/>
          <w:sz w:val="22"/>
        </w:rPr>
        <w:t xml:space="preserve">S4. Data and code availability</w:t>
      </w:r>
    </w:p>
    <w:p>
      <w:pPr>
        <w:pStyle w:val="BodyText"/>
      </w:pPr>
      <w:r>
        <w:rPr>
          <w:rFonts w:ascii="Arial" w:hAnsi="Arial"/>
          <w:sz w:val="22"/>
        </w:rPr>
        <w:t xml:space="preserve">Raw trajectory data (NetCDF, 28 Amazon ensembles plus 28 Atlantic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control ensembles) and the analysis scripts (Python, covering ERA5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download, trajectory integration, CERES coupling, symmetric control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comparison, and figure generation; the preloaded-vectorized control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script runs the full 56-ensemble matrix in approximately 110 seconds)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are archived with the main paper supplementary code at</w:t>
      </w:r>
      <w:r>
        <w:rPr>
          <w:rFonts w:ascii="Arial" w:hAnsi="Arial"/>
          <w:sz w:val="22"/>
        </w:rPr>
        <w:t xml:space="preserve"> </w:t>
      </w:r>
      <w:hyperlink r:id="rId12">
        <w:r>
          <w:rPr>
            <w:rStyle w:val="Hyperlink"/>
          </w:rPr>
          <w:t xml:space="preserve">https://github.com/R3GENESI5/shahid-2026-transfer-fraction</w:t>
        </w:r>
      </w:hyperlink>
      <w:r>
        <w:rPr>
          <w:rFonts w:ascii="Arial" w:hAnsi="Arial"/>
          <w:sz w:val="22"/>
        </w:rPr>
        <w:t xml:space="preserve">;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a Zenodo archive of the repository at the version of record will be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deposited on acceptance.</w:t>
      </w:r>
    </w:p>
    <w:p>
      <w:pPr>
        <w:pStyle w:val="BodyText"/>
      </w:pPr>
      <w:r>
        <w:rPr>
          <w:rFonts w:ascii="Arial" w:hAnsi="Arial"/>
          <w:b/>
          <w:bCs/>
          <w:sz w:val="22"/>
        </w:rPr>
        <w:t xml:space="preserve">References</w:t>
      </w:r>
    </w:p>
    <w:p>
      <w:pPr>
        <w:pStyle w:val="BodyText"/>
      </w:pPr>
      <w:r>
        <w:rPr>
          <w:rFonts w:ascii="Arial" w:hAnsi="Arial"/>
          <w:sz w:val="22"/>
        </w:rPr>
        <w:t xml:space="preserve">Hersbach, H. et al. (2020). The ERA5 global reanalysis. Quarterly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Journal of the Royal Meteorological Society, 146(730), 1999 to 2049.</w:t>
      </w:r>
    </w:p>
    <w:p>
      <w:pPr>
        <w:pStyle w:val="BodyText"/>
      </w:pPr>
      <w:r>
        <w:rPr>
          <w:rFonts w:ascii="Arial" w:hAnsi="Arial"/>
          <w:sz w:val="22"/>
        </w:rPr>
        <w:t xml:space="preserve">Loeb, N.G. et al. (2018). Clouds and the Earth's Radiant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Energy System (CERES) EBAF TOA Edition-4.0. Journal of Climate, 31(2),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895 to 918.</w:t>
      </w:r>
    </w:p>
    <w:sectPr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fldSimple w:instr="PAGE">
        <w:r>
          <w:t>1</w:t>
        </w:r>
      </w:fldSimple>
      <w:t> of </w:t>
      <w:fldSimple w:instr="NUMPAGES">
        <w:r>
          <w:t>1</w:t>
        </w:r>
      </w:fldSimple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2" Type="http://schemas.openxmlformats.org/officeDocument/2006/relationships/hyperlink" Target="https://github.com/R3GENESI5/shahid-2026-transfer-fraction" TargetMode="Externa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github.com/R3GENESI5/shahid-2026-transfer-fra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2026-06-02T15:10:10Z</dcterms:created>
  <dcterms:modified xsi:type="dcterms:W3CDTF">2026-06-02T15:10:10Z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