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A255" w14:textId="77777777" w:rsidR="00274AD0" w:rsidRDefault="00DF3BD5" w:rsidP="00274AD0">
      <w:pPr>
        <w:pStyle w:val="Ttulo8"/>
        <w:jc w:val="right"/>
      </w:pPr>
      <w:r>
        <w:t xml:space="preserve">    </w:t>
      </w:r>
      <w:r w:rsidR="00DF50D0">
        <w:t xml:space="preserve">     </w:t>
      </w:r>
      <w:r w:rsidR="00274AD0">
        <w:t>3  Distribuição de Freqüência</w:t>
      </w:r>
    </w:p>
    <w:p w14:paraId="5FF4894B" w14:textId="77777777" w:rsidR="00274AD0" w:rsidRDefault="00000000" w:rsidP="00274AD0">
      <w:pPr>
        <w:jc w:val="both"/>
        <w:rPr>
          <w:rFonts w:ascii="Garamond" w:hAnsi="Garamond"/>
          <w:sz w:val="28"/>
        </w:rPr>
      </w:pPr>
      <w:r>
        <w:rPr>
          <w:rFonts w:ascii="Arial Unicode MS" w:eastAsia="Arial Unicode MS" w:hAnsi="Arial Unicode MS"/>
          <w:noProof/>
          <w:color w:val="00FFFF"/>
          <w:sz w:val="20"/>
        </w:rPr>
        <w:pict w14:anchorId="6EBC5157">
          <v:rect id="_x0000_s1026" style="position:absolute;left:0;text-align:left;margin-left:180pt;margin-top:9.45pt;width:263.25pt;height:9.6pt;z-index:251660288;mso-wrap-style:none;v-text-anchor:middle" o:allowincell="f" fillcolor="#006" stroked="f" strokecolor="#ccecff" strokeweight="1pt">
            <v:shadow color="#006"/>
          </v:rect>
        </w:pict>
      </w:r>
    </w:p>
    <w:p w14:paraId="4343EA2C" w14:textId="77777777" w:rsidR="00274AD0" w:rsidRDefault="00274AD0" w:rsidP="00274AD0">
      <w:pPr>
        <w:jc w:val="both"/>
        <w:rPr>
          <w:rFonts w:ascii="Garamond" w:hAnsi="Garamond"/>
          <w:sz w:val="28"/>
        </w:rPr>
      </w:pPr>
    </w:p>
    <w:p w14:paraId="1F7B715A" w14:textId="77777777" w:rsidR="00274AD0" w:rsidRDefault="00274AD0" w:rsidP="00274AD0">
      <w:pPr>
        <w:jc w:val="both"/>
        <w:rPr>
          <w:rFonts w:ascii="Garamond" w:hAnsi="Garamond"/>
          <w:sz w:val="28"/>
        </w:rPr>
      </w:pPr>
    </w:p>
    <w:p w14:paraId="5DB85B97" w14:textId="77777777" w:rsidR="00274AD0" w:rsidRDefault="00274AD0" w:rsidP="00274AD0">
      <w:pPr>
        <w:ind w:firstLine="709"/>
        <w:jc w:val="both"/>
        <w:rPr>
          <w:rFonts w:ascii="Garamond" w:hAnsi="Garamond"/>
        </w:rPr>
      </w:pPr>
      <w:r w:rsidRPr="00254EA7">
        <w:rPr>
          <w:rFonts w:ascii="Garamond" w:hAnsi="Garamond"/>
          <w:highlight w:val="yellow"/>
        </w:rPr>
        <w:t>Consiste em dispor os dados em linhas e colunas distribuídas de modo ordenado</w:t>
      </w:r>
      <w:r>
        <w:rPr>
          <w:rFonts w:ascii="Garamond" w:hAnsi="Garamond"/>
        </w:rPr>
        <w:t>. A elaboração de tabelas obedece à Resolução n</w:t>
      </w:r>
      <w:r>
        <w:rPr>
          <w:rFonts w:ascii="Garamond" w:hAnsi="Garamond"/>
          <w:u w:val="single"/>
          <w:vertAlign w:val="superscript"/>
        </w:rPr>
        <w:t>o</w:t>
      </w:r>
      <w:r>
        <w:rPr>
          <w:rFonts w:ascii="Garamond" w:hAnsi="Garamond"/>
        </w:rPr>
        <w:t xml:space="preserve"> 886, de 26 de outubro de 1966, do Conselho Nacional de Estatística. As normas de apresentação são editadas pela Fundação Brasileira de Geografia e Estatística (IBGE).</w:t>
      </w:r>
    </w:p>
    <w:p w14:paraId="049E9E27" w14:textId="77777777" w:rsidR="00274AD0" w:rsidRPr="00EA1385" w:rsidRDefault="00274AD0" w:rsidP="00274AD0">
      <w:pPr>
        <w:rPr>
          <w:rStyle w:val="Forte"/>
          <w:b w:val="0"/>
        </w:rPr>
      </w:pPr>
    </w:p>
    <w:p w14:paraId="54260007" w14:textId="77777777" w:rsidR="00274AD0" w:rsidRDefault="00274AD0" w:rsidP="00274AD0">
      <w:pPr>
        <w:rPr>
          <w:rStyle w:val="Forte"/>
          <w:i/>
        </w:rPr>
      </w:pPr>
      <w:r>
        <w:rPr>
          <w:rStyle w:val="Forte"/>
          <w:i/>
        </w:rPr>
        <w:t>3.4 Distribuição de Freqüência</w:t>
      </w:r>
    </w:p>
    <w:p w14:paraId="50DBFFC8" w14:textId="77777777" w:rsidR="00274AD0" w:rsidRDefault="00274AD0" w:rsidP="00274AD0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É o tipo de série estatística na qual permanece constante o fato, o local e a época. Os dados são colocados em classes preestabelecidas, registrando a freqüência de ocorrência. Uma distribuição de freqüência pode ser classificada em discreta e intervalar.</w:t>
      </w:r>
    </w:p>
    <w:p w14:paraId="22F0836F" w14:textId="77777777" w:rsidR="00274AD0" w:rsidRDefault="00274AD0" w:rsidP="00274AD0">
      <w:pPr>
        <w:ind w:firstLine="709"/>
        <w:jc w:val="both"/>
        <w:outlineLvl w:val="0"/>
        <w:rPr>
          <w:rFonts w:ascii="Garamond" w:hAnsi="Garamond"/>
        </w:rPr>
      </w:pPr>
    </w:p>
    <w:p w14:paraId="7FEF02C0" w14:textId="77777777" w:rsidR="00274AD0" w:rsidRDefault="00274AD0" w:rsidP="00274AD0">
      <w:pPr>
        <w:jc w:val="both"/>
        <w:outlineLvl w:val="0"/>
        <w:rPr>
          <w:rFonts w:ascii="Garamond" w:hAnsi="Garamond"/>
        </w:rPr>
      </w:pPr>
      <w:r>
        <w:rPr>
          <w:rFonts w:ascii="Garamond" w:hAnsi="Garamond"/>
          <w:b/>
        </w:rPr>
        <w:t xml:space="preserve">a) Distribuição de Freqüência </w:t>
      </w:r>
      <w:r w:rsidRPr="00254EA7">
        <w:rPr>
          <w:rFonts w:ascii="Garamond" w:hAnsi="Garamond"/>
          <w:b/>
          <w:highlight w:val="yellow"/>
        </w:rPr>
        <w:t>Discreta ou Pontual</w:t>
      </w:r>
      <w:r>
        <w:rPr>
          <w:rFonts w:ascii="Garamond" w:hAnsi="Garamond"/>
          <w:b/>
        </w:rPr>
        <w:t xml:space="preserve">: </w:t>
      </w:r>
      <w:r>
        <w:rPr>
          <w:rFonts w:ascii="Garamond" w:hAnsi="Garamond"/>
        </w:rPr>
        <w:t>É uma série de dados agrupados na qual o número de observações está relacionado com um ponto real.</w:t>
      </w:r>
    </w:p>
    <w:p w14:paraId="0F498041" w14:textId="77777777" w:rsidR="00274AD0" w:rsidRDefault="00274AD0" w:rsidP="00274AD0">
      <w:pPr>
        <w:jc w:val="both"/>
        <w:outlineLvl w:val="0"/>
        <w:rPr>
          <w:rFonts w:ascii="Garamond" w:hAnsi="Garamond"/>
        </w:rPr>
      </w:pPr>
    </w:p>
    <w:p w14:paraId="11CA04E0" w14:textId="77777777" w:rsidR="00274AD0" w:rsidRDefault="00274AD0" w:rsidP="00274AD0">
      <w:pPr>
        <w:jc w:val="center"/>
        <w:outlineLvl w:val="0"/>
        <w:rPr>
          <w:rFonts w:ascii="Garamond" w:hAnsi="Garamond"/>
        </w:rPr>
      </w:pPr>
      <w:r>
        <w:rPr>
          <w:rFonts w:ascii="Garamond" w:hAnsi="Garamond"/>
        </w:rPr>
        <w:t>Notas do Aluno "X" na Disciplina de Estatística segundo</w:t>
      </w:r>
    </w:p>
    <w:p w14:paraId="0E29AEE3" w14:textId="77777777" w:rsidR="00274AD0" w:rsidRDefault="00274AD0" w:rsidP="00274AD0">
      <w:pPr>
        <w:jc w:val="center"/>
        <w:rPr>
          <w:rFonts w:ascii="Garamond" w:hAnsi="Garamond"/>
        </w:rPr>
      </w:pPr>
      <w:r>
        <w:rPr>
          <w:rFonts w:ascii="Garamond" w:hAnsi="Garamond"/>
        </w:rPr>
        <w:t>critérios de avaliação do DE da UFSM – 1990</w:t>
      </w:r>
    </w:p>
    <w:p w14:paraId="70270611" w14:textId="77777777" w:rsidR="00274AD0" w:rsidRDefault="00274AD0" w:rsidP="00274AD0">
      <w:pPr>
        <w:jc w:val="center"/>
        <w:rPr>
          <w:rFonts w:ascii="Garamond" w:hAnsi="Garamond"/>
        </w:rPr>
      </w:pPr>
    </w:p>
    <w:tbl>
      <w:tblPr>
        <w:tblW w:w="0" w:type="auto"/>
        <w:tblInd w:w="346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98"/>
        <w:gridCol w:w="798"/>
      </w:tblGrid>
      <w:tr w:rsidR="00274AD0" w14:paraId="00740A9A" w14:textId="77777777" w:rsidTr="00BB0194">
        <w:trPr>
          <w:cantSplit/>
        </w:trPr>
        <w:tc>
          <w:tcPr>
            <w:tcW w:w="798" w:type="dxa"/>
            <w:tcBorders>
              <w:top w:val="double" w:sz="12" w:space="0" w:color="auto"/>
              <w:bottom w:val="single" w:sz="12" w:space="0" w:color="auto"/>
            </w:tcBorders>
          </w:tcPr>
          <w:p w14:paraId="24209E9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X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  <w:tc>
          <w:tcPr>
            <w:tcW w:w="798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</w:tcPr>
          <w:p w14:paraId="12707CE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</w:tr>
      <w:tr w:rsidR="00274AD0" w14:paraId="3B42D20E" w14:textId="77777777" w:rsidTr="00BB0194">
        <w:trPr>
          <w:cantSplit/>
        </w:trPr>
        <w:tc>
          <w:tcPr>
            <w:tcW w:w="798" w:type="dxa"/>
          </w:tcPr>
          <w:p w14:paraId="7EC76C44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6,3</w:t>
            </w:r>
          </w:p>
        </w:tc>
        <w:tc>
          <w:tcPr>
            <w:tcW w:w="798" w:type="dxa"/>
            <w:tcBorders>
              <w:left w:val="single" w:sz="12" w:space="0" w:color="auto"/>
            </w:tcBorders>
          </w:tcPr>
          <w:p w14:paraId="439160F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</w:tr>
      <w:tr w:rsidR="00274AD0" w14:paraId="7BE20BA8" w14:textId="77777777" w:rsidTr="00BB0194">
        <w:trPr>
          <w:cantSplit/>
        </w:trPr>
        <w:tc>
          <w:tcPr>
            <w:tcW w:w="798" w:type="dxa"/>
          </w:tcPr>
          <w:p w14:paraId="0D813E80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8,4</w:t>
            </w:r>
          </w:p>
        </w:tc>
        <w:tc>
          <w:tcPr>
            <w:tcW w:w="798" w:type="dxa"/>
            <w:tcBorders>
              <w:left w:val="single" w:sz="12" w:space="0" w:color="auto"/>
            </w:tcBorders>
          </w:tcPr>
          <w:p w14:paraId="32477F0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</w:tr>
      <w:tr w:rsidR="00274AD0" w14:paraId="4D3BC552" w14:textId="77777777" w:rsidTr="00BB0194">
        <w:trPr>
          <w:cantSplit/>
        </w:trPr>
        <w:tc>
          <w:tcPr>
            <w:tcW w:w="798" w:type="dxa"/>
          </w:tcPr>
          <w:p w14:paraId="29E6287D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5,3</w:t>
            </w:r>
          </w:p>
        </w:tc>
        <w:tc>
          <w:tcPr>
            <w:tcW w:w="798" w:type="dxa"/>
            <w:tcBorders>
              <w:left w:val="single" w:sz="12" w:space="0" w:color="auto"/>
            </w:tcBorders>
          </w:tcPr>
          <w:p w14:paraId="7DAC1202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</w:tr>
      <w:tr w:rsidR="00274AD0" w14:paraId="5F5EBE99" w14:textId="77777777" w:rsidTr="00BB0194">
        <w:trPr>
          <w:cantSplit/>
        </w:trPr>
        <w:tc>
          <w:tcPr>
            <w:tcW w:w="798" w:type="dxa"/>
          </w:tcPr>
          <w:p w14:paraId="090DB88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9,5</w:t>
            </w:r>
          </w:p>
        </w:tc>
        <w:tc>
          <w:tcPr>
            <w:tcW w:w="798" w:type="dxa"/>
            <w:tcBorders>
              <w:left w:val="single" w:sz="12" w:space="0" w:color="auto"/>
            </w:tcBorders>
          </w:tcPr>
          <w:p w14:paraId="6E6CCF6F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</w:tr>
      <w:tr w:rsidR="00274AD0" w14:paraId="192C6B15" w14:textId="77777777" w:rsidTr="00BB0194">
        <w:trPr>
          <w:cantSplit/>
        </w:trPr>
        <w:tc>
          <w:tcPr>
            <w:tcW w:w="798" w:type="dxa"/>
          </w:tcPr>
          <w:p w14:paraId="50C2D55D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6,5</w:t>
            </w:r>
          </w:p>
        </w:tc>
        <w:tc>
          <w:tcPr>
            <w:tcW w:w="798" w:type="dxa"/>
            <w:tcBorders>
              <w:left w:val="single" w:sz="12" w:space="0" w:color="auto"/>
            </w:tcBorders>
          </w:tcPr>
          <w:p w14:paraId="5D802C32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</w:t>
            </w:r>
          </w:p>
        </w:tc>
      </w:tr>
      <w:tr w:rsidR="00274AD0" w14:paraId="364F2613" w14:textId="77777777" w:rsidTr="00BB0194">
        <w:trPr>
          <w:cantSplit/>
        </w:trPr>
        <w:tc>
          <w:tcPr>
            <w:tcW w:w="798" w:type="dxa"/>
            <w:tcBorders>
              <w:top w:val="single" w:sz="12" w:space="0" w:color="auto"/>
              <w:bottom w:val="single" w:sz="12" w:space="0" w:color="auto"/>
            </w:tcBorders>
          </w:tcPr>
          <w:p w14:paraId="5814D434" w14:textId="77777777" w:rsidR="00274AD0" w:rsidRDefault="002E069E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/>
            </w:r>
            <w:r w:rsidR="00274AD0">
              <w:rPr>
                <w:rFonts w:ascii="Garamond" w:hAnsi="Garamond"/>
              </w:rPr>
              <w:instrText>SYMBOL 83 \f "Symbol"</w:instrText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21DA4FC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</w:tr>
    </w:tbl>
    <w:p w14:paraId="1574682B" w14:textId="77777777" w:rsidR="00274AD0" w:rsidRDefault="00274AD0" w:rsidP="00274AD0">
      <w:pPr>
        <w:pStyle w:val="Corpodetexto2"/>
        <w:rPr>
          <w:rFonts w:ascii="Garamond" w:hAnsi="Garamond"/>
        </w:rPr>
      </w:pPr>
      <w:r>
        <w:rPr>
          <w:rFonts w:ascii="Garamond" w:hAnsi="Garamond"/>
        </w:rPr>
        <w:t>Fonte: Departamento de Estatística (1990)</w:t>
      </w:r>
    </w:p>
    <w:p w14:paraId="2DCCF51E" w14:textId="77777777" w:rsidR="00274AD0" w:rsidRDefault="00274AD0" w:rsidP="00274AD0">
      <w:pPr>
        <w:jc w:val="center"/>
        <w:rPr>
          <w:rFonts w:ascii="Garamond" w:hAnsi="Garamond"/>
        </w:rPr>
      </w:pPr>
    </w:p>
    <w:p w14:paraId="2AE43BEB" w14:textId="77777777" w:rsidR="00274AD0" w:rsidRDefault="00274AD0" w:rsidP="00274AD0">
      <w:pPr>
        <w:jc w:val="both"/>
        <w:outlineLvl w:val="0"/>
        <w:rPr>
          <w:rFonts w:ascii="Garamond" w:hAnsi="Garamond"/>
        </w:rPr>
      </w:pPr>
      <w:r>
        <w:rPr>
          <w:rFonts w:ascii="Garamond" w:hAnsi="Garamond"/>
          <w:b/>
        </w:rPr>
        <w:t xml:space="preserve">b) Distribuição de Freqüências Intervalar: </w:t>
      </w:r>
      <w:r>
        <w:rPr>
          <w:rFonts w:ascii="Garamond" w:hAnsi="Garamond"/>
        </w:rPr>
        <w:t xml:space="preserve">Na distribuição de freqüência, os </w:t>
      </w:r>
      <w:r w:rsidRPr="00254EA7">
        <w:rPr>
          <w:rFonts w:ascii="Garamond" w:hAnsi="Garamond"/>
          <w:highlight w:val="yellow"/>
        </w:rPr>
        <w:t>intervalos parciais</w:t>
      </w:r>
      <w:r>
        <w:rPr>
          <w:rFonts w:ascii="Garamond" w:hAnsi="Garamond"/>
        </w:rPr>
        <w:t xml:space="preserve"> deverão ser apresentados de maneira a evitar dúvidas quanto à classe a que permanece determinado elemento.</w:t>
      </w:r>
    </w:p>
    <w:p w14:paraId="10DB6CCF" w14:textId="77777777" w:rsidR="00274AD0" w:rsidRDefault="00274AD0" w:rsidP="00274AD0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O tipo de intervalo mais usado é do tipo fechado a esquerda e aberto a direita, representado pelo símbolo: |---.</w:t>
      </w:r>
    </w:p>
    <w:p w14:paraId="4CE9EAC9" w14:textId="77777777" w:rsidR="00274AD0" w:rsidRDefault="00274AD0" w:rsidP="00274AD0">
      <w:pPr>
        <w:jc w:val="both"/>
        <w:rPr>
          <w:rFonts w:ascii="Garamond" w:hAnsi="Garamond"/>
        </w:rPr>
      </w:pPr>
    </w:p>
    <w:p w14:paraId="44E0F397" w14:textId="77777777" w:rsidR="00274AD0" w:rsidRDefault="00274AD0" w:rsidP="00274AD0">
      <w:pPr>
        <w:jc w:val="center"/>
        <w:rPr>
          <w:rFonts w:ascii="Garamond" w:hAnsi="Garamond"/>
        </w:rPr>
      </w:pPr>
      <w:r>
        <w:rPr>
          <w:rFonts w:ascii="Garamond" w:hAnsi="Garamond"/>
        </w:rPr>
        <w:t>Altura em centímetros de 160 alunos do Curso de Administração da UFSM - 1990</w:t>
      </w:r>
    </w:p>
    <w:p w14:paraId="04EDC824" w14:textId="77777777" w:rsidR="00274AD0" w:rsidRDefault="00274AD0" w:rsidP="00274AD0">
      <w:pPr>
        <w:jc w:val="center"/>
        <w:rPr>
          <w:rFonts w:ascii="Garamond" w:hAnsi="Garamond"/>
        </w:rPr>
      </w:pPr>
    </w:p>
    <w:tbl>
      <w:tblPr>
        <w:tblW w:w="0" w:type="auto"/>
        <w:tblInd w:w="286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588"/>
        <w:gridCol w:w="629"/>
        <w:gridCol w:w="567"/>
        <w:gridCol w:w="851"/>
        <w:gridCol w:w="850"/>
      </w:tblGrid>
      <w:tr w:rsidR="00274AD0" w14:paraId="48A668C0" w14:textId="77777777" w:rsidTr="00BB0194">
        <w:trPr>
          <w:cantSplit/>
        </w:trPr>
        <w:tc>
          <w:tcPr>
            <w:tcW w:w="1784" w:type="dxa"/>
            <w:gridSpan w:val="3"/>
            <w:tcBorders>
              <w:top w:val="double" w:sz="12" w:space="0" w:color="auto"/>
              <w:bottom w:val="single" w:sz="12" w:space="0" w:color="auto"/>
              <w:right w:val="single" w:sz="12" w:space="0" w:color="auto"/>
            </w:tcBorders>
          </w:tcPr>
          <w:p w14:paraId="3123D03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Altura (cm)</w:t>
            </w:r>
          </w:p>
        </w:tc>
        <w:tc>
          <w:tcPr>
            <w:tcW w:w="851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</w:tcPr>
          <w:p w14:paraId="45F79E3B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X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  <w:tc>
          <w:tcPr>
            <w:tcW w:w="850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</w:tcPr>
          <w:p w14:paraId="477E0584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</w:tr>
      <w:tr w:rsidR="00274AD0" w14:paraId="7BF3995F" w14:textId="77777777" w:rsidTr="00BB0194">
        <w:trPr>
          <w:cantSplit/>
        </w:trPr>
        <w:tc>
          <w:tcPr>
            <w:tcW w:w="588" w:type="dxa"/>
          </w:tcPr>
          <w:p w14:paraId="330D78C0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150</w:t>
            </w:r>
          </w:p>
        </w:tc>
        <w:tc>
          <w:tcPr>
            <w:tcW w:w="629" w:type="dxa"/>
          </w:tcPr>
          <w:p w14:paraId="26DE1FEA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327B166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158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3716F7FC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154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0734497B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</w:tr>
      <w:tr w:rsidR="00274AD0" w14:paraId="59171D70" w14:textId="77777777" w:rsidTr="00BB0194">
        <w:trPr>
          <w:cantSplit/>
        </w:trPr>
        <w:tc>
          <w:tcPr>
            <w:tcW w:w="588" w:type="dxa"/>
          </w:tcPr>
          <w:p w14:paraId="4B4FB95D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158</w:t>
            </w:r>
          </w:p>
        </w:tc>
        <w:tc>
          <w:tcPr>
            <w:tcW w:w="629" w:type="dxa"/>
          </w:tcPr>
          <w:p w14:paraId="4C86F55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707EA1D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166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45134E0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162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10A65BA9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</w:tr>
      <w:tr w:rsidR="00274AD0" w14:paraId="4456A2EC" w14:textId="77777777" w:rsidTr="00BB0194">
        <w:trPr>
          <w:cantSplit/>
        </w:trPr>
        <w:tc>
          <w:tcPr>
            <w:tcW w:w="588" w:type="dxa"/>
          </w:tcPr>
          <w:p w14:paraId="66D1309F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166</w:t>
            </w:r>
          </w:p>
        </w:tc>
        <w:tc>
          <w:tcPr>
            <w:tcW w:w="629" w:type="dxa"/>
          </w:tcPr>
          <w:p w14:paraId="024322ED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649F856F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174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56CEDB0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170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58B57502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</w:t>
            </w:r>
          </w:p>
        </w:tc>
      </w:tr>
      <w:tr w:rsidR="00274AD0" w14:paraId="0BC08BB4" w14:textId="77777777" w:rsidTr="00BB0194">
        <w:trPr>
          <w:cantSplit/>
        </w:trPr>
        <w:tc>
          <w:tcPr>
            <w:tcW w:w="588" w:type="dxa"/>
          </w:tcPr>
          <w:p w14:paraId="4AB4FF5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174</w:t>
            </w:r>
          </w:p>
        </w:tc>
        <w:tc>
          <w:tcPr>
            <w:tcW w:w="629" w:type="dxa"/>
          </w:tcPr>
          <w:p w14:paraId="1CB58581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7ACF5CDB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182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002A4A34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178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716D5E1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52</w:t>
            </w:r>
          </w:p>
        </w:tc>
      </w:tr>
      <w:tr w:rsidR="00274AD0" w14:paraId="1B610BC2" w14:textId="77777777" w:rsidTr="00BB0194">
        <w:trPr>
          <w:cantSplit/>
        </w:trPr>
        <w:tc>
          <w:tcPr>
            <w:tcW w:w="588" w:type="dxa"/>
          </w:tcPr>
          <w:p w14:paraId="74BC4258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182</w:t>
            </w:r>
          </w:p>
        </w:tc>
        <w:tc>
          <w:tcPr>
            <w:tcW w:w="629" w:type="dxa"/>
          </w:tcPr>
          <w:p w14:paraId="754A0E85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351BFB8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190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0D8D4396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186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7F66874A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</w:tr>
      <w:tr w:rsidR="00274AD0" w14:paraId="03B39105" w14:textId="77777777" w:rsidTr="00BB0194">
        <w:trPr>
          <w:cantSplit/>
        </w:trPr>
        <w:tc>
          <w:tcPr>
            <w:tcW w:w="588" w:type="dxa"/>
          </w:tcPr>
          <w:p w14:paraId="750CDE46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190</w:t>
            </w:r>
          </w:p>
        </w:tc>
        <w:tc>
          <w:tcPr>
            <w:tcW w:w="629" w:type="dxa"/>
          </w:tcPr>
          <w:p w14:paraId="09B82A9B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567" w:type="dxa"/>
          </w:tcPr>
          <w:p w14:paraId="7947237E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198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14:paraId="392998E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194</w:t>
            </w:r>
          </w:p>
        </w:tc>
        <w:tc>
          <w:tcPr>
            <w:tcW w:w="850" w:type="dxa"/>
            <w:tcBorders>
              <w:left w:val="single" w:sz="12" w:space="0" w:color="auto"/>
            </w:tcBorders>
          </w:tcPr>
          <w:p w14:paraId="0BDBA0C6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</w:tr>
      <w:tr w:rsidR="00274AD0" w14:paraId="54C7DE51" w14:textId="77777777" w:rsidTr="00BB0194">
        <w:trPr>
          <w:cantSplit/>
        </w:trPr>
        <w:tc>
          <w:tcPr>
            <w:tcW w:w="178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F0C10" w14:textId="77777777" w:rsidR="00274AD0" w:rsidRDefault="002E069E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/>
            </w:r>
            <w:r w:rsidR="00274AD0">
              <w:rPr>
                <w:rFonts w:ascii="Garamond" w:hAnsi="Garamond"/>
              </w:rPr>
              <w:instrText>SYMBOL 83 \f "Symbol"</w:instrText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140E91D7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----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FD9849" w14:textId="77777777" w:rsidR="00274AD0" w:rsidRDefault="00274AD0" w:rsidP="00BB0194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160</w:t>
            </w:r>
          </w:p>
        </w:tc>
      </w:tr>
    </w:tbl>
    <w:p w14:paraId="12A8B34D" w14:textId="77777777" w:rsidR="00274AD0" w:rsidRDefault="00274AD0" w:rsidP="00274AD0">
      <w:pPr>
        <w:pStyle w:val="Corpodetexto2"/>
        <w:rPr>
          <w:rFonts w:ascii="Garamond" w:hAnsi="Garamond"/>
        </w:rPr>
      </w:pPr>
      <w:r>
        <w:rPr>
          <w:rFonts w:ascii="Garamond" w:hAnsi="Garamond"/>
        </w:rPr>
        <w:t>Fonte: Departamento de Estatística (1990)</w:t>
      </w:r>
    </w:p>
    <w:p w14:paraId="6CF35DB2" w14:textId="77777777" w:rsidR="001D1D50" w:rsidRDefault="001D1D50" w:rsidP="00274AD0">
      <w:pPr>
        <w:rPr>
          <w:rFonts w:ascii="Garamond" w:hAnsi="Garamond"/>
          <w:b/>
        </w:rPr>
      </w:pPr>
    </w:p>
    <w:p w14:paraId="4F5E75DE" w14:textId="77777777" w:rsidR="001D1D50" w:rsidRDefault="001D1D50" w:rsidP="00274AD0">
      <w:pPr>
        <w:rPr>
          <w:rFonts w:ascii="Garamond" w:hAnsi="Garamond"/>
          <w:b/>
        </w:rPr>
      </w:pPr>
    </w:p>
    <w:p w14:paraId="75DC9764" w14:textId="77777777" w:rsidR="00274AD0" w:rsidRDefault="00274AD0" w:rsidP="00274AD0">
      <w:pPr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Elementos de uma Distribuição de Freqüências:</w:t>
      </w:r>
    </w:p>
    <w:p w14:paraId="2AA8DE0D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2B5B62FA" w14:textId="77777777" w:rsidR="00274AD0" w:rsidRDefault="00274AD0" w:rsidP="00274AD0">
      <w:pPr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Classe ou </w:t>
      </w:r>
      <w:r w:rsidRPr="00254EA7">
        <w:rPr>
          <w:rFonts w:ascii="Garamond" w:hAnsi="Garamond"/>
          <w:b/>
          <w:highlight w:val="yellow"/>
        </w:rPr>
        <w:t xml:space="preserve">Classe de Freqüência (K): </w:t>
      </w:r>
      <w:r w:rsidRPr="00254EA7">
        <w:rPr>
          <w:rFonts w:ascii="Garamond" w:hAnsi="Garamond"/>
          <w:highlight w:val="yellow"/>
        </w:rPr>
        <w:t>É cada subintervalo</w:t>
      </w:r>
      <w:r>
        <w:rPr>
          <w:rFonts w:ascii="Garamond" w:hAnsi="Garamond"/>
        </w:rPr>
        <w:t xml:space="preserve"> (linha) na qual dividimos o fenômeno.</w:t>
      </w:r>
    </w:p>
    <w:p w14:paraId="6BF0EAE2" w14:textId="77777777" w:rsidR="00274AD0" w:rsidRDefault="00274AD0" w:rsidP="00274AD0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Para determinar o número de classes a partir dos dados não tabelados, podemos usar a </w:t>
      </w:r>
      <w:r w:rsidRPr="00254EA7">
        <w:rPr>
          <w:rFonts w:ascii="Garamond" w:hAnsi="Garamond"/>
          <w:b/>
          <w:highlight w:val="yellow"/>
        </w:rPr>
        <w:t>Fórmula de Sturges</w:t>
      </w:r>
      <w:r>
        <w:rPr>
          <w:rFonts w:ascii="Garamond" w:hAnsi="Garamond"/>
          <w:b/>
        </w:rPr>
        <w:t>,</w:t>
      </w:r>
      <w:r>
        <w:rPr>
          <w:rFonts w:ascii="Garamond" w:hAnsi="Garamond"/>
        </w:rPr>
        <w:t xml:space="preserve"> mas deve-se saber que existem outros métodos de determinação do número de classes em uma tabela de freqüência. O que se deseja fazer é apenas comprimir um conjunto de dados em uma tabela, para facilitar a visualização e interpretação dos mesmos.</w:t>
      </w:r>
    </w:p>
    <w:p w14:paraId="146FC6AE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1F25CE51" w14:textId="77777777" w:rsidR="00274AD0" w:rsidRDefault="00274AD0" w:rsidP="00274AD0">
      <w:pPr>
        <w:jc w:val="center"/>
        <w:rPr>
          <w:rFonts w:ascii="Garamond" w:hAnsi="Garamond"/>
          <w:b/>
        </w:rPr>
      </w:pPr>
      <w:r w:rsidRPr="00254EA7">
        <w:rPr>
          <w:rFonts w:ascii="Garamond" w:hAnsi="Garamond"/>
          <w:position w:val="-10"/>
          <w:highlight w:val="yellow"/>
        </w:rPr>
        <w:object w:dxaOrig="1900" w:dyaOrig="320" w14:anchorId="498972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4pt;height:15.6pt" o:ole="" fillcolor="window">
            <v:imagedata r:id="rId5" o:title=""/>
          </v:shape>
          <o:OLEObject Type="Embed" ProgID="Equation.3" ShapeID="_x0000_i1025" DrawAspect="Content" ObjectID="_1806302389" r:id="rId6"/>
        </w:object>
      </w:r>
      <w:r w:rsidRPr="00254EA7">
        <w:rPr>
          <w:rFonts w:ascii="Garamond" w:hAnsi="Garamond"/>
          <w:highlight w:val="yellow"/>
        </w:rPr>
        <w:t>, onde “n” é n</w:t>
      </w:r>
      <w:r w:rsidRPr="00254EA7">
        <w:rPr>
          <w:rFonts w:ascii="Garamond" w:hAnsi="Garamond"/>
          <w:highlight w:val="yellow"/>
          <w:u w:val="single"/>
          <w:vertAlign w:val="superscript"/>
        </w:rPr>
        <w:t>o</w:t>
      </w:r>
      <w:r w:rsidRPr="00254EA7">
        <w:rPr>
          <w:rFonts w:ascii="Garamond" w:hAnsi="Garamond"/>
          <w:highlight w:val="yellow"/>
        </w:rPr>
        <w:t xml:space="preserve"> de informações.</w:t>
      </w:r>
    </w:p>
    <w:p w14:paraId="0868A962" w14:textId="77777777" w:rsidR="00274AD0" w:rsidRDefault="00274AD0" w:rsidP="00274AD0">
      <w:pPr>
        <w:ind w:firstLine="709"/>
        <w:jc w:val="both"/>
        <w:rPr>
          <w:rFonts w:ascii="Garamond" w:hAnsi="Garamond"/>
          <w:b/>
        </w:rPr>
      </w:pPr>
    </w:p>
    <w:p w14:paraId="3236D1AB" w14:textId="77777777" w:rsidR="00274AD0" w:rsidRPr="001D1D50" w:rsidRDefault="001D1D50" w:rsidP="001D1D50">
      <w:pPr>
        <w:ind w:left="540" w:hanging="18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</w:t>
      </w:r>
      <w:r w:rsidR="00274AD0" w:rsidRPr="001D1D50">
        <w:rPr>
          <w:rFonts w:ascii="Garamond" w:hAnsi="Garamond"/>
        </w:rPr>
        <w:t xml:space="preserve">Além da Regra de Sturges, existem outras fórmulas empíricas para resolver o problema para determinação do número de classes [n(k)], há quem prefira </w:t>
      </w:r>
      <w:r w:rsidR="00274AD0" w:rsidRPr="001D1D50">
        <w:rPr>
          <w:rFonts w:ascii="Garamond" w:hAnsi="Garamond"/>
          <w:position w:val="-10"/>
        </w:rPr>
        <w:object w:dxaOrig="1080" w:dyaOrig="380" w14:anchorId="390A3BAC">
          <v:shape id="_x0000_i1026" type="#_x0000_t75" style="width:48pt;height:16.2pt" o:ole="" fillcolor="window">
            <v:imagedata r:id="rId7" o:title=""/>
          </v:shape>
          <o:OLEObject Type="Embed" ProgID="Equation.3" ShapeID="_x0000_i1026" DrawAspect="Content" ObjectID="_1806302390" r:id="rId8"/>
        </w:object>
      </w:r>
      <w:r w:rsidR="00274AD0" w:rsidRPr="001D1D50">
        <w:rPr>
          <w:rFonts w:ascii="Garamond" w:hAnsi="Garamond"/>
        </w:rPr>
        <w:t>. Entretanto, a verdade é que essas fórmulas não nos levam a uma decisão final; esta vai depender na realidade de um julgamento pessoal, que deverá estar ligado a natureza dos dados, procurando, sempre que possível, evitar classes com freqüências nulas ou freqüências relativas exageradamente grandes.</w:t>
      </w:r>
    </w:p>
    <w:p w14:paraId="7C166861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02AF5A96" w14:textId="77777777" w:rsidR="00274AD0" w:rsidRDefault="00274AD0" w:rsidP="00274AD0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>Limite de Classe (l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 ou L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São os valores extremos de cada classe.</w:t>
      </w:r>
    </w:p>
    <w:p w14:paraId="1C32DE06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667C4221" w14:textId="77777777" w:rsidR="00274AD0" w:rsidRPr="00254EA7" w:rsidRDefault="00274AD0" w:rsidP="00274AD0">
      <w:pPr>
        <w:ind w:firstLine="709"/>
        <w:jc w:val="both"/>
        <w:rPr>
          <w:rFonts w:ascii="Garamond" w:hAnsi="Garamond"/>
          <w:highlight w:val="yellow"/>
        </w:rPr>
      </w:pPr>
      <w:r w:rsidRPr="00254EA7">
        <w:rPr>
          <w:rFonts w:ascii="Garamond" w:hAnsi="Garamond"/>
          <w:b/>
          <w:highlight w:val="yellow"/>
        </w:rPr>
        <w:t>l</w:t>
      </w:r>
      <w:r w:rsidRPr="00254EA7">
        <w:rPr>
          <w:rFonts w:ascii="Garamond" w:hAnsi="Garamond"/>
          <w:b/>
          <w:position w:val="-6"/>
          <w:highlight w:val="yellow"/>
        </w:rPr>
        <w:t>i</w:t>
      </w:r>
      <w:r w:rsidRPr="00254EA7">
        <w:rPr>
          <w:rFonts w:ascii="Garamond" w:hAnsi="Garamond"/>
          <w:b/>
          <w:highlight w:val="yellow"/>
        </w:rPr>
        <w:t xml:space="preserve"> = </w:t>
      </w:r>
      <w:r w:rsidRPr="00254EA7">
        <w:rPr>
          <w:rFonts w:ascii="Garamond" w:hAnsi="Garamond"/>
          <w:highlight w:val="yellow"/>
        </w:rPr>
        <w:t xml:space="preserve">limite inferior da i-ésima classe; </w:t>
      </w:r>
    </w:p>
    <w:p w14:paraId="4801D470" w14:textId="77777777" w:rsidR="00274AD0" w:rsidRDefault="00274AD0" w:rsidP="00274AD0">
      <w:pPr>
        <w:ind w:firstLine="709"/>
        <w:jc w:val="both"/>
        <w:outlineLvl w:val="0"/>
        <w:rPr>
          <w:rFonts w:ascii="Garamond" w:hAnsi="Garamond"/>
        </w:rPr>
      </w:pPr>
      <w:r w:rsidRPr="00254EA7">
        <w:rPr>
          <w:rFonts w:ascii="Garamond" w:hAnsi="Garamond"/>
          <w:b/>
          <w:highlight w:val="yellow"/>
        </w:rPr>
        <w:t>L</w:t>
      </w:r>
      <w:r w:rsidRPr="00254EA7">
        <w:rPr>
          <w:rFonts w:ascii="Garamond" w:hAnsi="Garamond"/>
          <w:b/>
          <w:position w:val="-6"/>
          <w:highlight w:val="yellow"/>
        </w:rPr>
        <w:t>i</w:t>
      </w:r>
      <w:r w:rsidRPr="00254EA7">
        <w:rPr>
          <w:rFonts w:ascii="Garamond" w:hAnsi="Garamond"/>
          <w:b/>
          <w:highlight w:val="yellow"/>
        </w:rPr>
        <w:t xml:space="preserve"> = </w:t>
      </w:r>
      <w:r w:rsidRPr="00254EA7">
        <w:rPr>
          <w:rFonts w:ascii="Garamond" w:hAnsi="Garamond"/>
          <w:highlight w:val="yellow"/>
        </w:rPr>
        <w:t>limite superior da i-ésima classe;</w:t>
      </w:r>
      <w:r>
        <w:rPr>
          <w:rFonts w:ascii="Garamond" w:hAnsi="Garamond"/>
        </w:rPr>
        <w:t xml:space="preserve"> </w:t>
      </w:r>
    </w:p>
    <w:p w14:paraId="093FAE79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6B150D01" w14:textId="77777777" w:rsidR="00274AD0" w:rsidRDefault="00274AD0" w:rsidP="00274AD0">
      <w:pPr>
        <w:numPr>
          <w:ilvl w:val="0"/>
          <w:numId w:val="3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Amplitude do intervalo de classe (h): </w:t>
      </w:r>
      <w:r>
        <w:rPr>
          <w:rFonts w:ascii="Garamond" w:hAnsi="Garamond"/>
        </w:rPr>
        <w:t xml:space="preserve">É a diferença entre dois limites inferiores ou superiores consecutivos.  </w:t>
      </w:r>
    </w:p>
    <w:p w14:paraId="21A0D048" w14:textId="77777777" w:rsidR="00274AD0" w:rsidRDefault="00274AD0" w:rsidP="00274AD0">
      <w:pPr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10"/>
          <w:highlight w:val="yellow"/>
        </w:rPr>
        <w:object w:dxaOrig="1240" w:dyaOrig="340" w14:anchorId="58A005F5">
          <v:shape id="_x0000_i1027" type="#_x0000_t75" style="width:62.4pt;height:17.4pt" o:ole="" fillcolor="window">
            <v:imagedata r:id="rId9" o:title=""/>
          </v:shape>
          <o:OLEObject Type="Embed" ProgID="Equation.3" ShapeID="_x0000_i1027" DrawAspect="Content" ObjectID="_1806302391" r:id="rId10"/>
        </w:object>
      </w:r>
      <w:r w:rsidRPr="00254EA7">
        <w:rPr>
          <w:rFonts w:ascii="Garamond" w:hAnsi="Garamond"/>
          <w:highlight w:val="yellow"/>
        </w:rPr>
        <w:t xml:space="preserve"> ou </w:t>
      </w:r>
      <w:r w:rsidRPr="00254EA7">
        <w:rPr>
          <w:rFonts w:ascii="Garamond" w:hAnsi="Garamond"/>
          <w:position w:val="-10"/>
          <w:highlight w:val="yellow"/>
        </w:rPr>
        <w:object w:dxaOrig="1400" w:dyaOrig="340" w14:anchorId="0E1164FE">
          <v:shape id="_x0000_i1028" type="#_x0000_t75" style="width:69.6pt;height:17.4pt" o:ole="" fillcolor="window">
            <v:imagedata r:id="rId11" o:title=""/>
          </v:shape>
          <o:OLEObject Type="Embed" ProgID="Equation.3" ShapeID="_x0000_i1028" DrawAspect="Content" ObjectID="_1806302392" r:id="rId12"/>
        </w:object>
      </w:r>
    </w:p>
    <w:p w14:paraId="316329CE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4447A0E6" w14:textId="77777777" w:rsidR="00274AD0" w:rsidRPr="001D1D50" w:rsidRDefault="00274AD0" w:rsidP="001D1D50">
      <w:pPr>
        <w:pStyle w:val="Recuodecorpodetexto2"/>
        <w:ind w:left="360" w:firstLine="0"/>
      </w:pPr>
      <w:r w:rsidRPr="001D1D50">
        <w:t>A amplitude do intervalo de classe deve ser constante em todo a distribuição de freqüências intervalar.</w:t>
      </w:r>
    </w:p>
    <w:p w14:paraId="0AF461F6" w14:textId="77777777" w:rsidR="001D1D50" w:rsidRPr="001D1D50" w:rsidRDefault="001D1D50" w:rsidP="001D1D50">
      <w:pPr>
        <w:ind w:left="360"/>
        <w:jc w:val="both"/>
        <w:rPr>
          <w:rFonts w:ascii="Garamond" w:hAnsi="Garamond"/>
        </w:rPr>
      </w:pPr>
    </w:p>
    <w:p w14:paraId="5C5EDC01" w14:textId="77777777" w:rsidR="00274AD0" w:rsidRDefault="00274AD0" w:rsidP="00274AD0">
      <w:pPr>
        <w:numPr>
          <w:ilvl w:val="0"/>
          <w:numId w:val="4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Amplitude total (H): </w:t>
      </w:r>
      <w:r>
        <w:rPr>
          <w:rFonts w:ascii="Garamond" w:hAnsi="Garamond"/>
        </w:rPr>
        <w:t>É a diferença entre o limite superior da última classe e o limite inferior da 1ª classe, ou a diferença entre último e o primeiro elemento de um conjunto de dados postos em ordem crescente.</w:t>
      </w:r>
    </w:p>
    <w:p w14:paraId="3E2AF0B3" w14:textId="77777777" w:rsidR="00274AD0" w:rsidRDefault="00274AD0" w:rsidP="00274AD0">
      <w:pPr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10"/>
          <w:highlight w:val="yellow"/>
        </w:rPr>
        <w:object w:dxaOrig="1100" w:dyaOrig="340" w14:anchorId="4C5C27B5">
          <v:shape id="_x0000_i1029" type="#_x0000_t75" style="width:54.6pt;height:17.4pt" o:ole="" fillcolor="window">
            <v:imagedata r:id="rId13" o:title=""/>
          </v:shape>
          <o:OLEObject Type="Embed" ProgID="Equation.3" ShapeID="_x0000_i1029" DrawAspect="Content" ObjectID="_1806302393" r:id="rId14"/>
        </w:object>
      </w:r>
    </w:p>
    <w:p w14:paraId="1060D0CE" w14:textId="77777777" w:rsidR="00274AD0" w:rsidRDefault="00274AD0" w:rsidP="00274AD0">
      <w:pPr>
        <w:jc w:val="both"/>
        <w:rPr>
          <w:rFonts w:ascii="Garamond" w:hAnsi="Garamond"/>
          <w:sz w:val="28"/>
        </w:rPr>
      </w:pPr>
    </w:p>
    <w:p w14:paraId="6D373724" w14:textId="77777777" w:rsidR="00274AD0" w:rsidRDefault="00274AD0" w:rsidP="00274AD0">
      <w:pPr>
        <w:numPr>
          <w:ilvl w:val="0"/>
          <w:numId w:val="5"/>
        </w:numPr>
        <w:ind w:left="402" w:hanging="357"/>
        <w:jc w:val="both"/>
        <w:rPr>
          <w:rFonts w:ascii="Garamond" w:hAnsi="Garamond"/>
        </w:rPr>
      </w:pPr>
      <w:r>
        <w:rPr>
          <w:rFonts w:ascii="Garamond" w:hAnsi="Garamond"/>
          <w:b/>
        </w:rPr>
        <w:t>Ponto médio de classe (X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É a média aritmética simples do limite inferior com o limite superior de uma mesma classe.</w:t>
      </w:r>
    </w:p>
    <w:p w14:paraId="7A4B44C7" w14:textId="77777777" w:rsidR="00274AD0" w:rsidRDefault="00274AD0" w:rsidP="00274AD0">
      <w:pPr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24"/>
          <w:highlight w:val="yellow"/>
        </w:rPr>
        <w:object w:dxaOrig="1260" w:dyaOrig="639" w14:anchorId="066C36E1">
          <v:shape id="_x0000_i1030" type="#_x0000_t75" style="width:58.8pt;height:29.4pt" o:ole="" fillcolor="window">
            <v:imagedata r:id="rId15" o:title=""/>
          </v:shape>
          <o:OLEObject Type="Embed" ProgID="Equation.3" ShapeID="_x0000_i1030" DrawAspect="Content" ObjectID="_1806302394" r:id="rId16"/>
        </w:object>
      </w:r>
    </w:p>
    <w:p w14:paraId="349A8B4B" w14:textId="77777777" w:rsidR="00274AD0" w:rsidRDefault="00274AD0" w:rsidP="00274AD0">
      <w:pPr>
        <w:jc w:val="both"/>
        <w:rPr>
          <w:rFonts w:ascii="Garamond" w:hAnsi="Garamond"/>
        </w:rPr>
      </w:pPr>
    </w:p>
    <w:p w14:paraId="27DE7F9C" w14:textId="77777777" w:rsidR="00274AD0" w:rsidRDefault="00274AD0" w:rsidP="00274AD0">
      <w:pPr>
        <w:jc w:val="both"/>
        <w:rPr>
          <w:rFonts w:ascii="Garamond" w:hAnsi="Garamond"/>
        </w:rPr>
      </w:pPr>
      <w:r>
        <w:rPr>
          <w:rFonts w:ascii="Garamond" w:hAnsi="Garamond"/>
        </w:rPr>
        <w:t>ou a partir do X</w:t>
      </w:r>
      <w:r>
        <w:rPr>
          <w:rFonts w:ascii="Garamond" w:hAnsi="Garamond"/>
          <w:vertAlign w:val="subscript"/>
        </w:rPr>
        <w:t>1</w:t>
      </w:r>
      <w:r>
        <w:rPr>
          <w:rFonts w:ascii="Garamond" w:hAnsi="Garamond"/>
        </w:rPr>
        <w:t xml:space="preserve"> os demais pontos médios pode ser determinado por:</w:t>
      </w:r>
    </w:p>
    <w:p w14:paraId="1DD24277" w14:textId="77777777" w:rsidR="00274AD0" w:rsidRDefault="00274AD0" w:rsidP="00274AD0">
      <w:pPr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10"/>
          <w:highlight w:val="yellow"/>
        </w:rPr>
        <w:object w:dxaOrig="1400" w:dyaOrig="340" w14:anchorId="00820D57">
          <v:shape id="_x0000_i1031" type="#_x0000_t75" style="width:60pt;height:18pt" o:ole="" fillcolor="window">
            <v:imagedata r:id="rId17" o:title=""/>
          </v:shape>
          <o:OLEObject Type="Embed" ProgID="Equation.3" ShapeID="_x0000_i1031" DrawAspect="Content" ObjectID="_1806302395" r:id="rId18"/>
        </w:object>
      </w:r>
    </w:p>
    <w:p w14:paraId="264C8AF3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617B5D33" w14:textId="77777777" w:rsidR="00274AD0" w:rsidRPr="001D1D50" w:rsidRDefault="00274AD0" w:rsidP="001D1D50">
      <w:pPr>
        <w:ind w:left="540" w:hanging="180"/>
        <w:jc w:val="both"/>
        <w:rPr>
          <w:rFonts w:ascii="Garamond" w:hAnsi="Garamond"/>
        </w:rPr>
      </w:pPr>
      <w:r w:rsidRPr="00254EA7">
        <w:rPr>
          <w:rFonts w:ascii="Garamond" w:hAnsi="Garamond"/>
          <w:highlight w:val="yellow"/>
        </w:rPr>
        <w:t>Quando substituirmos os intervalos de classes pelos pontos médios (X</w:t>
      </w:r>
      <w:r w:rsidRPr="00254EA7">
        <w:rPr>
          <w:rFonts w:ascii="Garamond" w:hAnsi="Garamond"/>
          <w:position w:val="-6"/>
          <w:highlight w:val="yellow"/>
        </w:rPr>
        <w:t>i</w:t>
      </w:r>
      <w:r w:rsidRPr="00254EA7">
        <w:rPr>
          <w:rFonts w:ascii="Garamond" w:hAnsi="Garamond"/>
          <w:highlight w:val="yellow"/>
        </w:rPr>
        <w:t xml:space="preserve">), ter-se-á uma </w:t>
      </w:r>
      <w:r w:rsidR="001D1D50" w:rsidRPr="00254EA7">
        <w:rPr>
          <w:rFonts w:ascii="Garamond" w:hAnsi="Garamond"/>
          <w:b/>
          <w:highlight w:val="yellow"/>
        </w:rPr>
        <w:t>D</w:t>
      </w:r>
      <w:r w:rsidRPr="00254EA7">
        <w:rPr>
          <w:rFonts w:ascii="Garamond" w:hAnsi="Garamond"/>
          <w:b/>
          <w:highlight w:val="yellow"/>
        </w:rPr>
        <w:t xml:space="preserve">istribuição de </w:t>
      </w:r>
      <w:r w:rsidR="001D1D50" w:rsidRPr="00254EA7">
        <w:rPr>
          <w:rFonts w:ascii="Garamond" w:hAnsi="Garamond"/>
          <w:b/>
          <w:highlight w:val="yellow"/>
        </w:rPr>
        <w:t>F</w:t>
      </w:r>
      <w:r w:rsidRPr="00254EA7">
        <w:rPr>
          <w:rFonts w:ascii="Garamond" w:hAnsi="Garamond"/>
          <w:b/>
          <w:highlight w:val="yellow"/>
        </w:rPr>
        <w:t xml:space="preserve">reqüência </w:t>
      </w:r>
      <w:r w:rsidR="001D1D50" w:rsidRPr="00254EA7">
        <w:rPr>
          <w:rFonts w:ascii="Garamond" w:hAnsi="Garamond"/>
          <w:b/>
          <w:highlight w:val="yellow"/>
        </w:rPr>
        <w:t>P</w:t>
      </w:r>
      <w:r w:rsidRPr="00254EA7">
        <w:rPr>
          <w:rFonts w:ascii="Garamond" w:hAnsi="Garamond"/>
          <w:b/>
          <w:highlight w:val="yellow"/>
        </w:rPr>
        <w:t>ontual</w:t>
      </w:r>
      <w:r w:rsidRPr="00254EA7">
        <w:rPr>
          <w:rFonts w:ascii="Garamond" w:hAnsi="Garamond"/>
          <w:highlight w:val="yellow"/>
        </w:rPr>
        <w:t>.</w:t>
      </w:r>
    </w:p>
    <w:p w14:paraId="54B34DF6" w14:textId="77777777" w:rsidR="001D1D50" w:rsidRDefault="001D1D50" w:rsidP="001D1D50">
      <w:pPr>
        <w:ind w:left="360"/>
        <w:jc w:val="both"/>
        <w:rPr>
          <w:rFonts w:ascii="Garamond" w:hAnsi="Garamond"/>
          <w:b/>
        </w:rPr>
      </w:pPr>
    </w:p>
    <w:p w14:paraId="7DC2A770" w14:textId="77777777" w:rsidR="001D1D50" w:rsidRDefault="001D1D50" w:rsidP="001D1D50">
      <w:pPr>
        <w:ind w:left="360"/>
        <w:jc w:val="both"/>
        <w:rPr>
          <w:rFonts w:ascii="Garamond" w:hAnsi="Garamond"/>
          <w:b/>
        </w:rPr>
      </w:pPr>
    </w:p>
    <w:p w14:paraId="2F9E620F" w14:textId="77777777" w:rsidR="00274AD0" w:rsidRDefault="00274AD0" w:rsidP="00274AD0">
      <w:pPr>
        <w:numPr>
          <w:ilvl w:val="0"/>
          <w:numId w:val="6"/>
        </w:num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Freqüência absoluta (f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>):</w:t>
      </w:r>
      <w:r>
        <w:rPr>
          <w:rFonts w:ascii="Garamond" w:hAnsi="Garamond"/>
        </w:rPr>
        <w:t xml:space="preserve"> É a quantidade de valores em cada classe</w:t>
      </w:r>
    </w:p>
    <w:p w14:paraId="6A24A25A" w14:textId="77777777" w:rsidR="00274AD0" w:rsidRDefault="00274AD0" w:rsidP="00274AD0">
      <w:pPr>
        <w:ind w:firstLine="709"/>
        <w:jc w:val="center"/>
        <w:rPr>
          <w:rFonts w:ascii="Garamond" w:hAnsi="Garamond"/>
        </w:rPr>
      </w:pPr>
      <w:r w:rsidRPr="00F57841">
        <w:rPr>
          <w:position w:val="-28"/>
        </w:rPr>
        <w:object w:dxaOrig="2580" w:dyaOrig="680" w14:anchorId="18466D8B">
          <v:shape id="_x0000_i1032" type="#_x0000_t75" style="width:129pt;height:33.6pt" o:ole="" fillcolor="window">
            <v:imagedata r:id="rId19" o:title=""/>
          </v:shape>
          <o:OLEObject Type="Embed" ProgID="Equation.3" ShapeID="_x0000_i1032" DrawAspect="Content" ObjectID="_1806302396" r:id="rId20"/>
        </w:object>
      </w:r>
    </w:p>
    <w:p w14:paraId="1A754CC9" w14:textId="77777777" w:rsidR="00274AD0" w:rsidRDefault="00274AD0" w:rsidP="00274AD0">
      <w:pPr>
        <w:ind w:firstLine="709"/>
        <w:jc w:val="center"/>
        <w:rPr>
          <w:rFonts w:ascii="Garamond" w:hAnsi="Garamond"/>
        </w:rPr>
      </w:pPr>
    </w:p>
    <w:p w14:paraId="210F78B0" w14:textId="77777777" w:rsidR="00274AD0" w:rsidRDefault="00274AD0" w:rsidP="00274AD0">
      <w:pPr>
        <w:numPr>
          <w:ilvl w:val="0"/>
          <w:numId w:val="7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>Freqüência Acumulada (F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É o somatório da freqüência absoluta da i-ésima classe com a freqüência absoluta das classes anteriores, ou a freqüência acumulada da classe anterior.</w:t>
      </w:r>
    </w:p>
    <w:p w14:paraId="6995BE38" w14:textId="77777777" w:rsidR="00274AD0" w:rsidRDefault="00274AD0" w:rsidP="00274AD0">
      <w:pPr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28"/>
          <w:highlight w:val="yellow"/>
        </w:rPr>
        <w:object w:dxaOrig="1359" w:dyaOrig="680" w14:anchorId="60E5240B">
          <v:shape id="_x0000_i1033" type="#_x0000_t75" style="width:68.4pt;height:33.6pt" o:ole="" fillcolor="window">
            <v:imagedata r:id="rId21" o:title=""/>
          </v:shape>
          <o:OLEObject Type="Embed" ProgID="Equation.3" ShapeID="_x0000_i1033" DrawAspect="Content" ObjectID="_1806302397" r:id="rId22"/>
        </w:object>
      </w:r>
    </w:p>
    <w:p w14:paraId="30AF52B8" w14:textId="77777777" w:rsidR="00274AD0" w:rsidRDefault="00274AD0" w:rsidP="00274AD0">
      <w:pPr>
        <w:ind w:firstLine="709"/>
        <w:jc w:val="center"/>
        <w:rPr>
          <w:rFonts w:ascii="Garamond" w:hAnsi="Garamond"/>
          <w:sz w:val="20"/>
        </w:rPr>
      </w:pPr>
    </w:p>
    <w:p w14:paraId="510537A8" w14:textId="77777777" w:rsidR="00274AD0" w:rsidRDefault="00274AD0" w:rsidP="00274AD0">
      <w:pPr>
        <w:numPr>
          <w:ilvl w:val="0"/>
          <w:numId w:val="8"/>
        </w:numPr>
        <w:jc w:val="both"/>
        <w:rPr>
          <w:rFonts w:ascii="Garamond" w:hAnsi="Garamond"/>
        </w:rPr>
      </w:pPr>
      <w:r>
        <w:rPr>
          <w:rFonts w:ascii="Garamond" w:hAnsi="Garamond"/>
          <w:b/>
        </w:rPr>
        <w:t>Freqüência Relativa (fr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É o quociente entre a freqüência absoluta da i-ésima classe com o somatório das freqüências.</w:t>
      </w:r>
    </w:p>
    <w:p w14:paraId="50350790" w14:textId="77777777" w:rsidR="00274AD0" w:rsidRDefault="00274AD0" w:rsidP="00274AD0">
      <w:pPr>
        <w:ind w:firstLine="709"/>
        <w:jc w:val="center"/>
        <w:rPr>
          <w:rFonts w:ascii="Garamond" w:hAnsi="Garamond"/>
        </w:rPr>
      </w:pPr>
      <w:r w:rsidRPr="00254EA7">
        <w:rPr>
          <w:rFonts w:ascii="Garamond" w:hAnsi="Garamond"/>
          <w:position w:val="-60"/>
          <w:highlight w:val="yellow"/>
        </w:rPr>
        <w:object w:dxaOrig="999" w:dyaOrig="980" w14:anchorId="51A4A854">
          <v:shape id="_x0000_i1034" type="#_x0000_t75" style="width:50.4pt;height:48.6pt" o:ole="" fillcolor="window">
            <v:imagedata r:id="rId23" o:title=""/>
          </v:shape>
          <o:OLEObject Type="Embed" ProgID="Equation.3" ShapeID="_x0000_i1034" DrawAspect="Content" ObjectID="_1806302398" r:id="rId24"/>
        </w:objec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Obs.: </w:t>
      </w:r>
      <w:r w:rsidRPr="00F57841">
        <w:rPr>
          <w:rFonts w:ascii="Garamond" w:hAnsi="Garamond"/>
          <w:position w:val="-28"/>
        </w:rPr>
        <w:object w:dxaOrig="940" w:dyaOrig="680" w14:anchorId="34DA7715">
          <v:shape id="_x0000_i1035" type="#_x0000_t75" style="width:50.4pt;height:39.6pt" o:ole="" fillcolor="window">
            <v:imagedata r:id="rId25" o:title=""/>
          </v:shape>
          <o:OLEObject Type="Embed" ProgID="Equation.3" ShapeID="_x0000_i1035" DrawAspect="Content" ObjectID="_1806302399" r:id="rId26"/>
        </w:object>
      </w:r>
    </w:p>
    <w:p w14:paraId="1D700FDB" w14:textId="77777777" w:rsidR="00274AD0" w:rsidRDefault="00274AD0" w:rsidP="00274AD0">
      <w:pPr>
        <w:ind w:firstLine="709"/>
        <w:jc w:val="both"/>
        <w:rPr>
          <w:rFonts w:ascii="Garamond" w:hAnsi="Garamond"/>
        </w:rPr>
      </w:pPr>
    </w:p>
    <w:p w14:paraId="6F1D17A7" w14:textId="77777777" w:rsidR="00274AD0" w:rsidRDefault="00274AD0" w:rsidP="00274AD0">
      <w:pPr>
        <w:numPr>
          <w:ilvl w:val="0"/>
          <w:numId w:val="9"/>
        </w:numPr>
        <w:ind w:left="357" w:hanging="357"/>
        <w:jc w:val="both"/>
        <w:rPr>
          <w:rFonts w:ascii="Garamond" w:hAnsi="Garamond"/>
        </w:rPr>
      </w:pPr>
      <w:r>
        <w:rPr>
          <w:rFonts w:ascii="Garamond" w:hAnsi="Garamond"/>
          <w:b/>
        </w:rPr>
        <w:t>Freqüência Relativa Acumulada (Fr</w:t>
      </w:r>
      <w:r>
        <w:rPr>
          <w:rFonts w:ascii="Garamond" w:hAnsi="Garamond"/>
          <w:b/>
          <w:position w:val="-6"/>
        </w:rPr>
        <w:t>i</w:t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É o somatório da freqüência relativa da i-ésima classe com as freqüências relativas das classes anteriores.</w:t>
      </w:r>
    </w:p>
    <w:p w14:paraId="4A214C5E" w14:textId="77777777" w:rsidR="00274AD0" w:rsidRDefault="00274AD0" w:rsidP="00274AD0">
      <w:pPr>
        <w:jc w:val="center"/>
      </w:pPr>
      <w:r w:rsidRPr="00254EA7">
        <w:rPr>
          <w:rFonts w:ascii="Garamond" w:hAnsi="Garamond"/>
          <w:position w:val="-28"/>
          <w:sz w:val="28"/>
          <w:highlight w:val="yellow"/>
        </w:rPr>
        <w:object w:dxaOrig="1460" w:dyaOrig="680" w14:anchorId="3C172EEE">
          <v:shape id="_x0000_i1036" type="#_x0000_t75" style="width:72.6pt;height:33.6pt" o:ole="" fillcolor="window">
            <v:imagedata r:id="rId27" o:title=""/>
          </v:shape>
          <o:OLEObject Type="Embed" ProgID="Equation.3" ShapeID="_x0000_i1036" DrawAspect="Content" ObjectID="_1806302400" r:id="rId28"/>
        </w:object>
      </w:r>
    </w:p>
    <w:p w14:paraId="7A7B7ECC" w14:textId="77777777" w:rsidR="00805B2E" w:rsidRDefault="00805B2E" w:rsidP="00274AD0"/>
    <w:sectPr w:rsidR="00805B2E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DF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BCD631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34B6AF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0F06CB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454C42E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45A92DC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48B92A9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52F2A3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73926FC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622031753">
    <w:abstractNumId w:val="0"/>
  </w:num>
  <w:num w:numId="2" w16cid:durableId="406420003">
    <w:abstractNumId w:val="6"/>
  </w:num>
  <w:num w:numId="3" w16cid:durableId="1789352496">
    <w:abstractNumId w:val="2"/>
  </w:num>
  <w:num w:numId="4" w16cid:durableId="1037243749">
    <w:abstractNumId w:val="4"/>
  </w:num>
  <w:num w:numId="5" w16cid:durableId="1297684488">
    <w:abstractNumId w:val="5"/>
  </w:num>
  <w:num w:numId="6" w16cid:durableId="1709721774">
    <w:abstractNumId w:val="7"/>
  </w:num>
  <w:num w:numId="7" w16cid:durableId="1262835594">
    <w:abstractNumId w:val="1"/>
  </w:num>
  <w:num w:numId="8" w16cid:durableId="1406030000">
    <w:abstractNumId w:val="8"/>
  </w:num>
  <w:num w:numId="9" w16cid:durableId="421730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AD0"/>
    <w:rsid w:val="001C09BD"/>
    <w:rsid w:val="001D1D50"/>
    <w:rsid w:val="00254EA7"/>
    <w:rsid w:val="00274AD0"/>
    <w:rsid w:val="002E069E"/>
    <w:rsid w:val="00311EF1"/>
    <w:rsid w:val="00805B2E"/>
    <w:rsid w:val="00A95C2B"/>
    <w:rsid w:val="00B24FAD"/>
    <w:rsid w:val="00DF3BD5"/>
    <w:rsid w:val="00DF50D0"/>
    <w:rsid w:val="00F5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4EE0B7"/>
  <w15:docId w15:val="{0C92C826-2005-4B4C-B64A-08AE22BD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274AD0"/>
    <w:pPr>
      <w:keepNext/>
      <w:jc w:val="center"/>
      <w:outlineLvl w:val="7"/>
    </w:pPr>
    <w:rPr>
      <w:rFonts w:ascii="Tahoma" w:hAnsi="Tahoma" w:cs="Tahoma"/>
      <w:b/>
      <w:bCs/>
      <w:i/>
      <w:iCs/>
      <w:shadow/>
      <w:color w:val="000080"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rsid w:val="00274AD0"/>
    <w:rPr>
      <w:rFonts w:ascii="Tahoma" w:eastAsia="Times New Roman" w:hAnsi="Tahoma" w:cs="Tahoma"/>
      <w:b/>
      <w:bCs/>
      <w:i/>
      <w:iCs/>
      <w:shadow/>
      <w:color w:val="000080"/>
      <w:sz w:val="44"/>
      <w:szCs w:val="44"/>
      <w:lang w:eastAsia="pt-BR"/>
    </w:rPr>
  </w:style>
  <w:style w:type="character" w:styleId="Forte">
    <w:name w:val="Strong"/>
    <w:basedOn w:val="Fontepargpadro"/>
    <w:qFormat/>
    <w:rsid w:val="00274AD0"/>
    <w:rPr>
      <w:b/>
    </w:rPr>
  </w:style>
  <w:style w:type="paragraph" w:styleId="Recuodecorpodetexto2">
    <w:name w:val="Body Text Indent 2"/>
    <w:basedOn w:val="Normal"/>
    <w:link w:val="Recuodecorpodetexto2Char"/>
    <w:rsid w:val="00274AD0"/>
    <w:pPr>
      <w:ind w:firstLine="851"/>
      <w:jc w:val="both"/>
    </w:pPr>
    <w:rPr>
      <w:rFonts w:ascii="Garamond" w:hAnsi="Garamond" w:cs="Arial"/>
    </w:rPr>
  </w:style>
  <w:style w:type="character" w:customStyle="1" w:styleId="Recuodecorpodetexto2Char">
    <w:name w:val="Recuo de corpo de texto 2 Char"/>
    <w:basedOn w:val="Fontepargpadro"/>
    <w:link w:val="Recuodecorpodetexto2"/>
    <w:rsid w:val="00274AD0"/>
    <w:rPr>
      <w:rFonts w:ascii="Garamond" w:eastAsia="Times New Roman" w:hAnsi="Garamond" w:cs="Arial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274AD0"/>
    <w:pPr>
      <w:jc w:val="center"/>
    </w:pPr>
    <w:rPr>
      <w:sz w:val="20"/>
    </w:rPr>
  </w:style>
  <w:style w:type="character" w:customStyle="1" w:styleId="Corpodetexto2Char">
    <w:name w:val="Corpo de texto 2 Char"/>
    <w:basedOn w:val="Fontepargpadro"/>
    <w:link w:val="Corpodetexto2"/>
    <w:rsid w:val="00274AD0"/>
    <w:rPr>
      <w:rFonts w:ascii="Times New Roman" w:eastAsia="Times New Roman" w:hAnsi="Times New Roman" w:cs="Times New Roman"/>
      <w:sz w:val="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669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André Renner</cp:lastModifiedBy>
  <cp:revision>7</cp:revision>
  <dcterms:created xsi:type="dcterms:W3CDTF">2020-08-22T17:18:00Z</dcterms:created>
  <dcterms:modified xsi:type="dcterms:W3CDTF">2025-04-16T12:53:00Z</dcterms:modified>
</cp:coreProperties>
</file>