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38.0" w:type="dxa"/>
        <w:jc w:val="left"/>
        <w:tblInd w:w="-54.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7f5" w:val="clea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UF1. Introducció a les bases de dades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NF1. Sistemes d'emmagatzemament d'informació</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A1. Base de dades Comarca</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591.0" w:type="dxa"/>
        <w:jc w:val="left"/>
        <w:tblInd w:w="-0.9999999999999964" w:type="dxa"/>
        <w:tblLayout w:type="fixed"/>
        <w:tblLook w:val="0000"/>
      </w:tblPr>
      <w:tblGrid>
        <w:gridCol w:w="681"/>
        <w:gridCol w:w="3173"/>
        <w:gridCol w:w="1304"/>
        <w:gridCol w:w="4433"/>
        <w:tblGridChange w:id="0">
          <w:tblGrid>
            <w:gridCol w:w="681"/>
            <w:gridCol w:w="3173"/>
            <w:gridCol w:w="1304"/>
            <w:gridCol w:w="4433"/>
          </w:tblGrid>
        </w:tblGridChange>
      </w:tblGrid>
      <w:tr>
        <w:trPr>
          <w:cantSplit w:val="0"/>
          <w:tblHeader w:val="0"/>
        </w:trPr>
        <w:tc>
          <w:tcPr>
            <w:shd w:fill="auto"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Nicola</w:t>
            </w:r>
            <w:r w:rsidDel="00000000" w:rsidR="00000000" w:rsidRPr="00000000">
              <w:rPr>
                <w:rtl w:val="0"/>
              </w:rPr>
            </w:r>
          </w:p>
        </w:tc>
        <w:tc>
          <w:tcPr>
            <w:shd w:fill="auto"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Cognoms: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Roca Mühlemann</w:t>
            </w:r>
            <w:r w:rsidDel="00000000" w:rsidR="00000000" w:rsidRPr="00000000">
              <w:rPr>
                <w:rtl w:val="0"/>
              </w:rPr>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i w:val="0"/>
          <w:smallCaps w:val="0"/>
          <w:strike w:val="0"/>
          <w:color w:val="000080"/>
          <w:sz w:val="32"/>
          <w:szCs w:val="32"/>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80"/>
          <w:sz w:val="32"/>
          <w:szCs w:val="32"/>
          <w:u w:val="none"/>
          <w:shd w:fill="auto" w:val="clear"/>
          <w:vertAlign w:val="baseline"/>
          <w:rtl w:val="0"/>
        </w:rPr>
        <w:t xml:space="preserve">Índex de la pràctica</w:t>
      </w:r>
    </w:p>
    <w:sdt>
      <w:sdtPr>
        <w:docPartObj>
          <w:docPartGallery w:val="Table of Contents"/>
          <w:docPartUnique w:val="1"/>
        </w:docPartObj>
      </w:sdtPr>
      <w:sdtContent>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w:t>
              <w:tab/>
              <w:t xml:space="preserve">1</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w:t>
              <w:tab/>
              <w:t xml:space="preserve">2</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Tasques a realitzar</w:t>
              <w:tab/>
              <w:t xml:space="preserve">2</w:t>
            </w:r>
          </w:hyperlink>
          <w:r w:rsidDel="00000000" w:rsidR="00000000" w:rsidRPr="00000000">
            <w:rPr>
              <w:rtl w:val="0"/>
            </w:rPr>
          </w:r>
        </w:p>
        <w:p w:rsidR="00000000" w:rsidDel="00000000" w:rsidP="00000000" w:rsidRDefault="00000000" w:rsidRPr="00000000" w14:paraId="00000010">
          <w:pPr>
            <w:pStyle w:val="Heading1"/>
            <w:numPr>
              <w:ilvl w:val="0"/>
              <w:numId w:val="1"/>
            </w:numPr>
            <w:ind w:left="432" w:hanging="432"/>
            <w:rPr>
              <w:rFonts w:ascii="Arial" w:cs="Arial" w:eastAsia="Arial" w:hAnsi="Arial"/>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pStyle w:val="Heading1"/>
        <w:numPr>
          <w:ilvl w:val="0"/>
          <w:numId w:val="1"/>
        </w:numPr>
        <w:ind w:left="432" w:hanging="432"/>
        <w:rPr/>
      </w:pPr>
      <w:bookmarkStart w:colFirst="0" w:colLast="0" w:name="_30j0zll" w:id="1"/>
      <w:bookmarkEnd w:id="1"/>
      <w:r w:rsidDel="00000000" w:rsidR="00000000" w:rsidRPr="00000000">
        <w:rPr>
          <w:rtl w:val="0"/>
        </w:rPr>
        <w:t xml:space="preserve">Entrega</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PDF amb el nom del fitxer: </w:t>
      </w:r>
      <w:r w:rsidDel="00000000" w:rsidR="00000000" w:rsidRPr="00000000">
        <w:rPr>
          <w:rFonts w:ascii="Arial" w:cs="Arial" w:eastAsia="Arial" w:hAnsi="Arial"/>
          <w:b w:val="1"/>
          <w:i w:val="0"/>
          <w:smallCaps w:val="0"/>
          <w:strike w:val="0"/>
          <w:color w:val="000080"/>
          <w:sz w:val="22"/>
          <w:szCs w:val="22"/>
          <w:u w:val="none"/>
          <w:shd w:fill="auto" w:val="clear"/>
          <w:vertAlign w:val="baseline"/>
          <w:rtl w:val="0"/>
        </w:rPr>
        <w:t xml:space="preserve">UF1_NF1_A1_Cognom_Nom.pdf</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valorarà positivament que l'activitat sigui ordenada, estructurada i ben documentada, amb captures de pantalla quan sigui el cas.</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valorarà positivament que documentis els inconvenients que trobis i la solució que hagis donat.</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valorarà negativament aquelles activitats que es presenten incompletes.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1"/>
        <w:numPr>
          <w:ilvl w:val="0"/>
          <w:numId w:val="1"/>
        </w:numPr>
        <w:ind w:left="432" w:hanging="432"/>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after="120" w:lineRule="auto"/>
        <w:jc w:val="both"/>
        <w:rPr>
          <w:b w:val="1"/>
          <w:color w:val="ee0000"/>
          <w:sz w:val="32"/>
          <w:szCs w:val="32"/>
        </w:rPr>
      </w:pPr>
      <w:r w:rsidDel="00000000" w:rsidR="00000000" w:rsidRPr="00000000">
        <w:rPr>
          <w:b w:val="1"/>
          <w:color w:val="ee0000"/>
          <w:sz w:val="32"/>
          <w:szCs w:val="32"/>
          <w:rtl w:val="0"/>
        </w:rPr>
        <w:t xml:space="preserve">Packet Tracer - Investigar la prevención de bucles STP</w:t>
      </w:r>
    </w:p>
    <w:p w:rsidR="00000000" w:rsidDel="00000000" w:rsidP="00000000" w:rsidRDefault="00000000" w:rsidRPr="00000000" w14:paraId="00000019">
      <w:pPr>
        <w:pStyle w:val="Heading1"/>
        <w:keepNext w:val="0"/>
        <w:spacing w:after="120" w:before="240" w:line="155.99973913043476" w:lineRule="auto"/>
        <w:ind w:left="0"/>
        <w:jc w:val="both"/>
        <w:rPr>
          <w:color w:val="000000"/>
          <w:sz w:val="26"/>
          <w:szCs w:val="26"/>
        </w:rPr>
      </w:pPr>
      <w:bookmarkStart w:colFirst="0" w:colLast="0" w:name="_7mf7d53c97rs" w:id="2"/>
      <w:bookmarkEnd w:id="2"/>
      <w:r w:rsidDel="00000000" w:rsidR="00000000" w:rsidRPr="00000000">
        <w:rPr>
          <w:color w:val="000000"/>
          <w:sz w:val="26"/>
          <w:szCs w:val="26"/>
          <w:rtl w:val="0"/>
        </w:rPr>
        <w:t xml:space="preserve">Objetivos</w:t>
      </w:r>
    </w:p>
    <w:p w:rsidR="00000000" w:rsidDel="00000000" w:rsidP="00000000" w:rsidRDefault="00000000" w:rsidRPr="00000000" w14:paraId="0000001A">
      <w:pPr>
        <w:spacing w:after="120" w:before="120" w:lineRule="auto"/>
        <w:ind w:left="360" w:firstLine="0"/>
        <w:jc w:val="both"/>
        <w:rPr>
          <w:sz w:val="20"/>
          <w:szCs w:val="20"/>
        </w:rPr>
      </w:pPr>
      <w:r w:rsidDel="00000000" w:rsidR="00000000" w:rsidRPr="00000000">
        <w:rPr>
          <w:sz w:val="20"/>
          <w:szCs w:val="20"/>
          <w:rtl w:val="0"/>
        </w:rPr>
        <w:t xml:space="preserve">En este laboratorio, observará los estados del puerto del árbol de expansión y observará el proceso de convergencia del árbol de expansión.</w:t>
      </w:r>
    </w:p>
    <w:p w:rsidR="00000000" w:rsidDel="00000000" w:rsidP="00000000" w:rsidRDefault="00000000" w:rsidRPr="00000000" w14:paraId="0000001B">
      <w:pPr>
        <w:spacing w:after="120" w:before="120" w:lineRule="auto"/>
        <w:ind w:left="720" w:firstLine="0"/>
        <w:jc w:val="both"/>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Describir el protocolo del árbol de expansión rápida (STP)</w:t>
      </w:r>
    </w:p>
    <w:p w:rsidR="00000000" w:rsidDel="00000000" w:rsidP="00000000" w:rsidRDefault="00000000" w:rsidRPr="00000000" w14:paraId="0000001C">
      <w:pPr>
        <w:spacing w:after="120" w:before="120" w:lineRule="auto"/>
        <w:ind w:left="720" w:firstLine="0"/>
        <w:jc w:val="both"/>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Explicar cómo el protocolo de árbol de expansión evita los bucles de conmutación al tiempo que permite redundancia en redes conmutadas.</w:t>
      </w:r>
    </w:p>
    <w:p w:rsidR="00000000" w:rsidDel="00000000" w:rsidP="00000000" w:rsidRDefault="00000000" w:rsidRPr="00000000" w14:paraId="0000001D">
      <w:pPr>
        <w:pStyle w:val="Heading1"/>
        <w:keepNext w:val="0"/>
        <w:spacing w:after="120" w:before="240" w:line="155.99973913043476" w:lineRule="auto"/>
        <w:ind w:left="0"/>
        <w:jc w:val="both"/>
        <w:rPr>
          <w:color w:val="000000"/>
          <w:sz w:val="26"/>
          <w:szCs w:val="26"/>
        </w:rPr>
      </w:pPr>
      <w:bookmarkStart w:colFirst="0" w:colLast="0" w:name="_dzxw6u8e558b" w:id="3"/>
      <w:bookmarkEnd w:id="3"/>
      <w:r w:rsidDel="00000000" w:rsidR="00000000" w:rsidRPr="00000000">
        <w:rPr>
          <w:color w:val="000000"/>
          <w:sz w:val="26"/>
          <w:szCs w:val="26"/>
          <w:rtl w:val="0"/>
        </w:rPr>
        <w:t xml:space="preserve">Antecedentes/Escenario</w:t>
      </w:r>
    </w:p>
    <w:p w:rsidR="00000000" w:rsidDel="00000000" w:rsidP="00000000" w:rsidRDefault="00000000" w:rsidRPr="00000000" w14:paraId="0000001E">
      <w:pPr>
        <w:spacing w:after="120" w:before="120" w:lineRule="auto"/>
        <w:ind w:left="360" w:firstLine="0"/>
        <w:jc w:val="both"/>
        <w:rPr>
          <w:sz w:val="20"/>
          <w:szCs w:val="20"/>
        </w:rPr>
      </w:pPr>
      <w:r w:rsidDel="00000000" w:rsidR="00000000" w:rsidRPr="00000000">
        <w:rPr>
          <w:sz w:val="20"/>
          <w:szCs w:val="20"/>
          <w:rtl w:val="0"/>
        </w:rPr>
        <w:t xml:space="preserve">En esta actividad, utilizará Packet Tracer para observar el funcionamiento del protocolo de árbol de expansión en una red conmutada simple que tiene rutas redundantes.</w:t>
      </w:r>
    </w:p>
    <w:p w:rsidR="00000000" w:rsidDel="00000000" w:rsidP="00000000" w:rsidRDefault="00000000" w:rsidRPr="00000000" w14:paraId="0000001F">
      <w:pPr>
        <w:pStyle w:val="Heading1"/>
        <w:keepNext w:val="0"/>
        <w:spacing w:after="120" w:before="240" w:line="155.99973913043476" w:lineRule="auto"/>
        <w:ind w:left="0"/>
        <w:jc w:val="both"/>
        <w:rPr>
          <w:color w:val="000000"/>
          <w:sz w:val="26"/>
          <w:szCs w:val="26"/>
        </w:rPr>
      </w:pPr>
      <w:bookmarkStart w:colFirst="0" w:colLast="0" w:name="_a6c9rhq9jjg3" w:id="4"/>
      <w:bookmarkEnd w:id="4"/>
      <w:r w:rsidDel="00000000" w:rsidR="00000000" w:rsidRPr="00000000">
        <w:rPr>
          <w:color w:val="000000"/>
          <w:sz w:val="26"/>
          <w:szCs w:val="26"/>
          <w:rtl w:val="0"/>
        </w:rPr>
        <w:t xml:space="preserve">Instrucciones</w:t>
      </w:r>
    </w:p>
    <w:p w:rsidR="00000000" w:rsidDel="00000000" w:rsidP="00000000" w:rsidRDefault="00000000" w:rsidRPr="00000000" w14:paraId="00000020">
      <w:pPr>
        <w:pStyle w:val="Heading2"/>
        <w:keepNext w:val="0"/>
        <w:spacing w:after="120" w:before="240" w:line="211.05847058823528" w:lineRule="auto"/>
        <w:ind w:left="0"/>
        <w:jc w:val="both"/>
        <w:rPr>
          <w:color w:val="000000"/>
          <w:sz w:val="26"/>
          <w:szCs w:val="26"/>
        </w:rPr>
      </w:pPr>
      <w:bookmarkStart w:colFirst="0" w:colLast="0" w:name="_1i1g1uh75a2f" w:id="5"/>
      <w:bookmarkEnd w:id="5"/>
      <w:r w:rsidDel="00000000" w:rsidR="00000000" w:rsidRPr="00000000">
        <w:rPr>
          <w:color w:val="000000"/>
          <w:sz w:val="26"/>
          <w:szCs w:val="26"/>
          <w:rtl w:val="0"/>
        </w:rPr>
        <w:t xml:space="preserve">Parte 1: Observar una instancia de árbol de expansión convergente</w:t>
      </w:r>
    </w:p>
    <w:p w:rsidR="00000000" w:rsidDel="00000000" w:rsidP="00000000" w:rsidRDefault="00000000" w:rsidRPr="00000000" w14:paraId="00000021">
      <w:pPr>
        <w:pStyle w:val="Heading3"/>
        <w:keepNext w:val="0"/>
        <w:spacing w:after="60" w:before="240" w:lineRule="auto"/>
        <w:ind w:left="0"/>
        <w:jc w:val="both"/>
        <w:rPr>
          <w:color w:val="000000"/>
          <w:sz w:val="24"/>
          <w:szCs w:val="24"/>
        </w:rPr>
      </w:pPr>
      <w:bookmarkStart w:colFirst="0" w:colLast="0" w:name="_smo2wzbu5noc" w:id="6"/>
      <w:bookmarkEnd w:id="6"/>
      <w:r w:rsidDel="00000000" w:rsidR="00000000" w:rsidRPr="00000000">
        <w:rPr>
          <w:color w:val="000000"/>
          <w:sz w:val="24"/>
          <w:szCs w:val="24"/>
          <w:rtl w:val="0"/>
        </w:rPr>
        <w:t xml:space="preserve">Paso 1: Verificar la conectividad.</w:t>
      </w:r>
    </w:p>
    <w:p w:rsidR="00000000" w:rsidDel="00000000" w:rsidP="00000000" w:rsidRDefault="00000000" w:rsidRPr="00000000" w14:paraId="00000022">
      <w:pPr>
        <w:spacing w:after="120" w:before="120" w:lineRule="auto"/>
        <w:ind w:left="360" w:firstLine="0"/>
        <w:jc w:val="both"/>
        <w:rPr>
          <w:sz w:val="20"/>
          <w:szCs w:val="20"/>
        </w:rPr>
      </w:pPr>
      <w:r w:rsidDel="00000000" w:rsidR="00000000" w:rsidRPr="00000000">
        <w:rPr>
          <w:sz w:val="20"/>
          <w:szCs w:val="20"/>
          <w:rtl w:val="0"/>
        </w:rPr>
        <w:t xml:space="preserve">Ping de PC1 a PC2 para verificar la conectividad entre los hosts. El comando ping debería enviarse correctamente.</w:t>
      </w:r>
    </w:p>
    <w:p w:rsidR="00000000" w:rsidDel="00000000" w:rsidP="00000000" w:rsidRDefault="00000000" w:rsidRPr="00000000" w14:paraId="00000023">
      <w:pPr>
        <w:pStyle w:val="Heading3"/>
        <w:keepNext w:val="0"/>
        <w:spacing w:after="60" w:before="240" w:lineRule="auto"/>
        <w:ind w:left="0"/>
        <w:jc w:val="both"/>
        <w:rPr>
          <w:color w:val="000000"/>
          <w:sz w:val="24"/>
          <w:szCs w:val="24"/>
        </w:rPr>
      </w:pPr>
      <w:bookmarkStart w:colFirst="0" w:colLast="0" w:name="_sf8wy67p9j4" w:id="7"/>
      <w:bookmarkEnd w:id="7"/>
      <w:r w:rsidDel="00000000" w:rsidR="00000000" w:rsidRPr="00000000">
        <w:rPr>
          <w:color w:val="000000"/>
          <w:sz w:val="24"/>
          <w:szCs w:val="24"/>
          <w:rtl w:val="0"/>
        </w:rPr>
        <w:t xml:space="preserve">Paso 2: Ver el estado del árbol de expansión en cada switch.</w:t>
      </w:r>
    </w:p>
    <w:p w:rsidR="00000000" w:rsidDel="00000000" w:rsidP="00000000" w:rsidRDefault="00000000" w:rsidRPr="00000000" w14:paraId="00000024">
      <w:pPr>
        <w:spacing w:after="120" w:before="120" w:lineRule="auto"/>
        <w:ind w:left="360" w:firstLine="0"/>
        <w:jc w:val="both"/>
        <w:rPr>
          <w:sz w:val="20"/>
          <w:szCs w:val="20"/>
        </w:rPr>
      </w:pPr>
      <w:r w:rsidDel="00000000" w:rsidR="00000000" w:rsidRPr="00000000">
        <w:rPr>
          <w:sz w:val="20"/>
          <w:szCs w:val="20"/>
          <w:rtl w:val="0"/>
        </w:rPr>
        <w:t xml:space="preserve">Utilice el</w:t>
      </w:r>
      <w:r w:rsidDel="00000000" w:rsidR="00000000" w:rsidRPr="00000000">
        <w:rPr>
          <w:b w:val="1"/>
          <w:sz w:val="20"/>
          <w:szCs w:val="20"/>
          <w:rtl w:val="0"/>
        </w:rPr>
        <w:t xml:space="preserve"> comando </w:t>
      </w:r>
      <w:r w:rsidDel="00000000" w:rsidR="00000000" w:rsidRPr="00000000">
        <w:rPr>
          <w:sz w:val="20"/>
          <w:szCs w:val="20"/>
          <w:rtl w:val="0"/>
        </w:rPr>
        <w:t xml:space="preserve">show spanning-tree vlan 1 para recopilar información sobre el estado del árbol de expansión de cada switch. Completa la tabla. Para los fines de la actividad, considere únicamente la información sobre los puertos troncal Gigabit. Los puertos Fast Ethernet son puertos de acceso que tienen dispositivos finales conectados y no forman parte del árbol de expansión basado en troncal entre switches.</w:t>
      </w:r>
    </w:p>
    <w:p w:rsidR="00000000" w:rsidDel="00000000" w:rsidP="00000000" w:rsidRDefault="00000000" w:rsidRPr="00000000" w14:paraId="00000025">
      <w:pPr>
        <w:jc w:val="both"/>
        <w:rPr>
          <w:i w:val="1"/>
          <w:color w:val="ffffff"/>
          <w:sz w:val="6"/>
          <w:szCs w:val="6"/>
        </w:rPr>
      </w:pPr>
      <w:r w:rsidDel="00000000" w:rsidR="00000000" w:rsidRPr="00000000">
        <w:rPr>
          <w:i w:val="1"/>
          <w:color w:val="ffffff"/>
          <w:sz w:val="6"/>
          <w:szCs w:val="6"/>
          <w:rtl w:val="0"/>
        </w:rPr>
        <w:t xml:space="preserve">Abrir la ventana de configuración</w:t>
      </w:r>
    </w:p>
    <w:tbl>
      <w:tblPr>
        <w:tblStyle w:val="Table3"/>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2220"/>
        <w:gridCol w:w="2220"/>
        <w:gridCol w:w="2220"/>
        <w:tblGridChange w:id="0">
          <w:tblGrid>
            <w:gridCol w:w="2220"/>
            <w:gridCol w:w="2220"/>
            <w:gridCol w:w="2220"/>
            <w:gridCol w:w="2220"/>
          </w:tblGrid>
        </w:tblGridChange>
      </w:tblGrid>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shd w:fill="dbe5f1" w:val="clear"/>
            <w:tcMar>
              <w:top w:w="20.0" w:type="dxa"/>
              <w:left w:w="120.0" w:type="dxa"/>
              <w:bottom w:w="20.0" w:type="dxa"/>
              <w:right w:w="120.0" w:type="dxa"/>
            </w:tcMar>
            <w:vAlign w:val="bottom"/>
          </w:tcPr>
          <w:p w:rsidR="00000000" w:rsidDel="00000000" w:rsidP="00000000" w:rsidRDefault="00000000" w:rsidRPr="00000000" w14:paraId="00000026">
            <w:pPr>
              <w:spacing w:after="120" w:before="120" w:line="250.9085454545454" w:lineRule="auto"/>
              <w:jc w:val="center"/>
              <w:rPr>
                <w:b w:val="1"/>
                <w:sz w:val="20"/>
                <w:szCs w:val="20"/>
              </w:rPr>
            </w:pPr>
            <w:r w:rsidDel="00000000" w:rsidR="00000000" w:rsidRPr="00000000">
              <w:rPr>
                <w:b w:val="1"/>
                <w:sz w:val="20"/>
                <w:szCs w:val="20"/>
                <w:rtl w:val="0"/>
              </w:rPr>
              <w:t xml:space="preserve">Switch</w:t>
            </w:r>
          </w:p>
        </w:tc>
        <w:tc>
          <w:tcPr>
            <w:tcBorders>
              <w:top w:color="000000" w:space="0" w:sz="6" w:val="single"/>
              <w:left w:color="000000" w:space="0" w:sz="0" w:val="nil"/>
              <w:bottom w:color="000000" w:space="0" w:sz="6" w:val="single"/>
              <w:right w:color="000000" w:space="0" w:sz="6" w:val="single"/>
            </w:tcBorders>
            <w:shd w:fill="dbe5f1" w:val="clear"/>
            <w:tcMar>
              <w:top w:w="20.0" w:type="dxa"/>
              <w:left w:w="120.0" w:type="dxa"/>
              <w:bottom w:w="20.0" w:type="dxa"/>
              <w:right w:w="120.0" w:type="dxa"/>
            </w:tcMar>
            <w:vAlign w:val="bottom"/>
          </w:tcPr>
          <w:p w:rsidR="00000000" w:rsidDel="00000000" w:rsidP="00000000" w:rsidRDefault="00000000" w:rsidRPr="00000000" w14:paraId="00000027">
            <w:pPr>
              <w:spacing w:after="120" w:before="120" w:line="250.9085454545454" w:lineRule="auto"/>
              <w:jc w:val="center"/>
              <w:rPr>
                <w:b w:val="1"/>
                <w:sz w:val="20"/>
                <w:szCs w:val="20"/>
              </w:rPr>
            </w:pPr>
            <w:r w:rsidDel="00000000" w:rsidR="00000000" w:rsidRPr="00000000">
              <w:rPr>
                <w:b w:val="1"/>
                <w:sz w:val="20"/>
                <w:szCs w:val="20"/>
                <w:rtl w:val="0"/>
              </w:rPr>
              <w:t xml:space="preserve">Puerto</w:t>
            </w:r>
          </w:p>
        </w:tc>
        <w:tc>
          <w:tcPr>
            <w:tcBorders>
              <w:top w:color="000000" w:space="0" w:sz="6" w:val="single"/>
              <w:left w:color="000000" w:space="0" w:sz="0" w:val="nil"/>
              <w:bottom w:color="000000" w:space="0" w:sz="6" w:val="single"/>
              <w:right w:color="000000" w:space="0" w:sz="6" w:val="single"/>
            </w:tcBorders>
            <w:shd w:fill="dbe5f1" w:val="clear"/>
            <w:tcMar>
              <w:top w:w="20.0" w:type="dxa"/>
              <w:left w:w="120.0" w:type="dxa"/>
              <w:bottom w:w="20.0" w:type="dxa"/>
              <w:right w:w="120.0" w:type="dxa"/>
            </w:tcMar>
            <w:vAlign w:val="bottom"/>
          </w:tcPr>
          <w:p w:rsidR="00000000" w:rsidDel="00000000" w:rsidP="00000000" w:rsidRDefault="00000000" w:rsidRPr="00000000" w14:paraId="00000028">
            <w:pPr>
              <w:spacing w:after="120" w:before="120" w:line="250.9085454545454" w:lineRule="auto"/>
              <w:jc w:val="center"/>
              <w:rPr>
                <w:b w:val="1"/>
                <w:sz w:val="20"/>
                <w:szCs w:val="20"/>
              </w:rPr>
            </w:pPr>
            <w:r w:rsidDel="00000000" w:rsidR="00000000" w:rsidRPr="00000000">
              <w:rPr>
                <w:b w:val="1"/>
                <w:sz w:val="20"/>
                <w:szCs w:val="20"/>
                <w:rtl w:val="0"/>
              </w:rPr>
              <w:t xml:space="preserve">Estado (FWD, BLK...)</w:t>
            </w:r>
          </w:p>
        </w:tc>
        <w:tc>
          <w:tcPr>
            <w:tcBorders>
              <w:top w:color="000000" w:space="0" w:sz="6" w:val="single"/>
              <w:left w:color="000000" w:space="0" w:sz="0" w:val="nil"/>
              <w:bottom w:color="000000" w:space="0" w:sz="6" w:val="single"/>
              <w:right w:color="000000" w:space="0" w:sz="6" w:val="single"/>
            </w:tcBorders>
            <w:shd w:fill="dbe5f1" w:val="clear"/>
            <w:tcMar>
              <w:top w:w="20.0" w:type="dxa"/>
              <w:left w:w="120.0" w:type="dxa"/>
              <w:bottom w:w="20.0" w:type="dxa"/>
              <w:right w:w="120.0" w:type="dxa"/>
            </w:tcMar>
            <w:vAlign w:val="bottom"/>
          </w:tcPr>
          <w:p w:rsidR="00000000" w:rsidDel="00000000" w:rsidP="00000000" w:rsidRDefault="00000000" w:rsidRPr="00000000" w14:paraId="00000029">
            <w:pPr>
              <w:spacing w:after="120" w:before="120" w:line="250.9085454545454" w:lineRule="auto"/>
              <w:jc w:val="center"/>
              <w:rPr>
                <w:b w:val="1"/>
                <w:sz w:val="20"/>
                <w:szCs w:val="20"/>
              </w:rPr>
            </w:pPr>
            <w:r w:rsidDel="00000000" w:rsidR="00000000" w:rsidRPr="00000000">
              <w:rPr>
                <w:b w:val="1"/>
                <w:sz w:val="20"/>
                <w:szCs w:val="20"/>
                <w:rtl w:val="0"/>
              </w:rPr>
              <w:t xml:space="preserve">puente raíz?</w:t>
            </w:r>
          </w:p>
        </w:tc>
      </w:tr>
      <w:tr>
        <w:trPr>
          <w:cantSplit w:val="0"/>
          <w:trHeight w:val="390" w:hRule="atLeast"/>
          <w:tblHeader w:val="0"/>
        </w:trPr>
        <w:tc>
          <w:tcPr>
            <w:tcBorders>
              <w:top w:color="000000" w:space="0" w:sz="0" w:val="nil"/>
              <w:left w:color="000000" w:space="0" w:sz="6" w:val="single"/>
              <w:bottom w:color="000000" w:space="0" w:sz="0" w:val="nil"/>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2A">
            <w:pPr>
              <w:spacing w:after="60" w:before="60" w:lineRule="auto"/>
              <w:jc w:val="both"/>
              <w:rPr>
                <w:sz w:val="20"/>
                <w:szCs w:val="20"/>
              </w:rPr>
            </w:pPr>
            <w:r w:rsidDel="00000000" w:rsidR="00000000" w:rsidRPr="00000000">
              <w:rPr>
                <w:sz w:val="20"/>
                <w:szCs w:val="20"/>
                <w:rtl w:val="0"/>
              </w:rPr>
              <w:t xml:space="preserve">S1</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2B">
            <w:pPr>
              <w:spacing w:after="60" w:before="60" w:lineRule="auto"/>
              <w:jc w:val="both"/>
              <w:rPr>
                <w:sz w:val="20"/>
                <w:szCs w:val="20"/>
              </w:rPr>
            </w:pPr>
            <w:r w:rsidDel="00000000" w:rsidR="00000000" w:rsidRPr="00000000">
              <w:rPr>
                <w:sz w:val="20"/>
                <w:szCs w:val="20"/>
                <w:rtl w:val="0"/>
              </w:rPr>
              <w:t xml:space="preserve">G0/1</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2C">
            <w:pPr>
              <w:jc w:val="both"/>
              <w:rPr>
                <w:i w:val="1"/>
                <w:color w:val="ffffff"/>
                <w:sz w:val="6"/>
                <w:szCs w:val="6"/>
              </w:rPr>
            </w:pPr>
            <w:r w:rsidDel="00000000" w:rsidR="00000000" w:rsidRPr="00000000">
              <w:rPr>
                <w:i w:val="1"/>
                <w:color w:val="ffffff"/>
                <w:sz w:val="6"/>
                <w:szCs w:val="6"/>
                <w:rtl w:val="0"/>
              </w:rPr>
              <w:t xml:space="preserve">en blanco</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2D">
            <w:pPr>
              <w:jc w:val="both"/>
              <w:rPr>
                <w:i w:val="1"/>
                <w:color w:val="ffffff"/>
                <w:sz w:val="6"/>
                <w:szCs w:val="6"/>
              </w:rPr>
            </w:pPr>
            <w:r w:rsidDel="00000000" w:rsidR="00000000" w:rsidRPr="00000000">
              <w:rPr>
                <w:i w:val="1"/>
                <w:color w:val="ffffff"/>
                <w:sz w:val="6"/>
                <w:szCs w:val="6"/>
                <w:rtl w:val="0"/>
              </w:rPr>
              <w:t xml:space="preserve">en blanco</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2E">
            <w:pPr>
              <w:jc w:val="both"/>
              <w:rPr>
                <w:i w:val="1"/>
                <w:color w:val="ffffff"/>
                <w:sz w:val="6"/>
                <w:szCs w:val="6"/>
              </w:rPr>
            </w:pPr>
            <w:r w:rsidDel="00000000" w:rsidR="00000000" w:rsidRPr="00000000">
              <w:rPr>
                <w:i w:val="1"/>
                <w:color w:val="ffffff"/>
                <w:sz w:val="6"/>
                <w:szCs w:val="6"/>
                <w:rtl w:val="0"/>
              </w:rPr>
              <w:t xml:space="preserve">S1</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2F">
            <w:pPr>
              <w:spacing w:after="60" w:before="60" w:lineRule="auto"/>
              <w:jc w:val="both"/>
              <w:rPr>
                <w:sz w:val="20"/>
                <w:szCs w:val="20"/>
              </w:rPr>
            </w:pPr>
            <w:r w:rsidDel="00000000" w:rsidR="00000000" w:rsidRPr="00000000">
              <w:rPr>
                <w:sz w:val="20"/>
                <w:szCs w:val="20"/>
                <w:rtl w:val="0"/>
              </w:rPr>
              <w:t xml:space="preserve">G0/2</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30">
            <w:pPr>
              <w:jc w:val="both"/>
              <w:rPr>
                <w:i w:val="1"/>
                <w:color w:val="ffffff"/>
                <w:sz w:val="6"/>
                <w:szCs w:val="6"/>
              </w:rPr>
            </w:pPr>
            <w:r w:rsidDel="00000000" w:rsidR="00000000" w:rsidRPr="00000000">
              <w:rPr>
                <w:i w:val="1"/>
                <w:color w:val="ffffff"/>
                <w:sz w:val="6"/>
                <w:szCs w:val="6"/>
                <w:rtl w:val="0"/>
              </w:rPr>
              <w:t xml:space="preserve">en blanco</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31">
            <w:pPr>
              <w:jc w:val="both"/>
              <w:rPr>
                <w:i w:val="1"/>
                <w:color w:val="ffffff"/>
                <w:sz w:val="6"/>
                <w:szCs w:val="6"/>
              </w:rPr>
            </w:pPr>
            <w:r w:rsidDel="00000000" w:rsidR="00000000" w:rsidRPr="00000000">
              <w:rPr>
                <w:i w:val="1"/>
                <w:color w:val="ffffff"/>
                <w:sz w:val="6"/>
                <w:szCs w:val="6"/>
                <w:rtl w:val="0"/>
              </w:rPr>
              <w:t xml:space="preserve">en blanco</w:t>
            </w:r>
          </w:p>
        </w:tc>
      </w:tr>
      <w:tr>
        <w:trPr>
          <w:cantSplit w:val="0"/>
          <w:trHeight w:val="390" w:hRule="atLeast"/>
          <w:tblHeader w:val="0"/>
        </w:trPr>
        <w:tc>
          <w:tcPr>
            <w:tcBorders>
              <w:top w:color="000000" w:space="0" w:sz="0" w:val="nil"/>
              <w:left w:color="000000" w:space="0" w:sz="6" w:val="single"/>
              <w:bottom w:color="000000" w:space="0" w:sz="0" w:val="nil"/>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32">
            <w:pPr>
              <w:spacing w:after="60" w:before="60" w:lineRule="auto"/>
              <w:jc w:val="both"/>
              <w:rPr>
                <w:sz w:val="20"/>
                <w:szCs w:val="20"/>
              </w:rPr>
            </w:pPr>
            <w:r w:rsidDel="00000000" w:rsidR="00000000" w:rsidRPr="00000000">
              <w:rPr>
                <w:sz w:val="20"/>
                <w:szCs w:val="20"/>
                <w:rtl w:val="0"/>
              </w:rPr>
              <w:t xml:space="preserve">S2</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33">
            <w:pPr>
              <w:spacing w:after="60" w:before="60" w:lineRule="auto"/>
              <w:jc w:val="both"/>
              <w:rPr>
                <w:sz w:val="20"/>
                <w:szCs w:val="20"/>
              </w:rPr>
            </w:pPr>
            <w:r w:rsidDel="00000000" w:rsidR="00000000" w:rsidRPr="00000000">
              <w:rPr>
                <w:sz w:val="20"/>
                <w:szCs w:val="20"/>
                <w:rtl w:val="0"/>
              </w:rPr>
              <w:t xml:space="preserve">G0/1</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34">
            <w:pPr>
              <w:jc w:val="both"/>
              <w:rPr>
                <w:i w:val="1"/>
                <w:color w:val="ffffff"/>
                <w:sz w:val="6"/>
                <w:szCs w:val="6"/>
              </w:rPr>
            </w:pPr>
            <w:r w:rsidDel="00000000" w:rsidR="00000000" w:rsidRPr="00000000">
              <w:rPr>
                <w:i w:val="1"/>
                <w:color w:val="ffffff"/>
                <w:sz w:val="6"/>
                <w:szCs w:val="6"/>
                <w:rtl w:val="0"/>
              </w:rPr>
              <w:t xml:space="preserve">en blanco</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35">
            <w:pPr>
              <w:jc w:val="both"/>
              <w:rPr>
                <w:i w:val="1"/>
                <w:color w:val="ffffff"/>
                <w:sz w:val="6"/>
                <w:szCs w:val="6"/>
              </w:rPr>
            </w:pPr>
            <w:r w:rsidDel="00000000" w:rsidR="00000000" w:rsidRPr="00000000">
              <w:rPr>
                <w:i w:val="1"/>
                <w:color w:val="ffffff"/>
                <w:sz w:val="6"/>
                <w:szCs w:val="6"/>
                <w:rtl w:val="0"/>
              </w:rPr>
              <w:t xml:space="preserve">en blanco</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36">
            <w:pPr>
              <w:jc w:val="both"/>
              <w:rPr>
                <w:i w:val="1"/>
                <w:color w:val="ffffff"/>
                <w:sz w:val="6"/>
                <w:szCs w:val="6"/>
              </w:rPr>
            </w:pPr>
            <w:r w:rsidDel="00000000" w:rsidR="00000000" w:rsidRPr="00000000">
              <w:rPr>
                <w:i w:val="1"/>
                <w:color w:val="ffffff"/>
                <w:sz w:val="6"/>
                <w:szCs w:val="6"/>
                <w:rtl w:val="0"/>
              </w:rPr>
              <w:t xml:space="preserve">S2</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37">
            <w:pPr>
              <w:spacing w:after="60" w:before="60" w:lineRule="auto"/>
              <w:jc w:val="both"/>
              <w:rPr>
                <w:sz w:val="20"/>
                <w:szCs w:val="20"/>
              </w:rPr>
            </w:pPr>
            <w:r w:rsidDel="00000000" w:rsidR="00000000" w:rsidRPr="00000000">
              <w:rPr>
                <w:sz w:val="20"/>
                <w:szCs w:val="20"/>
                <w:rtl w:val="0"/>
              </w:rPr>
              <w:t xml:space="preserve">G0/2</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38">
            <w:pPr>
              <w:jc w:val="both"/>
              <w:rPr>
                <w:i w:val="1"/>
                <w:color w:val="ffffff"/>
                <w:sz w:val="6"/>
                <w:szCs w:val="6"/>
              </w:rPr>
            </w:pPr>
            <w:r w:rsidDel="00000000" w:rsidR="00000000" w:rsidRPr="00000000">
              <w:rPr>
                <w:i w:val="1"/>
                <w:color w:val="ffffff"/>
                <w:sz w:val="6"/>
                <w:szCs w:val="6"/>
                <w:rtl w:val="0"/>
              </w:rPr>
              <w:t xml:space="preserve">en blanco</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39">
            <w:pPr>
              <w:jc w:val="both"/>
              <w:rPr>
                <w:i w:val="1"/>
                <w:color w:val="ffffff"/>
                <w:sz w:val="6"/>
                <w:szCs w:val="6"/>
              </w:rPr>
            </w:pPr>
            <w:r w:rsidDel="00000000" w:rsidR="00000000" w:rsidRPr="00000000">
              <w:rPr>
                <w:i w:val="1"/>
                <w:color w:val="ffffff"/>
                <w:sz w:val="6"/>
                <w:szCs w:val="6"/>
                <w:rtl w:val="0"/>
              </w:rPr>
              <w:t xml:space="preserve">en blanco</w:t>
            </w:r>
          </w:p>
        </w:tc>
      </w:tr>
      <w:tr>
        <w:trPr>
          <w:cantSplit w:val="0"/>
          <w:trHeight w:val="390" w:hRule="atLeast"/>
          <w:tblHeader w:val="0"/>
        </w:trPr>
        <w:tc>
          <w:tcPr>
            <w:tcBorders>
              <w:top w:color="000000" w:space="0" w:sz="0" w:val="nil"/>
              <w:left w:color="000000" w:space="0" w:sz="6" w:val="single"/>
              <w:bottom w:color="000000" w:space="0" w:sz="0" w:val="nil"/>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3A">
            <w:pPr>
              <w:spacing w:after="60" w:before="60" w:lineRule="auto"/>
              <w:jc w:val="both"/>
              <w:rPr>
                <w:sz w:val="20"/>
                <w:szCs w:val="20"/>
              </w:rPr>
            </w:pPr>
            <w:r w:rsidDel="00000000" w:rsidR="00000000" w:rsidRPr="00000000">
              <w:rPr>
                <w:sz w:val="20"/>
                <w:szCs w:val="20"/>
                <w:rtl w:val="0"/>
              </w:rPr>
              <w:t xml:space="preserve">S3</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3B">
            <w:pPr>
              <w:spacing w:after="60" w:before="60" w:lineRule="auto"/>
              <w:jc w:val="both"/>
              <w:rPr>
                <w:sz w:val="20"/>
                <w:szCs w:val="20"/>
              </w:rPr>
            </w:pPr>
            <w:r w:rsidDel="00000000" w:rsidR="00000000" w:rsidRPr="00000000">
              <w:rPr>
                <w:sz w:val="20"/>
                <w:szCs w:val="20"/>
                <w:rtl w:val="0"/>
              </w:rPr>
              <w:t xml:space="preserve">G0/1</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3C">
            <w:pPr>
              <w:jc w:val="both"/>
              <w:rPr>
                <w:i w:val="1"/>
                <w:color w:val="ffffff"/>
                <w:sz w:val="6"/>
                <w:szCs w:val="6"/>
              </w:rPr>
            </w:pPr>
            <w:r w:rsidDel="00000000" w:rsidR="00000000" w:rsidRPr="00000000">
              <w:rPr>
                <w:i w:val="1"/>
                <w:color w:val="ffffff"/>
                <w:sz w:val="6"/>
                <w:szCs w:val="6"/>
                <w:rtl w:val="0"/>
              </w:rPr>
              <w:t xml:space="preserve">en blanco</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3D">
            <w:pPr>
              <w:jc w:val="both"/>
              <w:rPr>
                <w:i w:val="1"/>
                <w:color w:val="ffffff"/>
                <w:sz w:val="6"/>
                <w:szCs w:val="6"/>
              </w:rPr>
            </w:pPr>
            <w:r w:rsidDel="00000000" w:rsidR="00000000" w:rsidRPr="00000000">
              <w:rPr>
                <w:i w:val="1"/>
                <w:color w:val="ffffff"/>
                <w:sz w:val="6"/>
                <w:szCs w:val="6"/>
                <w:rtl w:val="0"/>
              </w:rPr>
              <w:t xml:space="preserve">en blanco</w:t>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3E">
            <w:pPr>
              <w:jc w:val="both"/>
              <w:rPr>
                <w:i w:val="1"/>
                <w:color w:val="ffffff"/>
                <w:sz w:val="6"/>
                <w:szCs w:val="6"/>
              </w:rPr>
            </w:pPr>
            <w:r w:rsidDel="00000000" w:rsidR="00000000" w:rsidRPr="00000000">
              <w:rPr>
                <w:i w:val="1"/>
                <w:color w:val="ffffff"/>
                <w:sz w:val="6"/>
                <w:szCs w:val="6"/>
                <w:rtl w:val="0"/>
              </w:rPr>
              <w:t xml:space="preserve">S3</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bottom"/>
          </w:tcPr>
          <w:p w:rsidR="00000000" w:rsidDel="00000000" w:rsidP="00000000" w:rsidRDefault="00000000" w:rsidRPr="00000000" w14:paraId="0000003F">
            <w:pPr>
              <w:spacing w:after="60" w:before="60" w:lineRule="auto"/>
              <w:jc w:val="both"/>
              <w:rPr>
                <w:sz w:val="20"/>
                <w:szCs w:val="20"/>
              </w:rPr>
            </w:pPr>
            <w:r w:rsidDel="00000000" w:rsidR="00000000" w:rsidRPr="00000000">
              <w:rPr>
                <w:sz w:val="20"/>
                <w:szCs w:val="20"/>
                <w:rtl w:val="0"/>
              </w:rPr>
              <w:t xml:space="preserve">G0/2</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40">
            <w:pPr>
              <w:jc w:val="both"/>
              <w:rPr>
                <w:i w:val="1"/>
                <w:color w:val="ffffff"/>
                <w:sz w:val="6"/>
                <w:szCs w:val="6"/>
              </w:rPr>
            </w:pPr>
            <w:r w:rsidDel="00000000" w:rsidR="00000000" w:rsidRPr="00000000">
              <w:rPr>
                <w:i w:val="1"/>
                <w:color w:val="ffffff"/>
                <w:sz w:val="6"/>
                <w:szCs w:val="6"/>
                <w:rtl w:val="0"/>
              </w:rPr>
              <w:t xml:space="preserve">en blanco</w:t>
            </w:r>
          </w:p>
        </w:tc>
        <w:tc>
          <w:tcPr>
            <w:tcBorders>
              <w:top w:color="000000" w:space="0" w:sz="0" w:val="nil"/>
              <w:left w:color="000000" w:space="0" w:sz="0" w:val="nil"/>
              <w:bottom w:color="000000" w:space="0" w:sz="6" w:val="single"/>
              <w:right w:color="000000" w:space="0" w:sz="6" w:val="single"/>
            </w:tcBorders>
            <w:tcMar>
              <w:top w:w="20.0" w:type="dxa"/>
              <w:left w:w="120.0" w:type="dxa"/>
              <w:bottom w:w="20.0" w:type="dxa"/>
              <w:right w:w="120.0" w:type="dxa"/>
            </w:tcMar>
            <w:vAlign w:val="top"/>
          </w:tcPr>
          <w:p w:rsidR="00000000" w:rsidDel="00000000" w:rsidP="00000000" w:rsidRDefault="00000000" w:rsidRPr="00000000" w14:paraId="00000041">
            <w:pPr>
              <w:jc w:val="both"/>
              <w:rPr>
                <w:i w:val="1"/>
                <w:color w:val="ffffff"/>
                <w:sz w:val="6"/>
                <w:szCs w:val="6"/>
              </w:rPr>
            </w:pPr>
            <w:r w:rsidDel="00000000" w:rsidR="00000000" w:rsidRPr="00000000">
              <w:rPr>
                <w:i w:val="1"/>
                <w:color w:val="ffffff"/>
                <w:sz w:val="6"/>
                <w:szCs w:val="6"/>
                <w:rtl w:val="0"/>
              </w:rPr>
              <w:t xml:space="preserve">en blanco</w:t>
            </w:r>
          </w:p>
        </w:tc>
      </w:tr>
    </w:tbl>
    <w:p w:rsidR="00000000" w:rsidDel="00000000" w:rsidP="00000000" w:rsidRDefault="00000000" w:rsidRPr="00000000" w14:paraId="00000042">
      <w:pPr>
        <w:spacing w:before="120" w:lineRule="auto"/>
        <w:ind w:left="360" w:firstLine="0"/>
        <w:jc w:val="both"/>
        <w:rPr>
          <w:sz w:val="20"/>
          <w:szCs w:val="20"/>
        </w:rPr>
      </w:pPr>
      <w:r w:rsidDel="00000000" w:rsidR="00000000" w:rsidRPr="00000000">
        <w:rPr>
          <w:sz w:val="20"/>
          <w:szCs w:val="20"/>
          <w:rtl w:val="0"/>
        </w:rPr>
        <w:t xml:space="preserve">Packet Tracer utiliza una luz de enlace diferente en una de las conexiones entre los switches.</w:t>
      </w:r>
    </w:p>
    <w:p w:rsidR="00000000" w:rsidDel="00000000" w:rsidP="00000000" w:rsidRDefault="00000000" w:rsidRPr="00000000" w14:paraId="00000043">
      <w:pPr>
        <w:pStyle w:val="Heading4"/>
        <w:keepNext w:val="0"/>
        <w:spacing w:after="0" w:before="0" w:lineRule="auto"/>
        <w:ind w:left="20" w:firstLine="0"/>
        <w:jc w:val="both"/>
        <w:rPr>
          <w:b w:val="0"/>
          <w:i w:val="0"/>
          <w:color w:val="ffffff"/>
          <w:sz w:val="20"/>
          <w:szCs w:val="20"/>
        </w:rPr>
      </w:pPr>
      <w:bookmarkStart w:colFirst="0" w:colLast="0" w:name="_2t4jeptg1iw1" w:id="8"/>
      <w:bookmarkEnd w:id="8"/>
      <w:r w:rsidDel="00000000" w:rsidR="00000000" w:rsidRPr="00000000">
        <w:rPr>
          <w:b w:val="0"/>
          <w:i w:val="0"/>
          <w:color w:val="ffffff"/>
          <w:sz w:val="20"/>
          <w:szCs w:val="20"/>
          <w:rtl w:val="0"/>
        </w:rPr>
        <w:t xml:space="preserve">Preguntas:</w:t>
      </w:r>
    </w:p>
    <w:p w:rsidR="00000000" w:rsidDel="00000000" w:rsidP="00000000" w:rsidRDefault="00000000" w:rsidRPr="00000000" w14:paraId="00000044">
      <w:pPr>
        <w:spacing w:after="120" w:lineRule="auto"/>
        <w:ind w:left="360" w:firstLine="0"/>
        <w:jc w:val="both"/>
        <w:rPr>
          <w:sz w:val="20"/>
          <w:szCs w:val="20"/>
        </w:rPr>
      </w:pPr>
      <w:r w:rsidDel="00000000" w:rsidR="00000000" w:rsidRPr="00000000">
        <w:rPr>
          <w:sz w:val="20"/>
          <w:szCs w:val="20"/>
          <w:rtl w:val="0"/>
        </w:rPr>
        <w:t xml:space="preserve">¿Qué crees que significa esta luz de enlace?</w:t>
      </w:r>
    </w:p>
    <w:p w:rsidR="00000000" w:rsidDel="00000000" w:rsidP="00000000" w:rsidRDefault="00000000" w:rsidRPr="00000000" w14:paraId="00000045">
      <w:pPr>
        <w:spacing w:after="120" w:before="120" w:lineRule="auto"/>
        <w:ind w:left="360" w:firstLine="0"/>
        <w:jc w:val="both"/>
        <w:rPr>
          <w:sz w:val="20"/>
          <w:szCs w:val="20"/>
        </w:rPr>
      </w:pPr>
      <w:r w:rsidDel="00000000" w:rsidR="00000000" w:rsidRPr="00000000">
        <w:rPr>
          <w:sz w:val="20"/>
          <w:szCs w:val="20"/>
          <w:rtl w:val="0"/>
        </w:rPr>
        <w:t xml:space="preserve">¿Qué ruta tomarán las tramas de PC1 a PC2?</w:t>
      </w:r>
    </w:p>
    <w:p w:rsidR="00000000" w:rsidDel="00000000" w:rsidP="00000000" w:rsidRDefault="00000000" w:rsidRPr="00000000" w14:paraId="00000046">
      <w:pPr>
        <w:spacing w:after="120" w:before="120" w:lineRule="auto"/>
        <w:ind w:left="360" w:firstLine="0"/>
        <w:jc w:val="both"/>
        <w:rPr>
          <w:sz w:val="20"/>
          <w:szCs w:val="20"/>
        </w:rPr>
      </w:pPr>
      <w:r w:rsidDel="00000000" w:rsidR="00000000" w:rsidRPr="00000000">
        <w:rPr>
          <w:sz w:val="20"/>
          <w:szCs w:val="20"/>
          <w:rtl w:val="0"/>
        </w:rPr>
        <w:t xml:space="preserve">¿Por qué los marcos no viajan a través de S3?</w:t>
      </w:r>
    </w:p>
    <w:p w:rsidR="00000000" w:rsidDel="00000000" w:rsidP="00000000" w:rsidRDefault="00000000" w:rsidRPr="00000000" w14:paraId="00000047">
      <w:pPr>
        <w:spacing w:after="120" w:before="120" w:lineRule="auto"/>
        <w:ind w:left="360" w:firstLine="0"/>
        <w:jc w:val="both"/>
        <w:rPr>
          <w:sz w:val="20"/>
          <w:szCs w:val="20"/>
        </w:rPr>
      </w:pPr>
      <w:r w:rsidDel="00000000" w:rsidR="00000000" w:rsidRPr="00000000">
        <w:rPr>
          <w:sz w:val="20"/>
          <w:szCs w:val="20"/>
          <w:rtl w:val="0"/>
        </w:rPr>
        <w:t xml:space="preserve">¿Por qué el árbol de expansión ha colocado un puerto en estado de bloqueo?</w:t>
      </w:r>
    </w:p>
    <w:p w:rsidR="00000000" w:rsidDel="00000000" w:rsidP="00000000" w:rsidRDefault="00000000" w:rsidRPr="00000000" w14:paraId="00000048">
      <w:pPr>
        <w:jc w:val="both"/>
        <w:rPr>
          <w:i w:val="1"/>
          <w:color w:val="ffffff"/>
          <w:sz w:val="6"/>
          <w:szCs w:val="6"/>
        </w:rPr>
      </w:pPr>
      <w:r w:rsidDel="00000000" w:rsidR="00000000" w:rsidRPr="00000000">
        <w:rPr>
          <w:i w:val="1"/>
          <w:color w:val="ffffff"/>
          <w:sz w:val="6"/>
          <w:szCs w:val="6"/>
          <w:rtl w:val="0"/>
        </w:rPr>
        <w:t xml:space="preserve">Cerrar la ventana de configuración</w:t>
      </w:r>
    </w:p>
    <w:p w:rsidR="00000000" w:rsidDel="00000000" w:rsidP="00000000" w:rsidRDefault="00000000" w:rsidRPr="00000000" w14:paraId="00000049">
      <w:pPr>
        <w:pStyle w:val="Heading2"/>
        <w:keepNext w:val="0"/>
        <w:spacing w:after="120" w:before="120" w:line="211.05847058823528" w:lineRule="auto"/>
        <w:ind w:left="0"/>
        <w:jc w:val="both"/>
        <w:rPr>
          <w:color w:val="000000"/>
          <w:sz w:val="26"/>
          <w:szCs w:val="26"/>
        </w:rPr>
      </w:pPr>
      <w:bookmarkStart w:colFirst="0" w:colLast="0" w:name="_3wti7sngppjh" w:id="9"/>
      <w:bookmarkEnd w:id="9"/>
      <w:r w:rsidDel="00000000" w:rsidR="00000000" w:rsidRPr="00000000">
        <w:rPr>
          <w:color w:val="000000"/>
          <w:sz w:val="26"/>
          <w:szCs w:val="26"/>
          <w:rtl w:val="0"/>
        </w:rPr>
        <w:t xml:space="preserve">Parte 2: Observar la convergencia del árbol de expansión</w:t>
      </w:r>
    </w:p>
    <w:p w:rsidR="00000000" w:rsidDel="00000000" w:rsidP="00000000" w:rsidRDefault="00000000" w:rsidRPr="00000000" w14:paraId="0000004A">
      <w:pPr>
        <w:pStyle w:val="Heading3"/>
        <w:keepNext w:val="0"/>
        <w:spacing w:after="60" w:before="240" w:lineRule="auto"/>
        <w:ind w:left="0"/>
        <w:jc w:val="both"/>
        <w:rPr>
          <w:color w:val="000000"/>
          <w:sz w:val="24"/>
          <w:szCs w:val="24"/>
        </w:rPr>
      </w:pPr>
      <w:bookmarkStart w:colFirst="0" w:colLast="0" w:name="_owzf5mz8qpre" w:id="10"/>
      <w:bookmarkEnd w:id="10"/>
      <w:r w:rsidDel="00000000" w:rsidR="00000000" w:rsidRPr="00000000">
        <w:rPr>
          <w:color w:val="000000"/>
          <w:sz w:val="24"/>
          <w:szCs w:val="24"/>
          <w:rtl w:val="0"/>
        </w:rPr>
        <w:t xml:space="preserve">Paso 1: Eliminar la conexión entre S1 y S2.</w:t>
      </w:r>
    </w:p>
    <w:p w:rsidR="00000000" w:rsidDel="00000000" w:rsidP="00000000" w:rsidRDefault="00000000" w:rsidRPr="00000000" w14:paraId="0000004B">
      <w:pPr>
        <w:spacing w:before="120" w:lineRule="auto"/>
        <w:ind w:left="720" w:firstLine="0"/>
        <w:jc w:val="both"/>
        <w:rPr>
          <w:sz w:val="20"/>
          <w:szCs w:val="20"/>
        </w:rPr>
      </w:pPr>
      <w:r w:rsidDel="00000000" w:rsidR="00000000" w:rsidRPr="00000000">
        <w:rPr>
          <w:sz w:val="20"/>
          <w:szCs w:val="20"/>
          <w:rtl w:val="0"/>
        </w:rPr>
        <w:t xml:space="preserve">a.Abra una ventana CLI en el switch S3 y ejecute el comando </w:t>
      </w:r>
      <w:r w:rsidDel="00000000" w:rsidR="00000000" w:rsidRPr="00000000">
        <w:rPr>
          <w:b w:val="1"/>
          <w:sz w:val="20"/>
          <w:szCs w:val="20"/>
          <w:rtl w:val="0"/>
        </w:rPr>
        <w:t xml:space="preserve">show spanning-tree vlan 1</w:t>
      </w:r>
      <w:r w:rsidDel="00000000" w:rsidR="00000000" w:rsidRPr="00000000">
        <w:rPr>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sz w:val="20"/>
          <w:szCs w:val="20"/>
          <w:rtl w:val="0"/>
        </w:rPr>
        <w:t xml:space="preserve">Dejen esta ventana abierta.</w:t>
      </w:r>
    </w:p>
    <w:p w:rsidR="00000000" w:rsidDel="00000000" w:rsidP="00000000" w:rsidRDefault="00000000" w:rsidRPr="00000000" w14:paraId="0000004C">
      <w:pPr>
        <w:jc w:val="both"/>
        <w:rPr>
          <w:i w:val="1"/>
          <w:color w:val="ffffff"/>
          <w:sz w:val="6"/>
          <w:szCs w:val="6"/>
        </w:rPr>
      </w:pPr>
      <w:r w:rsidDel="00000000" w:rsidR="00000000" w:rsidRPr="00000000">
        <w:rPr>
          <w:i w:val="1"/>
          <w:color w:val="ffffff"/>
          <w:sz w:val="6"/>
          <w:szCs w:val="6"/>
          <w:rtl w:val="0"/>
        </w:rPr>
        <w:t xml:space="preserve">Abrir la ventana de configuración</w:t>
      </w:r>
    </w:p>
    <w:p w:rsidR="00000000" w:rsidDel="00000000" w:rsidP="00000000" w:rsidRDefault="00000000" w:rsidRPr="00000000" w14:paraId="0000004D">
      <w:pPr>
        <w:spacing w:after="120" w:before="120" w:lineRule="auto"/>
        <w:ind w:left="720" w:firstLine="0"/>
        <w:jc w:val="both"/>
        <w:rPr>
          <w:sz w:val="20"/>
          <w:szCs w:val="20"/>
        </w:rPr>
      </w:pPr>
      <w:r w:rsidDel="00000000" w:rsidR="00000000" w:rsidRPr="00000000">
        <w:rPr>
          <w:sz w:val="20"/>
          <w:szCs w:val="20"/>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Seleccione la herramienta de eliminación en la barra de menús y haga clic en el cable que conecta S1 y S2.</w:t>
      </w:r>
    </w:p>
    <w:p w:rsidR="00000000" w:rsidDel="00000000" w:rsidP="00000000" w:rsidRDefault="00000000" w:rsidRPr="00000000" w14:paraId="0000004E">
      <w:pPr>
        <w:pStyle w:val="Heading3"/>
        <w:keepNext w:val="0"/>
        <w:spacing w:after="60" w:before="240" w:lineRule="auto"/>
        <w:ind w:left="0"/>
        <w:jc w:val="both"/>
        <w:rPr>
          <w:color w:val="000000"/>
          <w:sz w:val="24"/>
          <w:szCs w:val="24"/>
        </w:rPr>
      </w:pPr>
      <w:bookmarkStart w:colFirst="0" w:colLast="0" w:name="_ge7ux3av9vwp" w:id="11"/>
      <w:bookmarkEnd w:id="11"/>
      <w:r w:rsidDel="00000000" w:rsidR="00000000" w:rsidRPr="00000000">
        <w:rPr>
          <w:color w:val="000000"/>
          <w:sz w:val="24"/>
          <w:szCs w:val="24"/>
          <w:rtl w:val="0"/>
        </w:rPr>
        <w:t xml:space="preserve">Paso 2: Observe la convergencia del árbol de expansión.</w:t>
      </w:r>
    </w:p>
    <w:p w:rsidR="00000000" w:rsidDel="00000000" w:rsidP="00000000" w:rsidRDefault="00000000" w:rsidRPr="00000000" w14:paraId="0000004F">
      <w:pPr>
        <w:spacing w:after="120" w:before="120" w:lineRule="auto"/>
        <w:ind w:left="720" w:firstLine="0"/>
        <w:jc w:val="both"/>
        <w:rPr>
          <w:b w:val="1"/>
          <w:sz w:val="20"/>
          <w:szCs w:val="20"/>
        </w:rPr>
      </w:pPr>
      <w:r w:rsidDel="00000000" w:rsidR="00000000" w:rsidRPr="00000000">
        <w:rPr>
          <w:sz w:val="20"/>
          <w:szCs w:val="20"/>
          <w:rtl w:val="0"/>
        </w:rPr>
        <w:t xml:space="preserve">a.Vuelva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rápidamente al indicador CLI en el switch S3 y ejecute el</w:t>
      </w:r>
      <w:r w:rsidDel="00000000" w:rsidR="00000000" w:rsidRPr="00000000">
        <w:rPr>
          <w:rFonts w:ascii="Courier New" w:cs="Courier New" w:eastAsia="Courier New" w:hAnsi="Courier New"/>
          <w:sz w:val="20"/>
          <w:szCs w:val="20"/>
          <w:rtl w:val="0"/>
        </w:rPr>
        <w:t xml:space="preserve"> </w:t>
      </w:r>
      <w:r w:rsidDel="00000000" w:rsidR="00000000" w:rsidRPr="00000000">
        <w:rPr>
          <w:sz w:val="20"/>
          <w:szCs w:val="20"/>
          <w:rtl w:val="0"/>
        </w:rPr>
        <w:t xml:space="preserve">comando </w:t>
      </w:r>
      <w:r w:rsidDel="00000000" w:rsidR="00000000" w:rsidRPr="00000000">
        <w:rPr>
          <w:b w:val="1"/>
          <w:sz w:val="20"/>
          <w:szCs w:val="20"/>
          <w:rtl w:val="0"/>
        </w:rPr>
        <w:t xml:space="preserve">show spanning-tree vlan 1.</w:t>
      </w:r>
    </w:p>
    <w:p w:rsidR="00000000" w:rsidDel="00000000" w:rsidP="00000000" w:rsidRDefault="00000000" w:rsidRPr="00000000" w14:paraId="00000050">
      <w:pPr>
        <w:spacing w:before="120" w:lineRule="auto"/>
        <w:ind w:left="720" w:firstLine="0"/>
        <w:jc w:val="both"/>
        <w:rPr>
          <w:b w:val="1"/>
          <w:sz w:val="20"/>
          <w:szCs w:val="20"/>
        </w:rPr>
      </w:pPr>
      <w:r w:rsidDel="00000000" w:rsidR="00000000" w:rsidRPr="00000000">
        <w:rPr>
          <w:b w:val="1"/>
          <w:sz w:val="20"/>
          <w:szCs w:val="20"/>
          <w:rtl w:val="0"/>
        </w:rPr>
        <w:t xml:space="preserve">b.Utilice la tecla de flecha hacia arriba para recuperar el</w:t>
      </w:r>
      <w:r w:rsidDel="00000000" w:rsidR="00000000" w:rsidRPr="00000000">
        <w:rPr>
          <w:rFonts w:ascii="Courier New" w:cs="Courier New" w:eastAsia="Courier New" w:hAnsi="Courier New"/>
          <w:sz w:val="20"/>
          <w:szCs w:val="20"/>
          <w:rtl w:val="0"/>
        </w:rPr>
        <w:t xml:space="preserve"> </w:t>
      </w:r>
      <w:r w:rsidDel="00000000" w:rsidR="00000000" w:rsidRPr="00000000">
        <w:rPr>
          <w:sz w:val="20"/>
          <w:szCs w:val="20"/>
          <w:rtl w:val="0"/>
        </w:rPr>
        <w:t xml:space="preserve">comando </w:t>
      </w:r>
      <w:r w:rsidDel="00000000" w:rsidR="00000000" w:rsidRPr="00000000">
        <w:rPr>
          <w:b w:val="1"/>
          <w:sz w:val="20"/>
          <w:szCs w:val="20"/>
          <w:rtl w:val="0"/>
        </w:rPr>
        <w:t xml:space="preserve">show spanning-tree vlan 1 y ejecutarlo repetidamente hasta que la luz naranja del cable se vuelva verde. Observe el estado del puerto G0/2.</w:t>
      </w:r>
    </w:p>
    <w:p w:rsidR="00000000" w:rsidDel="00000000" w:rsidP="00000000" w:rsidRDefault="00000000" w:rsidRPr="00000000" w14:paraId="00000051">
      <w:pPr>
        <w:pStyle w:val="Heading4"/>
        <w:keepNext w:val="0"/>
        <w:spacing w:after="0" w:before="0" w:lineRule="auto"/>
        <w:ind w:left="20" w:firstLine="0"/>
        <w:jc w:val="both"/>
        <w:rPr>
          <w:b w:val="0"/>
          <w:i w:val="0"/>
          <w:color w:val="ffffff"/>
          <w:sz w:val="20"/>
          <w:szCs w:val="20"/>
        </w:rPr>
      </w:pPr>
      <w:bookmarkStart w:colFirst="0" w:colLast="0" w:name="_214doq9jezo4" w:id="12"/>
      <w:bookmarkEnd w:id="12"/>
      <w:r w:rsidDel="00000000" w:rsidR="00000000" w:rsidRPr="00000000">
        <w:rPr>
          <w:b w:val="0"/>
          <w:i w:val="0"/>
          <w:color w:val="ffffff"/>
          <w:sz w:val="20"/>
          <w:szCs w:val="20"/>
          <w:rtl w:val="0"/>
        </w:rPr>
        <w:t xml:space="preserve">Pregunta:</w:t>
      </w:r>
    </w:p>
    <w:p w:rsidR="00000000" w:rsidDel="00000000" w:rsidP="00000000" w:rsidRDefault="00000000" w:rsidRPr="00000000" w14:paraId="00000052">
      <w:pPr>
        <w:spacing w:after="120" w:lineRule="auto"/>
        <w:ind w:left="720" w:firstLine="0"/>
        <w:jc w:val="both"/>
        <w:rPr>
          <w:b w:val="1"/>
          <w:sz w:val="20"/>
          <w:szCs w:val="20"/>
        </w:rPr>
      </w:pPr>
      <w:r w:rsidDel="00000000" w:rsidR="00000000" w:rsidRPr="00000000">
        <w:rPr>
          <w:b w:val="1"/>
          <w:sz w:val="20"/>
          <w:szCs w:val="20"/>
          <w:rtl w:val="0"/>
        </w:rPr>
        <w:t xml:space="preserve">¿Qué ve que sucede con el estado del puerto G0/2 durante este proceso?</w:t>
      </w:r>
    </w:p>
    <w:p w:rsidR="00000000" w:rsidDel="00000000" w:rsidP="00000000" w:rsidRDefault="00000000" w:rsidRPr="00000000" w14:paraId="00000053">
      <w:pPr>
        <w:spacing w:after="120" w:before="120" w:lineRule="auto"/>
        <w:ind w:left="720" w:firstLine="0"/>
        <w:jc w:val="both"/>
        <w:rPr>
          <w:b w:val="1"/>
          <w:sz w:val="20"/>
          <w:szCs w:val="20"/>
        </w:rPr>
      </w:pPr>
      <w:r w:rsidDel="00000000" w:rsidR="00000000" w:rsidRPr="00000000">
        <w:rPr>
          <w:b w:val="1"/>
          <w:sz w:val="20"/>
          <w:szCs w:val="20"/>
          <w:rtl w:val="0"/>
        </w:rPr>
        <w:t xml:space="preserve">Ha observado la transición en el estado del puerto que se produce cuando un puerto de árbol de expansión pasa del estado de bloqueo al estado de reenvío.</w:t>
      </w:r>
    </w:p>
    <w:p w:rsidR="00000000" w:rsidDel="00000000" w:rsidP="00000000" w:rsidRDefault="00000000" w:rsidRPr="00000000" w14:paraId="00000054">
      <w:pPr>
        <w:spacing w:after="120" w:before="120" w:lineRule="auto"/>
        <w:ind w:left="720" w:firstLine="0"/>
        <w:jc w:val="both"/>
        <w:rPr>
          <w:b w:val="1"/>
          <w:sz w:val="20"/>
          <w:szCs w:val="20"/>
        </w:rPr>
      </w:pPr>
      <w:r w:rsidDel="00000000" w:rsidR="00000000" w:rsidRPr="00000000">
        <w:rPr>
          <w:b w:val="1"/>
          <w:sz w:val="20"/>
          <w:szCs w:val="20"/>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Verifique la conectividad haciendo ping desde PC1 A PC2. el ping debería realizarse correctamente.</w:t>
      </w:r>
    </w:p>
    <w:p w:rsidR="00000000" w:rsidDel="00000000" w:rsidP="00000000" w:rsidRDefault="00000000" w:rsidRPr="00000000" w14:paraId="00000055">
      <w:pPr>
        <w:spacing w:after="120" w:before="120" w:lineRule="auto"/>
        <w:ind w:left="720" w:firstLine="0"/>
        <w:jc w:val="both"/>
        <w:rPr>
          <w:b w:val="1"/>
          <w:sz w:val="20"/>
          <w:szCs w:val="20"/>
        </w:rPr>
      </w:pPr>
      <w:r w:rsidDel="00000000" w:rsidR="00000000" w:rsidRPr="00000000">
        <w:rPr>
          <w:b w:val="1"/>
          <w:sz w:val="20"/>
          <w:szCs w:val="20"/>
          <w:rtl w:val="0"/>
        </w:rPr>
        <w:t xml:space="preserve">¿Hay algún puerto que muestre una luz de enlace naranja que indique que el puerto está en un estado de árbol de expansión distinto del reenvío? ¿Por qué o por qué no?</w:t>
      </w:r>
    </w:p>
    <w:p w:rsidR="00000000" w:rsidDel="00000000" w:rsidP="00000000" w:rsidRDefault="00000000" w:rsidRPr="00000000" w14:paraId="00000056">
      <w:pPr>
        <w:jc w:val="both"/>
        <w:rPr>
          <w:b w:val="1"/>
          <w:i w:val="1"/>
          <w:color w:val="ffffff"/>
          <w:sz w:val="6"/>
          <w:szCs w:val="6"/>
        </w:rPr>
      </w:pPr>
      <w:r w:rsidDel="00000000" w:rsidR="00000000" w:rsidRPr="00000000">
        <w:rPr>
          <w:b w:val="1"/>
          <w:i w:val="1"/>
          <w:color w:val="ffffff"/>
          <w:sz w:val="6"/>
          <w:szCs w:val="6"/>
          <w:rtl w:val="0"/>
        </w:rPr>
        <w:t xml:space="preserve">Cerrar la ventana de configuración</w:t>
      </w:r>
    </w:p>
    <w:p w:rsidR="00000000" w:rsidDel="00000000" w:rsidP="00000000" w:rsidRDefault="00000000" w:rsidRPr="00000000" w14:paraId="00000057">
      <w:pPr>
        <w:jc w:val="both"/>
        <w:rPr>
          <w:b w:val="1"/>
          <w:i w:val="1"/>
          <w:color w:val="ffffff"/>
          <w:sz w:val="6"/>
          <w:szCs w:val="6"/>
        </w:rPr>
      </w:pPr>
      <w:r w:rsidDel="00000000" w:rsidR="00000000" w:rsidRPr="00000000">
        <w:rPr>
          <w:b w:val="1"/>
          <w:i w:val="1"/>
          <w:color w:val="ffffff"/>
          <w:sz w:val="6"/>
          <w:szCs w:val="6"/>
          <w:rtl w:val="0"/>
        </w:rPr>
        <w:t xml:space="preserve">Fin del documento</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6" w:type="default"/>
      <w:footerReference r:id="rId7" w:type="default"/>
      <w:pgSz w:h="16838" w:w="11906" w:orient="portrait"/>
      <w:pgMar w:bottom="2050" w:top="2280"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638.0" w:type="dxa"/>
      <w:jc w:val="left"/>
      <w:tblInd w:w="-55.0" w:type="dxa"/>
      <w:tblBorders>
        <w:top w:color="000080" w:space="0" w:sz="16" w:val="single"/>
      </w:tblBorders>
      <w:tblLayout w:type="fixed"/>
      <w:tblLook w:val="0000"/>
    </w:tblPr>
    <w:tblGrid>
      <w:gridCol w:w="4818"/>
      <w:gridCol w:w="4820"/>
      <w:tblGridChange w:id="0">
        <w:tblGrid>
          <w:gridCol w:w="4818"/>
          <w:gridCol w:w="4820"/>
        </w:tblGrid>
      </w:tblGridChange>
    </w:tblGrid>
    <w:tr>
      <w:trPr>
        <w:cantSplit w:val="0"/>
        <w:tblHeader w:val="0"/>
      </w:trPr>
      <w:tc>
        <w:tcPr>
          <w:tcBorders>
            <w:top w:color="000080" w:space="0" w:sz="16" w:val="single"/>
          </w:tcBorders>
          <w:shd w:fill="auto" w:val="clea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Fonts w:ascii="Arial" w:cs="Arial" w:eastAsia="Arial" w:hAnsi="Arial"/>
              <w:b w:val="0"/>
              <w:i w:val="0"/>
              <w:smallCaps w:val="0"/>
              <w:strike w:val="0"/>
              <w:color w:val="000080"/>
              <w:sz w:val="20"/>
              <w:szCs w:val="20"/>
              <w:u w:val="none"/>
              <w:shd w:fill="auto" w:val="clear"/>
              <w:vertAlign w:val="baseline"/>
              <w:rtl w:val="0"/>
            </w:rPr>
            <w:t xml:space="preserve">MP02. Gestió de bases de dades</w:t>
          </w:r>
        </w:p>
      </w:tc>
      <w:tc>
        <w:tcPr>
          <w:tcBorders>
            <w:top w:color="000080" w:space="0" w:sz="16" w:val="single"/>
          </w:tcBorders>
          <w:shd w:fill="auto" w:val="clea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638.0" w:type="dxa"/>
      <w:jc w:val="left"/>
      <w:tblInd w:w="-55.0" w:type="dxa"/>
      <w:tblBorders>
        <w:bottom w:color="000080" w:space="0" w:sz="16" w:val="single"/>
        <w:insideH w:color="000080" w:space="0" w:sz="16" w:val="single"/>
      </w:tblBorders>
      <w:tblLayout w:type="fixed"/>
      <w:tblLook w:val="0000"/>
    </w:tblPr>
    <w:tblGrid>
      <w:gridCol w:w="4312"/>
      <w:gridCol w:w="4187"/>
      <w:gridCol w:w="1139"/>
      <w:tblGridChange w:id="0">
        <w:tblGrid>
          <w:gridCol w:w="4312"/>
          <w:gridCol w:w="4187"/>
          <w:gridCol w:w="1139"/>
        </w:tblGrid>
      </w:tblGridChange>
    </w:tblGrid>
    <w:tr>
      <w:trPr>
        <w:cantSplit w:val="0"/>
        <w:tblHeader w:val="0"/>
      </w:trPr>
      <w:tc>
        <w:tcPr>
          <w:tcBorders>
            <w:bottom w:color="000080" w:space="0" w:sz="16" w:val="single"/>
          </w:tcBorders>
          <w:shd w:fill="000080" w:val="clea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UF1. Introducció a les bases de dades</w:t>
          </w:r>
        </w:p>
      </w:tc>
      <w:tc>
        <w:tcPr>
          <w:tcBorders>
            <w:bottom w:color="000080" w:space="0" w:sz="16" w:val="single"/>
          </w:tcBorders>
          <w:shd w:fill="auto" w:val="clea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NF1. Sistemes d'emmagatzemament d'informació</w:t>
          </w:r>
        </w:p>
      </w:tc>
      <w:tc>
        <w:tcPr>
          <w:tcBorders>
            <w:bottom w:color="000080" w:space="0" w:sz="16" w:val="single"/>
          </w:tcBorders>
          <w:shd w:fill="auto" w:val="clea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159385</wp:posOffset>
                </wp:positionH>
                <wp:positionV relativeFrom="paragraph">
                  <wp:posOffset>-137159</wp:posOffset>
                </wp:positionV>
                <wp:extent cx="389255" cy="39052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89255" cy="390525"/>
                        </a:xfrm>
                        <a:prstGeom prst="rect"/>
                        <a:ln/>
                      </pic:spPr>
                    </pic:pic>
                  </a:graphicData>
                </a:graphic>
              </wp:anchor>
            </w:drawing>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83" w:before="283" w:lineRule="auto"/>
      <w:ind w:left="432" w:hanging="432"/>
    </w:pPr>
    <w:rPr>
      <w:rFonts w:ascii="Arial" w:cs="Arial" w:eastAsia="Arial" w:hAnsi="Arial"/>
      <w:b w:val="1"/>
      <w:color w:val="000080"/>
      <w:sz w:val="32"/>
      <w:szCs w:val="32"/>
    </w:rPr>
  </w:style>
  <w:style w:type="paragraph" w:styleId="Heading2">
    <w:name w:val="heading 2"/>
    <w:basedOn w:val="Normal"/>
    <w:next w:val="Normal"/>
    <w:pPr>
      <w:keepNext w:val="1"/>
      <w:spacing w:after="283" w:before="283" w:lineRule="auto"/>
      <w:ind w:left="576" w:hanging="576"/>
    </w:pPr>
    <w:rPr>
      <w:rFonts w:ascii="Arial" w:cs="Arial" w:eastAsia="Arial" w:hAnsi="Arial"/>
      <w:b w:val="1"/>
      <w:color w:val="000080"/>
      <w:sz w:val="24"/>
      <w:szCs w:val="24"/>
    </w:rPr>
  </w:style>
  <w:style w:type="paragraph" w:styleId="Heading3">
    <w:name w:val="heading 3"/>
    <w:basedOn w:val="Normal"/>
    <w:next w:val="Normal"/>
    <w:pPr>
      <w:keepNext w:val="1"/>
      <w:spacing w:after="283" w:before="283" w:lineRule="auto"/>
      <w:ind w:left="720" w:hanging="720"/>
    </w:pPr>
    <w:rPr>
      <w:rFonts w:ascii="Arial" w:cs="Arial" w:eastAsia="Arial" w:hAnsi="Arial"/>
      <w:b w:val="1"/>
      <w:color w:val="000080"/>
      <w:sz w:val="22"/>
      <w:szCs w:val="22"/>
    </w:rPr>
  </w:style>
  <w:style w:type="paragraph" w:styleId="Heading4">
    <w:name w:val="heading 4"/>
    <w:basedOn w:val="Normal"/>
    <w:next w:val="Normal"/>
    <w:pPr>
      <w:keepNext w:val="1"/>
      <w:spacing w:after="120" w:before="120" w:lineRule="auto"/>
      <w:ind w:left="864" w:hanging="864"/>
    </w:pPr>
    <w:rPr>
      <w:rFonts w:ascii="Arial" w:cs="Arial" w:eastAsia="Arial" w:hAnsi="Arial"/>
      <w:b w:val="1"/>
      <w:i w:val="1"/>
      <w:sz w:val="27"/>
      <w:szCs w:val="27"/>
    </w:rPr>
  </w:style>
  <w:style w:type="paragraph" w:styleId="Heading5">
    <w:name w:val="heading 5"/>
    <w:basedOn w:val="Normal"/>
    <w:next w:val="Normal"/>
    <w:pPr>
      <w:keepNext w:val="1"/>
      <w:spacing w:after="60" w:before="120" w:lineRule="auto"/>
      <w:ind w:left="1008" w:hanging="1008"/>
    </w:pPr>
    <w:rPr>
      <w:rFonts w:ascii="Arial" w:cs="Arial" w:eastAsia="Arial" w:hAnsi="Arial"/>
      <w:b w:val="1"/>
      <w:sz w:val="24"/>
      <w:szCs w:val="24"/>
    </w:rPr>
  </w:style>
  <w:style w:type="paragraph" w:styleId="Heading6">
    <w:name w:val="heading 6"/>
    <w:basedOn w:val="Normal"/>
    <w:next w:val="Normal"/>
    <w:pPr>
      <w:keepNext w:val="1"/>
      <w:spacing w:after="60" w:before="60" w:lineRule="auto"/>
      <w:ind w:left="1152" w:hanging="1152"/>
    </w:pPr>
    <w:rPr>
      <w:rFonts w:ascii="Arial" w:cs="Arial" w:eastAsia="Arial" w:hAnsi="Arial"/>
      <w:b w:val="1"/>
      <w:i w:val="1"/>
      <w:sz w:val="24"/>
      <w:szCs w:val="24"/>
    </w:rPr>
  </w:style>
  <w:style w:type="paragraph" w:styleId="Title">
    <w:name w:val="Title"/>
    <w:basedOn w:val="Normal"/>
    <w:next w:val="Normal"/>
    <w:pPr>
      <w:keepNext w:val="1"/>
      <w:spacing w:after="120" w:before="240" w:lineRule="auto"/>
      <w:jc w:val="center"/>
    </w:pPr>
    <w:rPr>
      <w:rFonts w:ascii="Arial" w:cs="Arial" w:eastAsia="Arial" w:hAnsi="Arial"/>
      <w:b w:val="1"/>
      <w:sz w:val="56"/>
      <w:szCs w:val="56"/>
    </w:rPr>
  </w:style>
  <w:style w:type="paragraph" w:styleId="Subtitle">
    <w:name w:val="Subtitle"/>
    <w:basedOn w:val="Normal"/>
    <w:next w:val="Normal"/>
    <w:pPr>
      <w:keepNext w:val="1"/>
      <w:spacing w:after="120" w:before="60" w:lineRule="auto"/>
      <w:jc w:val="center"/>
    </w:pPr>
    <w:rPr>
      <w:rFonts w:ascii="Arial" w:cs="Arial" w:eastAsia="Arial" w:hAnsi="Arial"/>
      <w:sz w:val="36"/>
      <w:szCs w:val="36"/>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