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UF1. Introducció a les xarxes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NF1. Conceptes bàsics de xarxes i configuració inicial de dispositius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NF1.2. Configuració bàsica de switchs i terminals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 Connectivitat bàsica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-0.9999999999999964" w:type="dxa"/>
        <w:tblLayout w:type="fixed"/>
        <w:tblLook w:val="0000"/>
      </w:tblPr>
      <w:tblGrid>
        <w:gridCol w:w="681"/>
        <w:gridCol w:w="3173"/>
        <w:gridCol w:w="1304"/>
        <w:gridCol w:w="4433"/>
        <w:tblGridChange w:id="0">
          <w:tblGrid>
            <w:gridCol w:w="681"/>
            <w:gridCol w:w="3173"/>
            <w:gridCol w:w="1304"/>
            <w:gridCol w:w="4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Cognoms: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Roca Mühlemann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Índex de la pràctica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Tasques a realitzar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Style w:val="Heading1"/>
            <w:numPr>
              <w:ilvl w:val="0"/>
              <w:numId w:val="7"/>
            </w:numPr>
            <w:ind w:left="432" w:hanging="432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PDF amb el nom del fitxer: </w:t>
      </w:r>
      <w:r w:rsidDel="00000000" w:rsidR="00000000" w:rsidRPr="00000000">
        <w:rPr>
          <w:b w:val="1"/>
          <w:color w:val="000080"/>
          <w:rtl w:val="0"/>
        </w:rPr>
        <w:t xml:space="preserve">UF1_NF1.2_A4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_Cognom_Nom.pdf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l'activitat sigui ordenada, estructurada i ben documentada, amb captures de pantalla quan sigui el cas.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documentis els inconvenients que trobis i la solució que hagis donat.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negativament aquelles activitats que es presenten incompletes.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7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En aquesta pràctica crearem una configuració bàsica del switch. Implementarem una connectivitat bàsica mitjançant la configuració de direccions IP als switchs i Pcs. Un cop completada la configuració del direccionament IP, utilitzarem diverses comandes show per a verificar la configuració i finalment utilitzarem la comanda ping per a verificar la connectivitat bàsica entre dispositius.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120" w:lineRule="auto"/>
        <w:jc w:val="both"/>
        <w:rPr/>
      </w:pPr>
      <w:bookmarkStart w:colFirst="0" w:colLast="0" w:name="_3b3wv8ahtcbe" w:id="3"/>
      <w:bookmarkEnd w:id="3"/>
      <w:r w:rsidDel="00000000" w:rsidR="00000000" w:rsidRPr="00000000">
        <w:rPr>
          <w:rtl w:val="0"/>
        </w:rPr>
        <w:t xml:space="preserve">Taula d'assignació de direccions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Dispositiu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Direcció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Màscara de subxarxa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k5og7wy0gda6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Tasques a realitzar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APARTAT 1. Realitzar una configuració bàsica dels switchs S1 i S2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Pas1: Configurar un nom de host al S1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Fes clic a S1 i llavors a la pestanya CLI. Prem Enter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Utilitza la comanda correcta per a configurar el nom del host a S1.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Establim nom dintre de (config) amb hostname: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62125" cy="32385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62125" cy="3238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Pas2: Configurar la consola i les contrasenyes xifrades del mode EXEC privilegiat 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Utilitza la paraula cisco com a contrasenya de la consola.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Password del S1: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95525" cy="6286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Password S2: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05075" cy="4762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Utilitza la paraula classe com a contrasenya del mode EXEC privilegiat. 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05075" cy="304800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05075" cy="314325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Pas3: Verifica la configuració de contrasenyes per al S1 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 pots verificar que les dues contrasenyes s’hagin configurat correctament? 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Utilitzant el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23925" cy="4667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742950" cy="476250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Pas4: Configura un avís de MOTD </w:t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Utilitza la comanda adient per establir el següent avís: «No puedes pasar... Soy un servidor del Fuego Secreto, que es dueño de la llama de Anor» 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Establim el motd: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81700" cy="4572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Comprovem:</w:t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81700" cy="45720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Establim el motd:</w:t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81700" cy="457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Comprovem: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81700" cy="45720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Pas5: Guarda l’arxiu de configuració a la NVRAM </w:t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Utilitza la comanda adient per guardar la configuració en execució a la NVRAM.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“copy running-config startup-config” o “copy run start”: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05075" cy="733425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05075" cy="73342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Pas6: Torna a repetir els passos anteriors per configurar el switch S2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APARTAT 2. Configuració dels PCs.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Pas1: Configura els dos PCs amb direccions IP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Fes clic al PC1 i llavors a la pestanya Escriptori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Fes clic a la configuració de IP. Consulta la taula anterior per saber quina @IP i màscara has de configurar al PC1.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Pel pc 1 192.168.1.1/24 amb estàtica: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43250" cy="14382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Repeteix els passos anteriors per al PC2.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12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Pel pc 2 192.168.1.2/24 amb estàtica: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43250" cy="1438275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Pas2: Comprova la connectivitat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Fes clic al PC1. Tanca la finestra de configuració IP si encara està oberta. A la pestanya d’Escriptori, fes clic al símbol del sistema.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Escriu la comanda ping i la direcció IP del switch S1. Has tingut èxit?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No, el S1 no te una IP a la que fer pings.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54663" cy="1497128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663" cy="149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APARTAT 3. Configurar la interface d’administració dels switchs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Els switchs es poden utilitzar com a dispositius plug-and-play, això significa que no es necessiten configurar per a que funcionin. Els switchs re-env mien informació d’un port a un altre utilitzant les direccions de control d’accés al medi (MAC).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Pas1: Configura S1 amb una direcció IP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 és dona el cas comentat en el paràgraf anterior, per què és necessari configurar una @IP?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Podem adreçar-nos al switch per configurar-lo amb SSH, Telnet o fer pings.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Utilitza les comandes adients per configurar la vlan 1 del switch S1 segons les dades que tens a la taula de més amunt.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Primer de tot entrarem a la interficie fa0/1 i l’hi assignarem el mode access a la vlan 1: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05075" cy="733425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Després a la configuració de la vlan 1 li posarem una IP amb Màscara: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19500" cy="4572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Per últim engegarem la vlan 1: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29175" cy="100012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 comprovarem que podem fer un ping del PC1 al S1: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90950" cy="18002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 què s’ha d’utilitzar la comanda no shutdown?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Per defecte les  vlans estan apagades.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 2: Configura S2 amb una direcció IP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Utilitza les comandes adients per configurar la vlan 1 del switch S2 segons les dades que tens a la taula de més amunt.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Repeteixo les comandes però amb la IP 192.168.1.254: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37698" cy="1869424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698" cy="1869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875598" cy="61562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5598" cy="615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 3: Verifica la configuració de les @IP al S1 i S2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Utilitza dos comandes diferents per comprovar que s’han configurat adientment les @IP, una d’elles es possible que també et mostri l’estat de tots els ports del switch. </w:t>
      </w:r>
    </w:p>
    <w:p w:rsidR="00000000" w:rsidDel="00000000" w:rsidP="00000000" w:rsidRDefault="00000000" w:rsidRPr="00000000" w14:paraId="00000099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Switch S1:</w:t>
      </w:r>
    </w:p>
    <w:p w:rsidR="00000000" w:rsidDel="00000000" w:rsidP="00000000" w:rsidRDefault="00000000" w:rsidRPr="00000000" w14:paraId="0000009A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Tenim la IP asignada a la vlan1, i la vlan assignada al f0/1</w:t>
      </w:r>
    </w:p>
    <w:p w:rsidR="00000000" w:rsidDel="00000000" w:rsidP="00000000" w:rsidRDefault="00000000" w:rsidRPr="00000000" w14:paraId="0000009B">
      <w:pPr>
        <w:spacing w:after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47950" cy="3524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76825" cy="68580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Switch S2: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Tenim la IP assignada a la vlan1, i la vlan assignada al f0/1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8425" cy="36195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76825" cy="6858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Pas4: Guarda la configuració per al S1 i el S2 a la NVRAM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Quina comanda has d’utilitzar per guardar a la NVRAM l’arxiu de configuració que es troba a la RAM? Utilitza-la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S1: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76525" cy="704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S2: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76525" cy="7048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Pas5: Verifica la connectivitat de la xarxa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És molt important que tinguem connectivitat a tota la xarxa, i en cas contrari s’han de prendre mesures correctores.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 del PC1 (símbol del sistema), comprova la connectivitat al PC2, S1 i S2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PC1 a S1: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00425" cy="7143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PC1 a S2: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00425" cy="71437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PC1 a PC2: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00425" cy="7143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Repeteix els passos que has realitzat al PC1 per al PC2, S1 i S2.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PC2 a SW2: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00425" cy="75247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PC2 a SW1: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00425" cy="752475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PC2 a PC1: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00425" cy="752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Nota: Tots els paquets que s’envien al fer ping han de tenir èxit, sí el resultat del ping és del 80% o menys, s’ha de tornar a realitzar el ping per assegurar-te que funciona correctament (100%). És possible que un ping falli la primera vegada que s’executa.</w:t>
      </w:r>
      <w:r w:rsidDel="00000000" w:rsidR="00000000" w:rsidRPr="00000000">
        <w:rPr>
          <w:rtl w:val="0"/>
        </w:rPr>
      </w:r>
    </w:p>
    <w:sectPr>
      <w:headerReference r:id="rId39" w:type="default"/>
      <w:footerReference r:id="rId40" w:type="default"/>
      <w:pgSz w:h="16838" w:w="11906" w:orient="portrait"/>
      <w:pgMar w:bottom="2050" w:top="22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8.0" w:type="dxa"/>
      <w:jc w:val="left"/>
      <w:tblInd w:w="-55.0" w:type="dxa"/>
      <w:tblBorders>
        <w:top w:color="000080" w:space="0" w:sz="16" w:val="single"/>
      </w:tblBorders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C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MP02. Gestió de bases de dades</w:t>
          </w:r>
        </w:p>
      </w:tc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Ind w:w="-55.0" w:type="dxa"/>
      <w:tblBorders>
        <w:bottom w:color="000080" w:space="0" w:sz="16" w:val="single"/>
        <w:insideH w:color="000080" w:space="0" w:sz="16" w:val="single"/>
      </w:tblBorders>
      <w:tblLayout w:type="fixed"/>
      <w:tblLook w:val="0000"/>
    </w:tblPr>
    <w:tblGrid>
      <w:gridCol w:w="4312"/>
      <w:gridCol w:w="4187"/>
      <w:gridCol w:w="1139"/>
      <w:tblGridChange w:id="0">
        <w:tblGrid>
          <w:gridCol w:w="4312"/>
          <w:gridCol w:w="4187"/>
          <w:gridCol w:w="1139"/>
        </w:tblGrid>
      </w:tblGridChange>
    </w:tblGrid>
    <w:tr>
      <w:trPr>
        <w:cantSplit w:val="0"/>
        <w:tblHeader w:val="0"/>
      </w:trPr>
      <w:tc>
        <w:tcPr>
          <w:tcBorders>
            <w:bottom w:color="000080" w:space="0" w:sz="16" w:val="single"/>
          </w:tcBorders>
          <w:shd w:fill="000080" w:val="clear"/>
        </w:tcPr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UF1. Introducció a les bases de dades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NF1. Sistemes d'emmagatzemament d'informació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159385</wp:posOffset>
                </wp:positionH>
                <wp:positionV relativeFrom="paragraph">
                  <wp:posOffset>-137159</wp:posOffset>
                </wp:positionV>
                <wp:extent cx="389255" cy="390525"/>
                <wp:effectExtent b="0" l="0" r="0" t="0"/>
                <wp:wrapSquare wrapText="bothSides" distB="0" distT="0" distL="0" distR="0"/>
                <wp:docPr id="2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Rule="auto"/>
      <w:ind w:left="432" w:hanging="432"/>
    </w:pPr>
    <w:rPr>
      <w:rFonts w:ascii="Arial" w:cs="Arial" w:eastAsia="Arial" w:hAnsi="Arial"/>
      <w:b w:val="1"/>
      <w:color w:val="00008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Rule="auto"/>
      <w:ind w:left="576" w:hanging="576"/>
    </w:pPr>
    <w:rPr>
      <w:rFonts w:ascii="Arial" w:cs="Arial" w:eastAsia="Arial" w:hAnsi="Arial"/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83" w:before="283" w:lineRule="auto"/>
      <w:ind w:left="720" w:hanging="72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3.png"/><Relationship Id="rId22" Type="http://schemas.openxmlformats.org/officeDocument/2006/relationships/image" Target="media/image19.png"/><Relationship Id="rId21" Type="http://schemas.openxmlformats.org/officeDocument/2006/relationships/image" Target="media/image20.png"/><Relationship Id="rId24" Type="http://schemas.openxmlformats.org/officeDocument/2006/relationships/image" Target="media/image18.png"/><Relationship Id="rId23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5.png"/><Relationship Id="rId25" Type="http://schemas.openxmlformats.org/officeDocument/2006/relationships/image" Target="media/image23.png"/><Relationship Id="rId28" Type="http://schemas.openxmlformats.org/officeDocument/2006/relationships/image" Target="media/image1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7.png"/><Relationship Id="rId31" Type="http://schemas.openxmlformats.org/officeDocument/2006/relationships/image" Target="media/image31.png"/><Relationship Id="rId30" Type="http://schemas.openxmlformats.org/officeDocument/2006/relationships/image" Target="media/image22.png"/><Relationship Id="rId11" Type="http://schemas.openxmlformats.org/officeDocument/2006/relationships/image" Target="media/image35.png"/><Relationship Id="rId33" Type="http://schemas.openxmlformats.org/officeDocument/2006/relationships/image" Target="media/image9.png"/><Relationship Id="rId10" Type="http://schemas.openxmlformats.org/officeDocument/2006/relationships/image" Target="media/image27.png"/><Relationship Id="rId32" Type="http://schemas.openxmlformats.org/officeDocument/2006/relationships/image" Target="media/image6.png"/><Relationship Id="rId13" Type="http://schemas.openxmlformats.org/officeDocument/2006/relationships/image" Target="media/image30.png"/><Relationship Id="rId35" Type="http://schemas.openxmlformats.org/officeDocument/2006/relationships/image" Target="media/image14.png"/><Relationship Id="rId12" Type="http://schemas.openxmlformats.org/officeDocument/2006/relationships/image" Target="media/image17.png"/><Relationship Id="rId34" Type="http://schemas.openxmlformats.org/officeDocument/2006/relationships/image" Target="media/image26.png"/><Relationship Id="rId15" Type="http://schemas.openxmlformats.org/officeDocument/2006/relationships/image" Target="media/image34.png"/><Relationship Id="rId37" Type="http://schemas.openxmlformats.org/officeDocument/2006/relationships/image" Target="media/image24.png"/><Relationship Id="rId14" Type="http://schemas.openxmlformats.org/officeDocument/2006/relationships/image" Target="media/image32.png"/><Relationship Id="rId36" Type="http://schemas.openxmlformats.org/officeDocument/2006/relationships/image" Target="media/image11.png"/><Relationship Id="rId17" Type="http://schemas.openxmlformats.org/officeDocument/2006/relationships/image" Target="media/image21.png"/><Relationship Id="rId39" Type="http://schemas.openxmlformats.org/officeDocument/2006/relationships/header" Target="header1.xml"/><Relationship Id="rId16" Type="http://schemas.openxmlformats.org/officeDocument/2006/relationships/image" Target="media/image5.png"/><Relationship Id="rId38" Type="http://schemas.openxmlformats.org/officeDocument/2006/relationships/image" Target="media/image2.png"/><Relationship Id="rId19" Type="http://schemas.openxmlformats.org/officeDocument/2006/relationships/image" Target="media/image29.png"/><Relationship Id="rId18" Type="http://schemas.openxmlformats.org/officeDocument/2006/relationships/image" Target="media/image2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4">
    <vt:lpwstr>Info 4</vt:lpwstr>
  </property>
  <property fmtid="{D5CDD505-2E9C-101B-9397-08002B2CF9AE}" pid="4" name="Info 3">
    <vt:lpwstr>Info 3</vt:lpwstr>
  </property>
  <property fmtid="{D5CDD505-2E9C-101B-9397-08002B2CF9AE}" pid="5" name="Info 2">
    <vt:lpwstr>Info 2</vt:lpwstr>
  </property>
</Properties>
</file>