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center"/>
      </w:pPr>
      <w:r>
        <w:rPr>
          <w:rFonts w:ascii="Times New Roman" w:hAnsi="Times New Roman"/>
          <w:b/>
          <w:sz w:val="30"/>
        </w:rPr>
        <w:t>UNIVERSIDAD MAYOR DE SAN ANDRÉS</w:t>
      </w:r>
    </w:p>
    <w:p>
      <w:pPr>
        <w:spacing w:line="240" w:lineRule="auto" w:before="0" w:after="0"/>
        <w:ind w:firstLine="0"/>
        <w:jc w:val="center"/>
      </w:pPr>
      <w:r>
        <w:rPr>
          <w:rFonts w:ascii="Times New Roman" w:hAnsi="Times New Roman"/>
          <w:b/>
          <w:sz w:val="26"/>
        </w:rPr>
        <w:t>FACULTAD DE CIENCIAS PURAS Y NATURALES</w:t>
      </w:r>
    </w:p>
    <w:p>
      <w:pPr>
        <w:spacing w:line="240" w:lineRule="auto" w:before="0" w:after="100"/>
        <w:ind w:firstLine="0"/>
        <w:jc w:val="center"/>
      </w:pPr>
      <w:r>
        <w:rPr>
          <w:rFonts w:ascii="Times New Roman" w:hAnsi="Times New Roman"/>
          <w:b/>
          <w:sz w:val="26"/>
        </w:rPr>
        <w:t>CARRERA DE INFORMÁTICA</w:t>
      </w:r>
    </w:p>
    <w:p>
      <w:pPr>
        <w:spacing w:line="240" w:lineRule="auto" w:before="0" w:after="80"/>
        <w:ind w:firstLine="0"/>
        <w:jc w:val="center"/>
      </w:pPr>
      <w:r>
        <w:drawing>
          <wp:inline xmlns:a="http://schemas.openxmlformats.org/drawingml/2006/main" xmlns:pic="http://schemas.openxmlformats.org/drawingml/2006/picture">
            <wp:extent cx="1463040" cy="260096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463040" cy="2600960"/>
                    </a:xfrm>
                    <a:prstGeom prst="rect"/>
                  </pic:spPr>
                </pic:pic>
              </a:graphicData>
            </a:graphic>
          </wp:inline>
        </w:drawing>
      </w:r>
    </w:p>
    <w:p>
      <w:pPr>
        <w:spacing w:line="240" w:lineRule="auto" w:before="0" w:after="160"/>
        <w:ind w:firstLine="0"/>
        <w:jc w:val="center"/>
      </w:pPr>
      <w:r>
        <w:rPr>
          <w:rFonts w:ascii="Times New Roman" w:hAnsi="Times New Roman"/>
          <w:b/>
          <w:sz w:val="26"/>
        </w:rPr>
        <w:t>PROYECTO DE GRADO</w:t>
      </w:r>
    </w:p>
    <w:p>
      <w:pPr>
        <w:spacing w:line="240" w:lineRule="auto" w:before="0" w:after="60"/>
        <w:ind w:firstLine="0"/>
        <w:jc w:val="center"/>
      </w:pPr>
      <w:r>
        <w:rPr>
          <w:rFonts w:ascii="Times New Roman" w:hAnsi="Times New Roman"/>
          <w:b/>
          <w:sz w:val="28"/>
        </w:rPr>
        <w:t>SISTEMA DE TRAZABILIDAD DE MATERIAL VEGETAL PARA REFORESTACIÓN</w:t>
      </w:r>
    </w:p>
    <w:p>
      <w:pPr>
        <w:spacing w:line="240" w:lineRule="auto" w:before="0" w:after="200"/>
        <w:ind w:firstLine="0"/>
        <w:jc w:val="center"/>
      </w:pPr>
      <w:r>
        <w:rPr>
          <w:rFonts w:ascii="Times New Roman" w:hAnsi="Times New Roman"/>
          <w:b/>
          <w:sz w:val="26"/>
        </w:rPr>
        <w:t>CASO: R3FORESTA</w:t>
      </w:r>
    </w:p>
    <w:p>
      <w:pPr>
        <w:spacing w:line="240" w:lineRule="auto" w:before="0" w:after="0"/>
        <w:ind w:firstLine="0"/>
        <w:jc w:val="center"/>
      </w:pPr>
      <w:r>
        <w:rPr>
          <w:rFonts w:ascii="Times New Roman" w:hAnsi="Times New Roman"/>
          <w:b w:val="0"/>
          <w:sz w:val="22"/>
        </w:rPr>
        <w:t>Proyecto de Grado para obtener el Título de Licenciatura en Informática</w:t>
      </w:r>
    </w:p>
    <w:p>
      <w:pPr>
        <w:spacing w:line="240" w:lineRule="auto" w:before="0" w:after="280"/>
        <w:ind w:firstLine="0"/>
        <w:jc w:val="center"/>
      </w:pPr>
      <w:r>
        <w:rPr>
          <w:rFonts w:ascii="Times New Roman" w:hAnsi="Times New Roman"/>
          <w:b w:val="0"/>
          <w:sz w:val="22"/>
        </w:rPr>
        <w:t>Mención Ingeniería de Sistemas Informáticos</w:t>
      </w:r>
    </w:p>
    <w:p>
      <w:pPr>
        <w:spacing w:line="240" w:lineRule="auto" w:before="0" w:after="80"/>
        <w:ind w:firstLine="0"/>
        <w:jc w:val="center"/>
      </w:pPr>
      <w:r>
        <w:rPr>
          <w:rFonts w:ascii="Times New Roman" w:hAnsi="Times New Roman"/>
          <w:b/>
          <w:sz w:val="24"/>
        </w:rPr>
        <w:t>POR: PABLO ANDRES FERNANDEZ CARI</w:t>
      </w:r>
    </w:p>
    <w:p>
      <w:pPr>
        <w:spacing w:line="240" w:lineRule="auto" w:before="0" w:after="360"/>
        <w:ind w:firstLine="0"/>
        <w:jc w:val="center"/>
      </w:pPr>
      <w:r>
        <w:rPr>
          <w:rFonts w:ascii="Times New Roman" w:hAnsi="Times New Roman"/>
          <w:b/>
          <w:sz w:val="24"/>
        </w:rPr>
        <w:t>TUTORA: Ph. D. MARISOL TÉLLEZ RAMÍREZ</w:t>
      </w:r>
    </w:p>
    <w:p>
      <w:pPr>
        <w:spacing w:line="240" w:lineRule="auto" w:before="0" w:after="0"/>
        <w:ind w:firstLine="0"/>
        <w:jc w:val="center"/>
      </w:pPr>
      <w:r>
        <w:rPr>
          <w:rFonts w:ascii="Times New Roman" w:hAnsi="Times New Roman"/>
          <w:b/>
          <w:sz w:val="24"/>
        </w:rPr>
        <w:t>LA PAZ – BOLIVIA</w:t>
      </w:r>
    </w:p>
    <w:p>
      <w:pPr>
        <w:spacing w:line="240" w:lineRule="auto" w:before="0" w:after="0"/>
        <w:ind w:firstLine="0"/>
        <w:jc w:val="center"/>
      </w:pPr>
      <w:r>
        <w:rPr>
          <w:rFonts w:ascii="Times New Roman" w:hAnsi="Times New Roman"/>
          <w:b/>
          <w:sz w:val="24"/>
        </w:rPr>
        <w:t>Agosto, 2026</w:t>
      </w:r>
    </w:p>
    <w:p>
      <w:pPr>
        <w:sectPr>
          <w:pgSz w:w="12240" w:h="15840"/>
          <w:pgMar w:top="1701" w:right="1701" w:bottom="1701" w:left="2268" w:header="720" w:footer="720" w:gutter="0"/>
          <w:cols w:space="720"/>
          <w:docGrid w:linePitch="360"/>
        </w:sectPr>
      </w:pPr>
    </w:p>
    <w:p>
      <w:pPr>
        <w:spacing w:after="200"/>
        <w:ind w:firstLine="0"/>
        <w:jc w:val="center"/>
      </w:pPr>
      <w:r>
        <w:rPr>
          <w:rFonts w:ascii="Times New Roman" w:hAnsi="Times New Roman"/>
          <w:b/>
          <w:sz w:val="28"/>
        </w:rPr>
        <w:t>Resumen</w:t>
      </w:r>
    </w:p>
    <w:p>
      <w:pPr>
        <w:spacing w:after="120"/>
      </w:pPr>
      <w:r>
        <w:rPr>
          <w:rFonts w:ascii="Times New Roman" w:hAnsi="Times New Roman"/>
          <w:sz w:val="24"/>
        </w:rPr>
        <w:t>R3Foresta es una organización que desarrolla actividades de reforestación con la participación de comunidades, voluntarios y empresas patrocinadoras. En estas actividades, las semillas recolectadas atraviesan procesos de vivero hasta convertirse en plantas destinadas a la plantación. En la práctica actual, fotografías, mensajes, publicaciones en redes sociales, cuadernos y otros registros documentan parcialmente estos procesos, pero la información no se conserva bajo una estructura común que permita relacionar procedencia, cantidades, responsables, ubicaciones y evidencias entre las diferentes etapas. Esta fragmentación dificulta reconstruir el recorrido de las semillas y plantas y presentar información consistente a los actores interesados.</w:t>
      </w:r>
    </w:p>
    <w:p>
      <w:pPr>
        <w:spacing w:after="120"/>
      </w:pPr>
      <w:r>
        <w:rPr>
          <w:rFonts w:ascii="Times New Roman" w:hAnsi="Times New Roman"/>
          <w:sz w:val="24"/>
        </w:rPr>
        <w:t>El proyecto tiene como objetivo desarrollar y evaluar un sistema de trazabilidad que registre los eventos ocurridos desde el origen o ingreso del material vegetal al proceso hasta el registro de su plantación. La solución articulará los módulos de Recolección, Vivero y Plantación, conservará las relaciones entre sus registros y permitirá reconstruir el recorrido con información y evidencia contrastable.</w:t>
      </w:r>
    </w:p>
    <w:p>
      <w:pPr>
        <w:spacing w:after="120"/>
      </w:pPr>
      <w:r>
        <w:rPr>
          <w:rFonts w:ascii="Times New Roman" w:hAnsi="Times New Roman"/>
          <w:sz w:val="24"/>
        </w:rPr>
        <w:t>La investigación será aplicada y tecnológica: construirá el sistema y evaluará su funcionamiento en el caso de R3Foresta. El desarrollo seguirá un proceso iterativo e incremental de agosto a noviembre de 2026. La evaluación combinará la verificación técnica de los requerimientos y reglas de consistencia, la reconstrucción de trazas, la comparación con la práctica actual y un piloto cuya cobertura dependerá de las operaciones y participantes disponibles. Se analizarán la información recuperable, la coherencia de cantidades y saldos, el tiempo de reconstrucción y la carga de registro. El alcance concluye con el registro de la plantación; el sistema no realiza monitoreo posterior ni certifica plantaciones, supervivencia, captura de carbono o créditos de carbono.</w:t>
      </w:r>
    </w:p>
    <w:p>
      <w:pPr>
        <w:spacing w:after="120"/>
        <w:ind w:firstLine="0"/>
      </w:pPr>
      <w:r>
        <w:rPr>
          <w:rFonts w:ascii="Times New Roman" w:hAnsi="Times New Roman"/>
          <w:b/>
          <w:sz w:val="24"/>
        </w:rPr>
        <w:t>Palabras clave:</w:t>
      </w:r>
      <w:r>
        <w:rPr>
          <w:rFonts w:ascii="Times New Roman" w:hAnsi="Times New Roman"/>
          <w:sz w:val="24"/>
        </w:rPr>
        <w:t xml:space="preserve"> trazabilidad, cadena de custodia, material vegetal, reforestación, eventos, integridad de datos, R3Foresta.</w:t>
      </w:r>
    </w:p>
    <w:p>
      <w:pPr>
        <w:pageBreakBefore/>
        <w:spacing w:after="200"/>
        <w:ind w:firstLine="0"/>
        <w:jc w:val="center"/>
      </w:pPr>
      <w:r>
        <w:rPr>
          <w:rFonts w:ascii="Times New Roman" w:hAnsi="Times New Roman"/>
          <w:b/>
          <w:sz w:val="28"/>
        </w:rPr>
        <w:t>Índice general</w:t>
      </w:r>
    </w:p>
    <w:p>
      <w:pPr>
        <w:tabs>
          <w:tab w:pos="8107" w:val="right" w:leader="dot"/>
        </w:tabs>
        <w:spacing w:after="60" w:line="276" w:lineRule="auto"/>
        <w:ind w:firstLine="0" w:left="0"/>
      </w:pPr>
      <w:r>
        <w:rPr>
          <w:rFonts w:ascii="Times New Roman" w:hAnsi="Times New Roman"/>
          <w:sz w:val="22"/>
        </w:rPr>
        <w:t>1. Introducción</w:t>
      </w:r>
      <w:r>
        <w:tab/>
      </w:r>
      <w:r>
        <w:rPr>
          <w:rFonts w:ascii="Times New Roman" w:hAnsi="Times New Roman"/>
          <w:sz w:val="22"/>
        </w:rPr>
        <w:t>1</w:t>
      </w:r>
    </w:p>
    <w:p>
      <w:pPr>
        <w:tabs>
          <w:tab w:pos="8107" w:val="right" w:leader="dot"/>
        </w:tabs>
        <w:spacing w:after="60" w:line="276" w:lineRule="auto"/>
        <w:ind w:firstLine="0" w:left="0"/>
      </w:pPr>
      <w:r>
        <w:rPr>
          <w:rFonts w:ascii="Times New Roman" w:hAnsi="Times New Roman"/>
          <w:sz w:val="22"/>
        </w:rPr>
        <w:t>2. Antecedentes</w:t>
      </w:r>
      <w:r>
        <w:tab/>
      </w:r>
      <w:r>
        <w:rPr>
          <w:rFonts w:ascii="Times New Roman" w:hAnsi="Times New Roman"/>
          <w:sz w:val="22"/>
        </w:rPr>
        <w:t>3</w:t>
      </w:r>
    </w:p>
    <w:p>
      <w:pPr>
        <w:tabs>
          <w:tab w:pos="8107" w:val="right" w:leader="dot"/>
        </w:tabs>
        <w:spacing w:after="60" w:line="276" w:lineRule="auto"/>
        <w:ind w:firstLine="0" w:left="0"/>
      </w:pPr>
      <w:r>
        <w:rPr>
          <w:rFonts w:ascii="Times New Roman" w:hAnsi="Times New Roman"/>
          <w:sz w:val="22"/>
        </w:rPr>
        <w:t>3. Planteamiento del problema</w:t>
      </w:r>
      <w:r>
        <w:tab/>
      </w:r>
      <w:r>
        <w:rPr>
          <w:rFonts w:ascii="Times New Roman" w:hAnsi="Times New Roman"/>
          <w:sz w:val="22"/>
        </w:rPr>
        <w:t>6</w:t>
      </w:r>
    </w:p>
    <w:p>
      <w:pPr>
        <w:tabs>
          <w:tab w:pos="8107" w:val="right" w:leader="dot"/>
        </w:tabs>
        <w:spacing w:after="60" w:line="276" w:lineRule="auto"/>
        <w:ind w:firstLine="0" w:left="0"/>
      </w:pPr>
      <w:r>
        <w:rPr>
          <w:rFonts w:ascii="Times New Roman" w:hAnsi="Times New Roman"/>
          <w:sz w:val="22"/>
        </w:rPr>
        <w:t>4. Objetivos</w:t>
      </w:r>
      <w:r>
        <w:tab/>
      </w:r>
      <w:r>
        <w:rPr>
          <w:rFonts w:ascii="Times New Roman" w:hAnsi="Times New Roman"/>
          <w:sz w:val="22"/>
        </w:rPr>
        <w:t>10</w:t>
      </w:r>
    </w:p>
    <w:p>
      <w:pPr>
        <w:tabs>
          <w:tab w:pos="8107" w:val="right" w:leader="dot"/>
        </w:tabs>
        <w:spacing w:after="60" w:line="276" w:lineRule="auto"/>
        <w:ind w:firstLine="0" w:left="0"/>
      </w:pPr>
      <w:r>
        <w:rPr>
          <w:rFonts w:ascii="Times New Roman" w:hAnsi="Times New Roman"/>
          <w:sz w:val="22"/>
        </w:rPr>
        <w:t>5. Justificación</w:t>
      </w:r>
      <w:r>
        <w:tab/>
      </w:r>
      <w:r>
        <w:rPr>
          <w:rFonts w:ascii="Times New Roman" w:hAnsi="Times New Roman"/>
          <w:sz w:val="22"/>
        </w:rPr>
        <w:t>11</w:t>
      </w:r>
    </w:p>
    <w:p>
      <w:pPr>
        <w:tabs>
          <w:tab w:pos="8107" w:val="right" w:leader="dot"/>
        </w:tabs>
        <w:spacing w:after="60" w:line="276" w:lineRule="auto"/>
        <w:ind w:firstLine="0" w:left="0"/>
      </w:pPr>
      <w:r>
        <w:rPr>
          <w:rFonts w:ascii="Times New Roman" w:hAnsi="Times New Roman"/>
          <w:sz w:val="22"/>
        </w:rPr>
        <w:t>6. Alcances y límites</w:t>
      </w:r>
      <w:r>
        <w:tab/>
      </w:r>
      <w:r>
        <w:rPr>
          <w:rFonts w:ascii="Times New Roman" w:hAnsi="Times New Roman"/>
          <w:sz w:val="22"/>
        </w:rPr>
        <w:t>13</w:t>
      </w:r>
    </w:p>
    <w:p>
      <w:pPr>
        <w:tabs>
          <w:tab w:pos="8107" w:val="right" w:leader="dot"/>
        </w:tabs>
        <w:spacing w:after="60" w:line="276" w:lineRule="auto"/>
        <w:ind w:firstLine="0" w:left="0"/>
      </w:pPr>
      <w:r>
        <w:rPr>
          <w:rFonts w:ascii="Times New Roman" w:hAnsi="Times New Roman"/>
          <w:sz w:val="22"/>
        </w:rPr>
        <w:t>7. Marco teórico preliminar</w:t>
      </w:r>
      <w:r>
        <w:tab/>
      </w:r>
      <w:r>
        <w:rPr>
          <w:rFonts w:ascii="Times New Roman" w:hAnsi="Times New Roman"/>
          <w:sz w:val="22"/>
        </w:rPr>
        <w:t>17</w:t>
      </w:r>
    </w:p>
    <w:p>
      <w:pPr>
        <w:tabs>
          <w:tab w:pos="8107" w:val="right" w:leader="dot"/>
        </w:tabs>
        <w:spacing w:after="60" w:line="276" w:lineRule="auto"/>
        <w:ind w:firstLine="0" w:left="0"/>
      </w:pPr>
      <w:r>
        <w:rPr>
          <w:rFonts w:ascii="Times New Roman" w:hAnsi="Times New Roman"/>
          <w:sz w:val="22"/>
        </w:rPr>
        <w:t>8. Marco metodológico</w:t>
      </w:r>
      <w:r>
        <w:tab/>
      </w:r>
      <w:r>
        <w:rPr>
          <w:rFonts w:ascii="Times New Roman" w:hAnsi="Times New Roman"/>
          <w:sz w:val="22"/>
        </w:rPr>
        <w:t>20</w:t>
      </w:r>
    </w:p>
    <w:p>
      <w:pPr>
        <w:tabs>
          <w:tab w:pos="8107" w:val="right" w:leader="dot"/>
        </w:tabs>
        <w:spacing w:after="60" w:line="276" w:lineRule="auto"/>
        <w:ind w:firstLine="0" w:left="0"/>
      </w:pPr>
      <w:r>
        <w:rPr>
          <w:rFonts w:ascii="Times New Roman" w:hAnsi="Times New Roman"/>
          <w:sz w:val="22"/>
        </w:rPr>
        <w:t>9. Propuesta de solución y aporte de ingeniería</w:t>
      </w:r>
      <w:r>
        <w:tab/>
      </w:r>
      <w:r>
        <w:rPr>
          <w:rFonts w:ascii="Times New Roman" w:hAnsi="Times New Roman"/>
          <w:sz w:val="22"/>
        </w:rPr>
        <w:t>24</w:t>
      </w:r>
    </w:p>
    <w:p>
      <w:pPr>
        <w:tabs>
          <w:tab w:pos="8107" w:val="right" w:leader="dot"/>
        </w:tabs>
        <w:spacing w:after="60" w:line="276" w:lineRule="auto"/>
        <w:ind w:firstLine="0" w:left="0"/>
      </w:pPr>
      <w:r>
        <w:rPr>
          <w:rFonts w:ascii="Times New Roman" w:hAnsi="Times New Roman"/>
          <w:sz w:val="22"/>
        </w:rPr>
        <w:t>10. Temario tentativo del documento final</w:t>
      </w:r>
      <w:r>
        <w:tab/>
      </w:r>
      <w:r>
        <w:rPr>
          <w:rFonts w:ascii="Times New Roman" w:hAnsi="Times New Roman"/>
          <w:sz w:val="22"/>
        </w:rPr>
        <w:t>27</w:t>
      </w:r>
    </w:p>
    <w:p>
      <w:pPr>
        <w:tabs>
          <w:tab w:pos="8107" w:val="right" w:leader="dot"/>
        </w:tabs>
        <w:spacing w:after="60" w:line="276" w:lineRule="auto"/>
        <w:ind w:firstLine="0" w:left="0"/>
      </w:pPr>
      <w:r>
        <w:rPr>
          <w:rFonts w:ascii="Times New Roman" w:hAnsi="Times New Roman"/>
          <w:sz w:val="22"/>
        </w:rPr>
        <w:t>11. Cronograma de actividades</w:t>
      </w:r>
      <w:r>
        <w:tab/>
      </w:r>
      <w:r>
        <w:rPr>
          <w:rFonts w:ascii="Times New Roman" w:hAnsi="Times New Roman"/>
          <w:sz w:val="22"/>
        </w:rPr>
        <w:t>29</w:t>
      </w:r>
    </w:p>
    <w:p>
      <w:pPr>
        <w:tabs>
          <w:tab w:pos="8107" w:val="right" w:leader="dot"/>
        </w:tabs>
        <w:spacing w:after="60" w:line="276" w:lineRule="auto"/>
        <w:ind w:firstLine="0" w:left="0"/>
      </w:pPr>
      <w:r>
        <w:rPr>
          <w:rFonts w:ascii="Times New Roman" w:hAnsi="Times New Roman"/>
          <w:sz w:val="22"/>
        </w:rPr>
        <w:t>12. Recursos y presupuesto</w:t>
      </w:r>
      <w:r>
        <w:tab/>
      </w:r>
      <w:r>
        <w:rPr>
          <w:rFonts w:ascii="Times New Roman" w:hAnsi="Times New Roman"/>
          <w:sz w:val="22"/>
        </w:rPr>
        <w:t>31</w:t>
      </w:r>
    </w:p>
    <w:p>
      <w:pPr>
        <w:tabs>
          <w:tab w:pos="8107" w:val="right" w:leader="dot"/>
        </w:tabs>
        <w:spacing w:after="60" w:line="276" w:lineRule="auto"/>
        <w:ind w:firstLine="0" w:left="0"/>
      </w:pPr>
      <w:r>
        <w:rPr>
          <w:rFonts w:ascii="Times New Roman" w:hAnsi="Times New Roman"/>
          <w:sz w:val="22"/>
        </w:rPr>
        <w:t>13. Referencias bibliográficas</w:t>
      </w:r>
      <w:r>
        <w:tab/>
      </w:r>
      <w:r>
        <w:rPr>
          <w:rFonts w:ascii="Times New Roman" w:hAnsi="Times New Roman"/>
          <w:sz w:val="22"/>
        </w:rPr>
        <w:t>33</w:t>
      </w:r>
    </w:p>
    <w:p>
      <w:pPr>
        <w:tabs>
          <w:tab w:pos="8107" w:val="right" w:leader="dot"/>
        </w:tabs>
        <w:spacing w:after="60" w:line="276" w:lineRule="auto"/>
        <w:ind w:firstLine="0" w:left="0"/>
      </w:pPr>
      <w:r>
        <w:rPr>
          <w:rFonts w:ascii="Times New Roman" w:hAnsi="Times New Roman"/>
          <w:sz w:val="22"/>
        </w:rPr>
        <w:t>Anexos previstos para el documento final</w:t>
      </w:r>
      <w:r>
        <w:tab/>
      </w:r>
      <w:r>
        <w:rPr>
          <w:rFonts w:ascii="Times New Roman" w:hAnsi="Times New Roman"/>
          <w:sz w:val="22"/>
        </w:rPr>
        <w:t>37</w:t>
      </w:r>
    </w:p>
    <w:p>
      <w:pPr>
        <w:pageBreakBefore/>
        <w:spacing w:after="200"/>
        <w:ind w:firstLine="0"/>
        <w:jc w:val="center"/>
      </w:pPr>
      <w:r>
        <w:rPr>
          <w:rFonts w:ascii="Times New Roman" w:hAnsi="Times New Roman"/>
          <w:b/>
          <w:sz w:val="28"/>
        </w:rPr>
        <w:t>Índice de tablas</w:t>
      </w:r>
    </w:p>
    <w:p>
      <w:pPr>
        <w:tabs>
          <w:tab w:pos="8107" w:val="right" w:leader="dot"/>
        </w:tabs>
        <w:spacing w:after="60" w:line="276" w:lineRule="auto"/>
        <w:ind w:firstLine="0" w:left="0"/>
      </w:pPr>
      <w:r>
        <w:rPr>
          <w:rFonts w:ascii="Times New Roman" w:hAnsi="Times New Roman"/>
          <w:sz w:val="22"/>
        </w:rPr>
        <w:t>Tabla 1. Aspectos previstos para la evaluación.</w:t>
      </w:r>
      <w:r>
        <w:tab/>
      </w:r>
      <w:r>
        <w:rPr>
          <w:rFonts w:ascii="Times New Roman" w:hAnsi="Times New Roman"/>
          <w:sz w:val="22"/>
        </w:rPr>
        <w:t>14</w:t>
      </w:r>
    </w:p>
    <w:p>
      <w:pPr>
        <w:tabs>
          <w:tab w:pos="8107" w:val="right" w:leader="dot"/>
        </w:tabs>
        <w:spacing w:after="60" w:line="276" w:lineRule="auto"/>
        <w:ind w:firstLine="0" w:left="0"/>
      </w:pPr>
      <w:r>
        <w:rPr>
          <w:rFonts w:ascii="Times New Roman" w:hAnsi="Times New Roman"/>
          <w:sz w:val="22"/>
        </w:rPr>
        <w:t>Tabla 2. Métricas e instrumentos de evaluación.</w:t>
      </w:r>
      <w:r>
        <w:tab/>
      </w:r>
      <w:r>
        <w:rPr>
          <w:rFonts w:ascii="Times New Roman" w:hAnsi="Times New Roman"/>
          <w:sz w:val="22"/>
        </w:rPr>
        <w:t>22</w:t>
      </w:r>
    </w:p>
    <w:p>
      <w:pPr>
        <w:tabs>
          <w:tab w:pos="8107" w:val="right" w:leader="dot"/>
        </w:tabs>
        <w:spacing w:after="60" w:line="276" w:lineRule="auto"/>
        <w:ind w:firstLine="0" w:left="0"/>
      </w:pPr>
      <w:r>
        <w:rPr>
          <w:rFonts w:ascii="Times New Roman" w:hAnsi="Times New Roman"/>
          <w:sz w:val="22"/>
        </w:rPr>
        <w:t>Tabla 3. Correspondencia entre objetivos y resultados.</w:t>
      </w:r>
      <w:r>
        <w:tab/>
      </w:r>
      <w:r>
        <w:rPr>
          <w:rFonts w:ascii="Times New Roman" w:hAnsi="Times New Roman"/>
          <w:sz w:val="22"/>
        </w:rPr>
        <w:t>28</w:t>
      </w:r>
    </w:p>
    <w:p>
      <w:pPr>
        <w:tabs>
          <w:tab w:pos="8107" w:val="right" w:leader="dot"/>
        </w:tabs>
        <w:spacing w:after="60" w:line="276" w:lineRule="auto"/>
        <w:ind w:firstLine="0" w:left="0"/>
      </w:pPr>
      <w:r>
        <w:rPr>
          <w:rFonts w:ascii="Times New Roman" w:hAnsi="Times New Roman"/>
          <w:sz w:val="22"/>
        </w:rPr>
        <w:t>Tabla 4. Cronograma resumido.</w:t>
      </w:r>
      <w:r>
        <w:tab/>
      </w:r>
      <w:r>
        <w:rPr>
          <w:rFonts w:ascii="Times New Roman" w:hAnsi="Times New Roman"/>
          <w:sz w:val="22"/>
        </w:rPr>
        <w:t>29</w:t>
      </w:r>
    </w:p>
    <w:p>
      <w:pPr>
        <w:tabs>
          <w:tab w:pos="8107" w:val="right" w:leader="dot"/>
        </w:tabs>
        <w:spacing w:after="60" w:line="276" w:lineRule="auto"/>
        <w:ind w:firstLine="0" w:left="0"/>
      </w:pPr>
      <w:r>
        <w:rPr>
          <w:rFonts w:ascii="Times New Roman" w:hAnsi="Times New Roman"/>
          <w:sz w:val="22"/>
        </w:rPr>
        <w:t>Tabla 5. Presupuesto monetario previsto.</w:t>
      </w:r>
      <w:r>
        <w:tab/>
      </w:r>
      <w:r>
        <w:rPr>
          <w:rFonts w:ascii="Times New Roman" w:hAnsi="Times New Roman"/>
          <w:sz w:val="22"/>
        </w:rPr>
        <w:t>31</w:t>
      </w:r>
    </w:p>
    <w:p>
      <w:pPr>
        <w:spacing w:before="320" w:after="200"/>
        <w:ind w:firstLine="0"/>
        <w:jc w:val="center"/>
      </w:pPr>
      <w:r>
        <w:rPr>
          <w:rFonts w:ascii="Times New Roman" w:hAnsi="Times New Roman"/>
          <w:b/>
          <w:sz w:val="28"/>
        </w:rPr>
        <w:t>Índice de figuras</w:t>
      </w:r>
    </w:p>
    <w:p>
      <w:pPr>
        <w:tabs>
          <w:tab w:pos="8107" w:val="right" w:leader="dot"/>
        </w:tabs>
        <w:spacing w:after="60" w:line="276" w:lineRule="auto"/>
        <w:ind w:firstLine="0" w:left="0"/>
      </w:pPr>
      <w:r>
        <w:rPr>
          <w:rFonts w:ascii="Times New Roman" w:hAnsi="Times New Roman"/>
          <w:sz w:val="22"/>
        </w:rPr>
        <w:t>Figura 1. Árbol de causas y efectos.</w:t>
      </w:r>
      <w:r>
        <w:tab/>
      </w:r>
      <w:r>
        <w:rPr>
          <w:rFonts w:ascii="Times New Roman" w:hAnsi="Times New Roman"/>
          <w:sz w:val="22"/>
        </w:rPr>
        <w:t>8</w:t>
      </w:r>
    </w:p>
    <w:p>
      <w:pPr>
        <w:tabs>
          <w:tab w:pos="8107" w:val="right" w:leader="dot"/>
        </w:tabs>
        <w:spacing w:after="60" w:line="276" w:lineRule="auto"/>
        <w:ind w:firstLine="0" w:left="0"/>
      </w:pPr>
      <w:r>
        <w:rPr>
          <w:rFonts w:ascii="Times New Roman" w:hAnsi="Times New Roman"/>
          <w:sz w:val="22"/>
        </w:rPr>
        <w:t>Figura 2. Recorrido principal del material vegetal.</w:t>
      </w:r>
      <w:r>
        <w:tab/>
      </w:r>
      <w:r>
        <w:rPr>
          <w:rFonts w:ascii="Times New Roman" w:hAnsi="Times New Roman"/>
          <w:sz w:val="22"/>
        </w:rPr>
        <w:t>24</w:t>
      </w:r>
    </w:p>
    <w:p>
      <w:pPr>
        <w:tabs>
          <w:tab w:pos="8107" w:val="right" w:leader="dot"/>
        </w:tabs>
        <w:spacing w:after="60" w:line="276" w:lineRule="auto"/>
        <w:ind w:firstLine="0" w:left="0"/>
      </w:pPr>
      <w:r>
        <w:rPr>
          <w:rFonts w:ascii="Times New Roman" w:hAnsi="Times New Roman"/>
          <w:sz w:val="22"/>
        </w:rPr>
        <w:t>Figura 3. Relación entre eventos, reglas de consistencia y reconstrucción.</w:t>
      </w:r>
      <w:r>
        <w:tab/>
      </w:r>
      <w:r>
        <w:rPr>
          <w:rFonts w:ascii="Times New Roman" w:hAnsi="Times New Roman"/>
          <w:sz w:val="22"/>
        </w:rPr>
        <w:t>25</w:t>
      </w:r>
    </w:p>
    <w:p>
      <w:pPr>
        <w:tabs>
          <w:tab w:pos="8107" w:val="right" w:leader="dot"/>
        </w:tabs>
        <w:spacing w:after="60" w:line="276" w:lineRule="auto"/>
        <w:ind w:firstLine="0" w:left="0"/>
      </w:pPr>
      <w:r>
        <w:rPr>
          <w:rFonts w:ascii="Times New Roman" w:hAnsi="Times New Roman"/>
          <w:sz w:val="22"/>
        </w:rPr>
        <w:t>Figura 4. Diagrama de Gantt, agosto–noviembre de 2026.</w:t>
      </w:r>
      <w:r>
        <w:tab/>
      </w:r>
      <w:r>
        <w:rPr>
          <w:rFonts w:ascii="Times New Roman" w:hAnsi="Times New Roman"/>
          <w:sz w:val="22"/>
        </w:rPr>
        <w:t>30</w:t>
      </w:r>
    </w:p>
    <w:p>
      <w:pPr>
        <w:sectPr>
          <w:headerReference w:type="default" r:id="rId10"/>
          <w:footerReference w:type="default" r:id="rId11"/>
          <w:pgSz w:w="12240" w:h="15840"/>
          <w:pgMar w:top="1701" w:right="1701" w:bottom="1701" w:left="2268" w:header="720" w:footer="720" w:gutter="0"/>
          <w:cols w:space="720"/>
          <w:docGrid w:linePitch="360"/>
          <w:pgNumType w:fmt="lowerRoman" w:start="1"/>
        </w:sectPr>
      </w:pPr>
    </w:p>
    <w:p>
      <w:pPr>
        <w:pStyle w:val="Heading1"/>
        <w:pageBreakBefore w:val="0"/>
      </w:pPr>
      <w:r>
        <w:rPr>
          <w:rFonts w:ascii="Times New Roman" w:hAnsi="Times New Roman"/>
          <w:sz w:val="28"/>
        </w:rPr>
        <w:t>1. Introducción</w:t>
      </w:r>
    </w:p>
    <w:p>
      <w:r>
        <w:rPr>
          <w:rFonts w:ascii="Times New Roman" w:hAnsi="Times New Roman"/>
          <w:sz w:val="24"/>
        </w:rPr>
        <w:t xml:space="preserve">La reforestación comprende un conjunto de etapas sucesivas en las que las semillas, hasta convertirse en plantas, pasan por distintos procesos, ubicaciones y responsables antes de llegar a su plantación. En este recorrido, el material es recolectado, germinado, trasladado por diferentes actores y posteriormente destinado a ser plantado. Cada etapa genera información relacionada con su procedencia, cantidades, responsables, tiempos, ubicaciones y evidencias, cuya continuidad permite conocer cómo el material vegetal avanza a través del proceso. En adelante, se utilizará </w:t>
      </w:r>
      <w:r>
        <w:rPr>
          <w:rFonts w:ascii="Times New Roman" w:hAnsi="Times New Roman"/>
          <w:i/>
          <w:sz w:val="24"/>
        </w:rPr>
        <w:t>material vegetal</w:t>
      </w:r>
      <w:r>
        <w:rPr>
          <w:rFonts w:ascii="Times New Roman" w:hAnsi="Times New Roman"/>
          <w:sz w:val="24"/>
        </w:rPr>
        <w:t xml:space="preserve"> como denominación general para las semillas, plantas y demás unidades de propagación comprendidas en estas etapas.</w:t>
      </w:r>
    </w:p>
    <w:p>
      <w:r>
        <w:rPr>
          <w:rFonts w:ascii="Times New Roman" w:hAnsi="Times New Roman"/>
          <w:sz w:val="24"/>
        </w:rPr>
        <w:t>La necesidad de mantener esta continuidad de información da lugar al concepto de trazabilidad. Esta no consiste únicamente en almacenar inventarios, registros o fotografías de forma aislada, sino en conservar la información y las relaciones necesarias para reconstruir el recorrido de un elemento a través de las distintas etapas de una cadena. Olsen y Borit (2013) la relacionan con la capacidad de acceder a información sobre un objeto a lo largo de su ciclo de vida.</w:t>
      </w:r>
    </w:p>
    <w:p>
      <w:r>
        <w:rPr>
          <w:rFonts w:ascii="Times New Roman" w:hAnsi="Times New Roman"/>
          <w:sz w:val="24"/>
        </w:rPr>
        <w:t>Asimismo, en una cadena de custodia deben registrarse los movimientos y cambios bajo reglas explícitas; sin embargo, la existencia de un sistema no verifica por sí sola la veracidad de las declaraciones realizadas por sus usuarios (International Organization for Standardization [ISO], 2020). Por esta razón, el presente trabajo plantea una trazabilidad reconstruible mediante evidencia contrastable, sin pretender constituirse en una certificación independiente.</w:t>
      </w:r>
    </w:p>
    <w:p>
      <w:r>
        <w:rPr>
          <w:rFonts w:ascii="Times New Roman" w:hAnsi="Times New Roman"/>
          <w:sz w:val="24"/>
        </w:rPr>
        <w:t>La práctica actual de R3Foresta conserva información y evidencias de sus actividades mediante fotografías, redes sociales, servicios de mensajería, cuadernos y el conocimiento de los responsables. Sin embargo, estos registros se encuentran dispersos y no necesariamente comparten identificadores, unidades o reglas que permitan relacionarlos y conciliar las cantidades registradas entre las diferentes etapas. Esta situación afecta tanto la gestión interna como la información proporcionada a las empresas patrocinadoras, que requieren conocer cuántos árboles fueron destinados a una plantación, dónde fueron plantados y qué evidencias respaldan su ejecución. En este contexto, disponer de una trazabilidad reconstruible y respaldada por evidencia adquiere relevancia tanto para la gestión de dichos procesos como para sustentar la información comunicada a terceros.</w:t>
      </w:r>
    </w:p>
    <w:p>
      <w:r>
        <w:rPr>
          <w:rFonts w:ascii="Times New Roman" w:hAnsi="Times New Roman"/>
          <w:sz w:val="24"/>
        </w:rPr>
        <w:t xml:space="preserve">Ante esta situación, el proyecto propone desarrollar y evaluar un sistema de trazabilidad que integre los procesos de </w:t>
      </w:r>
      <w:r>
        <w:rPr>
          <w:rFonts w:ascii="Times New Roman" w:hAnsi="Times New Roman"/>
          <w:i/>
          <w:sz w:val="24"/>
        </w:rPr>
        <w:t>recolección, vivero y plantación</w:t>
      </w:r>
      <w:r>
        <w:rPr>
          <w:rFonts w:ascii="Times New Roman" w:hAnsi="Times New Roman"/>
          <w:sz w:val="24"/>
        </w:rPr>
        <w:t>. El sistema permitirá registrar los eventos y cambios que atraviesa el material vegetal desde su origen o ingreso al proceso hasta su plantación, vinculando información sobre cantidades, responsables, tiempos, ubicaciones y evidencias. A partir de estos registros, será posible reconstruir su recorrido a través de las distintas etapas y contrastar la información asociada a cada una de ellas. El alcance concluye con el registro de la plantación y no incluye el monitoreo posterior de los árboles. De esta manera, el sistema busca proporcionar una base estructurada para la gestión interna de R3Foresta y para respaldar la información comunicada a terceros.</w:t>
      </w:r>
    </w:p>
    <w:p>
      <w:pPr>
        <w:pStyle w:val="Heading1"/>
      </w:pPr>
      <w:r>
        <w:rPr>
          <w:rFonts w:ascii="Times New Roman" w:hAnsi="Times New Roman"/>
          <w:sz w:val="28"/>
        </w:rPr>
        <w:t>2. Antecedentes</w:t>
      </w:r>
    </w:p>
    <w:p>
      <w:r>
        <w:rPr>
          <w:rFonts w:ascii="Times New Roman" w:hAnsi="Times New Roman"/>
          <w:sz w:val="24"/>
        </w:rPr>
        <w:t>La revisión de antecedentes avanza desde las experiencias más cercanas al ámbito forestal boliviano hacia los fundamentos y mecanismos de trazabilidad aplicables al problema de R3Foresta.</w:t>
      </w:r>
    </w:p>
    <w:p>
      <w:r>
        <w:rPr>
          <w:rFonts w:ascii="Times New Roman" w:hAnsi="Times New Roman"/>
          <w:sz w:val="24"/>
        </w:rPr>
        <w:t>En Bolivia, Limachi Mamani (2020) desarrolló un sistema de registro y geolocalización de viveros para la Autoridad de Fiscalización y Control Social de Bosques y Tierra. El trabajo administra viveros, especies y volúmenes de producción, y demuestra la pertinencia de emplear sistemas georreferenciados en la gestión forestal del país. Su unidad principal de registro, sin embargo, es el vivero; por ello, el aporte se concentra en identificar y localizar unidades productivas y no en reconstruir el recorrido del material vegetal desde su procedencia hasta la plantación.</w:t>
      </w:r>
    </w:p>
    <w:p>
      <w:r>
        <w:rPr>
          <w:rFonts w:ascii="Times New Roman" w:hAnsi="Times New Roman"/>
          <w:sz w:val="24"/>
        </w:rPr>
        <w:t>La digitalización de viveros ha avanzado también en el contexto latinoamericano. Salamanca Contreras (2024) implementó un sistema web para el control interno y el inventario de un vivero comercial y reportó mejoras en la exactitud del inventario y el cumplimiento de despachos. Mayorga Vásquez et al. (2022), por su parte, propusieron un sistema web para procesos administrativos y productivos de viveros. Estos trabajos muestran que existencias, producción y despachos pueden gestionarse digitalmente, pero permanecen centrados en la administración interna del vivero: no relacionan de extremo a extremo la procedencia del material vegetal, sus transferencias hacia actividades de reforestación y la evidencia geográfica de la plantación.</w:t>
      </w:r>
    </w:p>
    <w:p>
      <w:r>
        <w:rPr>
          <w:rFonts w:ascii="Times New Roman" w:hAnsi="Times New Roman"/>
          <w:sz w:val="24"/>
        </w:rPr>
        <w:t>Para superar una visión limitada al inventario, la literatura internacional aporta fundamentos sobre qué debe conservar un sistema de trazabilidad. Moe (1998) distinguió la trazabilidad interna de aquella que enlaza distintas etapas de una cadena y resaltó la necesidad de definir unidades rastreables. Olsen y Borit (2013) situaron la trazabilidad en la posibilidad de acceder a información sobre objetos considerados a lo largo de su ciclo de vida, mientras que Dabbene et al. (2014) examinaron los problemas de identificación, granularidad, transformación y recuperación de genealogía en cadenas físicas. Aunque estas contribuciones proceden principalmente del ámbito agroalimentario, permiten establecer que reconstruir una cadena requiere conservar tanto las unidades y sus atributos como las relaciones producidas cuando cambian, se agrupan o se transfieren.</w:t>
      </w:r>
    </w:p>
    <w:p>
      <w:r>
        <w:rPr>
          <w:rFonts w:ascii="Times New Roman" w:hAnsi="Times New Roman"/>
          <w:sz w:val="24"/>
        </w:rPr>
        <w:t>Sobre esa base conceptual, Thakur et al. (2011) mostraron que los eventos de negocio pueden representar estados, movimientos y transformaciones, separando los datos maestros de los hechos ocurridos. Solanki y Brewster (2014) profundizaron esta representación al modelar transformaciones que vinculan unidades de entrada y salida, de modo que los eventos relacionados permitan recuperar su procedencia. El principio es transferible a R3Foresta porque un historial enlazado puede explicar los cambios de saldo y las relaciones entre unidades de material vegetal. Su aplicación requiere, no obstante, reglas propias para registrar la transformación biológica observada, la mortalidad o merma, las asignaciones parciales y la vinculación del lote con una ubicación de plantación. Esta transferencia conceptual no implica implementar literalmente EPCIS ni adoptar los procesos del dominio agroalimentario de las fuentes.</w:t>
      </w:r>
    </w:p>
    <w:p>
      <w:r>
        <w:rPr>
          <w:rFonts w:ascii="Times New Roman" w:hAnsi="Times New Roman"/>
          <w:sz w:val="24"/>
        </w:rPr>
        <w:t>La representación histórica tampoco basta si los movimientos y las cantidades pueden quedar inconexos o si la capacidad de reconstrucción solo se presupone. ISO 22095:2020 proporciona terminología y modelos generales para la cadena de custodia, pero aclara que un sistema no demuestra por sí mismo la veracidad de las declaraciones registradas (ISO, 2020). Desde una perspectiva empírica, Donnelly et al. (2012) evaluaron sistemas de trazabilidad mediante un ejercicio de retiro simulado que exigía recuperar el origen y la información asociada a los lotes. Este enfoque respalda la necesidad de comprobar la reconstrucción mediante preguntas, fuentes recuperadas, vacíos y tiempo empleado, sin trasladar a R3Foresta el contexto de inocuidad alimentaria. En conjunto, estos antecedentes muestran que la trazabilidad requiere relacionar los eventos con reglas de consistencia y evidencia, y que su recuperabilidad debe evaluarse en la práctica.</w:t>
      </w:r>
    </w:p>
    <w:p>
      <w:r>
        <w:rPr>
          <w:rFonts w:ascii="Times New Roman" w:hAnsi="Times New Roman"/>
          <w:sz w:val="24"/>
        </w:rPr>
        <w:t>Entre las fuentes revisadas no se identificó una solución que integrara, dentro de un mismo flujo, la procedencia del material vegetal, sus transformaciones, los movimientos entre etapas, la consistencia de cantidades y saldos y la evidencia asociada a la plantación, de forma que permitiera reconstruir posteriormente su cadena de custodia. Esta síntesis se limita al conjunto y alcance de la búsqueda bibliográfica realizada y no afirma la inexistencia absoluta de soluciones similares.</w:t>
      </w:r>
    </w:p>
    <w:p>
      <w:pPr>
        <w:pStyle w:val="Heading1"/>
      </w:pPr>
      <w:r>
        <w:rPr>
          <w:rFonts w:ascii="Times New Roman" w:hAnsi="Times New Roman"/>
          <w:sz w:val="28"/>
        </w:rPr>
        <w:t>3. Planteamiento del problema</w:t>
      </w:r>
    </w:p>
    <w:p>
      <w:pPr>
        <w:pStyle w:val="Heading2"/>
      </w:pPr>
      <w:r>
        <w:rPr>
          <w:rFonts w:ascii="Times New Roman" w:hAnsi="Times New Roman"/>
          <w:sz w:val="24"/>
        </w:rPr>
        <w:t>3.1. Situación problemática</w:t>
      </w:r>
    </w:p>
    <w:p>
      <w:r>
        <w:rPr>
          <w:rFonts w:ascii="Times New Roman" w:hAnsi="Times New Roman"/>
          <w:sz w:val="24"/>
        </w:rPr>
        <w:t>R3Foresta realiza actividades de reforestación con comunidades, voluntarios y organizaciones patrocinadoras. La evidencia disponible de esas actividades se conserva actualmente en fotografías, publicaciones en redes sociales, conversaciones de mensajería, cuadernos, notas y la memoria de las personas involucradas. Estas fuentes permiten comunicar que una actividad ocurrió, pero no constituyen por sí mismas una estructura común para reconstruir de extremo a extremo la procedencia y el recorrido del material vegetal destinado a ellas.</w:t>
      </w:r>
    </w:p>
    <w:p>
      <w:r>
        <w:rPr>
          <w:rFonts w:ascii="Times New Roman" w:hAnsi="Times New Roman"/>
          <w:sz w:val="24"/>
        </w:rPr>
        <w:t>El proceso comienza con la recolección de semillas, continúa con su manejo en vivero y concluye con la plantación de las plantas obtenidas. También puede ingresar material vegetal adquirido o recibido de terceros directamente en Vivero o Plantación. En estos casos es necesario registrar el ingreso externo como un hecho del historial, conservar los datos de procedencia disponibles y relacionar los eventos posteriores hasta la plantación.</w:t>
      </w:r>
    </w:p>
    <w:p>
      <w:r>
        <w:rPr>
          <w:rFonts w:ascii="Times New Roman" w:hAnsi="Times New Roman"/>
          <w:sz w:val="24"/>
        </w:rPr>
        <w:t>Durante el recorrido cambian la ubicación, el responsable, el estado, la agrupación y, en ciertos procesos, la unidad de medida del material vegetal. Las semillas recolectadas pueden expresarse en gramos o unidades de propagación, mientras que el saldo vivo del vivero y la plantación se expresan en unidades de plantas. Este cambio no es una conversión aritmética automática, sino el resultado observado de un proceso biológico. También pueden ocurrir mermas, descartes, devoluciones, cierres y asignaciones parciales.</w:t>
      </w:r>
    </w:p>
    <w:p>
      <w:r>
        <w:rPr>
          <w:rFonts w:ascii="Times New Roman" w:hAnsi="Times New Roman"/>
          <w:sz w:val="24"/>
        </w:rPr>
        <w:t>Cuando las salidas y entradas se registran de manera separada, o cuando un saldo puede alterarse sin conservar el hecho que lo explica, aparecen riesgos de registros incompletos, doble asignación, doble consumo y cantidades difíciles de conciliar. De manera similar, una fotografía o coordenada guardada fuera del hecho operativo puede perder su relación con la especie, cantidad, fecha y responsable que debía respaldar.</w:t>
      </w:r>
    </w:p>
    <w:p>
      <w:r>
        <w:rPr>
          <w:rFonts w:ascii="Times New Roman" w:hAnsi="Times New Roman"/>
          <w:sz w:val="24"/>
        </w:rPr>
        <w:t>La consecuencia principal es una capacidad limitada para reconstruir la cadena de custodia con evidencia contrastable. Esto afecta las decisiones internas sobre disponibilidad y pérdidas, así como la capacidad de respaldar la información comunicada a empresas patrocinadoras y aliados. El problema es informacional: el sistema puede fortalecer la consistencia y recuperabilidad de lo registrado, pero no puede garantizar por sí solo que una declaración del operador sea físicamente verdadera.</w:t>
      </w:r>
    </w:p>
    <w:p>
      <w:pPr>
        <w:pStyle w:val="Heading2"/>
      </w:pPr>
      <w:r>
        <w:rPr>
          <w:rFonts w:ascii="Times New Roman" w:hAnsi="Times New Roman"/>
          <w:sz w:val="24"/>
        </w:rPr>
        <w:t>3.2. Árbol de causas y efectos</w:t>
      </w:r>
    </w:p>
    <w:p>
      <w:r>
        <w:rPr>
          <w:rFonts w:ascii="Times New Roman" w:hAnsi="Times New Roman"/>
          <w:sz w:val="24"/>
        </w:rPr>
        <w:t>Las causas se formulan como hipótesis de diagnóstico y serán confirmadas, modificadas o descartadas mediante entrevistas, inventario documental y reconstrucción de casos históricos.</w:t>
      </w:r>
    </w:p>
    <w:p>
      <w:pPr>
        <w:pStyle w:val="Caption"/>
      </w:pPr>
      <w:r>
        <w:rPr>
          <w:rFonts w:ascii="Times New Roman" w:hAnsi="Times New Roman"/>
          <w:sz w:val="22"/>
        </w:rPr>
        <w:t>Figura 1. Árbol de causas y efectos.</w:t>
      </w:r>
    </w:p>
    <w:p>
      <w:pPr>
        <w:spacing w:after="120"/>
        <w:ind w:firstLine="0"/>
        <w:jc w:val="center"/>
      </w:pPr>
      <w:r>
        <w:drawing>
          <wp:inline xmlns:a="http://schemas.openxmlformats.org/drawingml/2006/main" xmlns:pic="http://schemas.openxmlformats.org/drawingml/2006/picture">
            <wp:extent cx="5230368" cy="6211062"/>
            <wp:docPr id="2" name="Picture 2"/>
            <wp:cNvGraphicFramePr>
              <a:graphicFrameLocks noChangeAspect="1"/>
            </wp:cNvGraphicFramePr>
            <a:graphic>
              <a:graphicData uri="http://schemas.openxmlformats.org/drawingml/2006/picture">
                <pic:pic>
                  <pic:nvPicPr>
                    <pic:cNvPr id="0" name="figura_1.png"/>
                    <pic:cNvPicPr/>
                  </pic:nvPicPr>
                  <pic:blipFill>
                    <a:blip r:embed="rId14"/>
                    <a:stretch>
                      <a:fillRect/>
                    </a:stretch>
                  </pic:blipFill>
                  <pic:spPr>
                    <a:xfrm>
                      <a:off x="0" y="0"/>
                      <a:ext cx="5230368" cy="6211062"/>
                    </a:xfrm>
                    <a:prstGeom prst="rect"/>
                  </pic:spPr>
                </pic:pic>
              </a:graphicData>
            </a:graphic>
          </wp:inline>
        </w:drawing>
      </w:r>
    </w:p>
    <w:p>
      <w:pPr>
        <w:pStyle w:val="Heading2"/>
      </w:pPr>
      <w:r>
        <w:rPr>
          <w:rFonts w:ascii="Times New Roman" w:hAnsi="Times New Roman"/>
          <w:sz w:val="24"/>
        </w:rPr>
        <w:t>3.3. Problema central</w:t>
      </w:r>
    </w:p>
    <w:p>
      <w:pPr>
        <w:spacing w:before="100" w:after="100"/>
        <w:ind w:left="567" w:right="340" w:firstLine="0"/>
      </w:pPr>
      <w:r>
        <w:rPr>
          <w:rFonts w:ascii="Times New Roman" w:hAnsi="Times New Roman"/>
          <w:i/>
          <w:sz w:val="24"/>
        </w:rPr>
        <w:t>En la práctica actual de R3Foresta, la información sobre el recorrido del material vegetal, desde su origen o ingreso al proceso hasta su plantación, se conserva en registros dispersos que no comparten una estructura ni relaciones comunes; esta fragmentación limita la reconstrucción de la cadena de custodia, la comprobación de la consistencia de cantidades y saldos y la presentación de evidencia contrastable a los actores interesados.</w:t>
      </w:r>
    </w:p>
    <w:p>
      <w:pPr>
        <w:pStyle w:val="Heading2"/>
      </w:pPr>
      <w:r>
        <w:rPr>
          <w:rFonts w:ascii="Times New Roman" w:hAnsi="Times New Roman"/>
          <w:sz w:val="24"/>
        </w:rPr>
        <w:t>3.4. Formulación del problema</w:t>
      </w:r>
    </w:p>
    <w:p>
      <w:pPr>
        <w:pStyle w:val="Heading3"/>
      </w:pPr>
      <w:r>
        <w:rPr>
          <w:rFonts w:ascii="Times New Roman" w:hAnsi="Times New Roman"/>
          <w:sz w:val="24"/>
        </w:rPr>
        <w:t>Pregunta general</w:t>
      </w:r>
    </w:p>
    <w:p>
      <w:pPr>
        <w:spacing w:before="100" w:after="100"/>
        <w:ind w:left="567" w:right="340" w:firstLine="0"/>
      </w:pPr>
      <w:r>
        <w:rPr>
          <w:rFonts w:ascii="Times New Roman" w:hAnsi="Times New Roman"/>
          <w:i/>
          <w:sz w:val="24"/>
        </w:rPr>
        <w:t>¿Cómo desarrollar, en el caso R3Foresta, un sistema de trazabilidad que permita reconstruir con evidencia contrastable el recorrido del material vegetal desde su origen o ingreso al proceso hasta el registro de su plantación, y qué diferencias presenta frente a la práctica de registro actual en capacidad de reconstrucción y carga operativa?</w:t>
      </w:r>
    </w:p>
    <w:p>
      <w:pPr>
        <w:pStyle w:val="Heading3"/>
      </w:pPr>
      <w:r>
        <w:rPr>
          <w:rFonts w:ascii="Times New Roman" w:hAnsi="Times New Roman"/>
          <w:sz w:val="24"/>
        </w:rPr>
        <w:t>Preguntas específicas</w:t>
      </w:r>
    </w:p>
    <w:p>
      <w:pPr>
        <w:pStyle w:val="ListParagraph"/>
        <w:numPr>
          <w:ilvl w:val="0"/>
          <w:numId w:val="10"/>
        </w:numPr>
        <w:spacing w:line="360" w:lineRule="auto" w:after="0"/>
        <w:ind w:left="454" w:hanging="283"/>
      </w:pPr>
      <w:r>
        <w:rPr>
          <w:rFonts w:ascii="Times New Roman" w:hAnsi="Times New Roman"/>
          <w:sz w:val="24"/>
        </w:rPr>
        <w:t>¿Qué procesos, actores, datos, estados, eventos, unidades de medida y reglas de negocio intervienen en Recolección, Vivero y Plantación, incluidas las variantes de ingreso de material vegetal adquirido o recibido de terceros?</w:t>
      </w:r>
    </w:p>
    <w:p>
      <w:pPr>
        <w:pStyle w:val="ListParagraph"/>
        <w:numPr>
          <w:ilvl w:val="0"/>
          <w:numId w:val="10"/>
        </w:numPr>
        <w:spacing w:line="360" w:lineRule="auto" w:after="0"/>
        <w:ind w:left="454" w:hanging="283"/>
      </w:pPr>
      <w:r>
        <w:rPr>
          <w:rFonts w:ascii="Times New Roman" w:hAnsi="Times New Roman"/>
          <w:sz w:val="24"/>
        </w:rPr>
        <w:t>¿Qué modelo de información y reglas de integridad permite relacionar los orígenes, movimientos, transformaciones, saldos, responsables y evidencias de la cadena de custodia?</w:t>
      </w:r>
    </w:p>
    <w:p>
      <w:pPr>
        <w:pStyle w:val="ListParagraph"/>
        <w:numPr>
          <w:ilvl w:val="0"/>
          <w:numId w:val="10"/>
        </w:numPr>
        <w:spacing w:line="360" w:lineRule="auto" w:after="0"/>
        <w:ind w:left="454" w:hanging="283"/>
      </w:pPr>
      <w:r>
        <w:rPr>
          <w:rFonts w:ascii="Times New Roman" w:hAnsi="Times New Roman"/>
          <w:sz w:val="24"/>
        </w:rPr>
        <w:t>¿Cómo implementar e integrar los módulos de Recolección, Vivero y Plantación y sus variantes de ingreso externo sin perder la historia de procedencia del material vegetal?</w:t>
      </w:r>
    </w:p>
    <w:p>
      <w:pPr>
        <w:pStyle w:val="ListParagraph"/>
        <w:numPr>
          <w:ilvl w:val="0"/>
          <w:numId w:val="10"/>
        </w:numPr>
        <w:spacing w:line="360" w:lineRule="auto" w:after="0"/>
        <w:ind w:left="454" w:hanging="283"/>
      </w:pPr>
      <w:r>
        <w:rPr>
          <w:rFonts w:ascii="Times New Roman" w:hAnsi="Times New Roman"/>
          <w:sz w:val="24"/>
        </w:rPr>
        <w:t>¿En qué medida la solución cumple los requerimientos y preserva las invariantes definidas mediante pruebas funcionales y técnicas?</w:t>
      </w:r>
    </w:p>
    <w:p>
      <w:pPr>
        <w:pStyle w:val="ListParagraph"/>
        <w:numPr>
          <w:ilvl w:val="0"/>
          <w:numId w:val="10"/>
        </w:numPr>
        <w:spacing w:line="360" w:lineRule="auto" w:after="0"/>
        <w:ind w:left="454" w:hanging="283"/>
      </w:pPr>
      <w:r>
        <w:rPr>
          <w:rFonts w:ascii="Times New Roman" w:hAnsi="Times New Roman"/>
          <w:sz w:val="24"/>
        </w:rPr>
        <w:t>¿Qué capacidad presenta la solución para reconstruir trazas con evidencia contrastable y qué carga operativa genera respecto de la práctica actual de R3Foresta?</w:t>
      </w:r>
    </w:p>
    <w:p>
      <w:pPr>
        <w:pStyle w:val="Heading1"/>
      </w:pPr>
      <w:r>
        <w:rPr>
          <w:rFonts w:ascii="Times New Roman" w:hAnsi="Times New Roman"/>
          <w:sz w:val="28"/>
        </w:rPr>
        <w:t>4. Objetivos</w:t>
      </w:r>
    </w:p>
    <w:p>
      <w:pPr>
        <w:pStyle w:val="Heading2"/>
      </w:pPr>
      <w:r>
        <w:rPr>
          <w:rFonts w:ascii="Times New Roman" w:hAnsi="Times New Roman"/>
          <w:sz w:val="24"/>
        </w:rPr>
        <w:t>4.1. Objetivo general</w:t>
      </w:r>
    </w:p>
    <w:p>
      <w:r>
        <w:rPr>
          <w:rFonts w:ascii="Times New Roman" w:hAnsi="Times New Roman"/>
          <w:sz w:val="24"/>
        </w:rPr>
        <w:t>Desarrollar y evaluar un sistema de trazabilidad para la cadena de custodia del material vegetal utilizado por R3Foresta, desde su recolección o recepción externa hasta su manejo en vivero y plantación, que permita reconstruir con evidencia contrastable su procedencia, movimientos, cantidades, responsables y destino.</w:t>
      </w:r>
    </w:p>
    <w:p>
      <w:pPr>
        <w:pStyle w:val="Heading2"/>
      </w:pPr>
      <w:r>
        <w:rPr>
          <w:rFonts w:ascii="Times New Roman" w:hAnsi="Times New Roman"/>
          <w:sz w:val="24"/>
        </w:rPr>
        <w:t>4.2. Objetivos específicos</w:t>
      </w:r>
    </w:p>
    <w:p>
      <w:pPr>
        <w:pStyle w:val="ListParagraph"/>
        <w:numPr>
          <w:ilvl w:val="0"/>
          <w:numId w:val="11"/>
        </w:numPr>
        <w:spacing w:line="360" w:lineRule="auto" w:after="0"/>
        <w:ind w:left="454" w:hanging="283"/>
      </w:pPr>
      <w:r>
        <w:rPr>
          <w:rFonts w:ascii="Times New Roman" w:hAnsi="Times New Roman"/>
          <w:b/>
          <w:sz w:val="24"/>
        </w:rPr>
        <w:t>Analizar</w:t>
      </w:r>
      <w:r>
        <w:rPr>
          <w:rFonts w:ascii="Times New Roman" w:hAnsi="Times New Roman"/>
          <w:sz w:val="24"/>
        </w:rPr>
        <w:t xml:space="preserve"> los procesos, actores, datos, estados, eventos, unidades de medida, requerimientos y reglas de negocio de Recolección, Vivero y Plantación, incluidas las variantes de ingreso de material vegetal adquirido o recibido de terceros.</w:t>
      </w:r>
    </w:p>
    <w:p>
      <w:pPr>
        <w:pStyle w:val="ListParagraph"/>
        <w:numPr>
          <w:ilvl w:val="0"/>
          <w:numId w:val="11"/>
        </w:numPr>
        <w:spacing w:line="360" w:lineRule="auto" w:after="0"/>
        <w:ind w:left="454" w:hanging="283"/>
      </w:pPr>
      <w:r>
        <w:rPr>
          <w:rFonts w:ascii="Times New Roman" w:hAnsi="Times New Roman"/>
          <w:b/>
          <w:sz w:val="24"/>
        </w:rPr>
        <w:t>Diseñar</w:t>
      </w:r>
      <w:r>
        <w:rPr>
          <w:rFonts w:ascii="Times New Roman" w:hAnsi="Times New Roman"/>
          <w:sz w:val="24"/>
        </w:rPr>
        <w:t xml:space="preserve"> un modelo de trazabilidad e integridad que relacione orígenes, entidades, eventos, transformaciones, cantidades, saldos, responsables y evidencias, y que formalice las reglas aplicables a las transferencias y transformaciones entre etapas.</w:t>
      </w:r>
    </w:p>
    <w:p>
      <w:pPr>
        <w:pStyle w:val="ListParagraph"/>
        <w:numPr>
          <w:ilvl w:val="0"/>
          <w:numId w:val="11"/>
        </w:numPr>
        <w:spacing w:line="360" w:lineRule="auto" w:after="0"/>
        <w:ind w:left="454" w:hanging="283"/>
      </w:pPr>
      <w:r>
        <w:rPr>
          <w:rFonts w:ascii="Times New Roman" w:hAnsi="Times New Roman"/>
          <w:b/>
          <w:sz w:val="24"/>
        </w:rPr>
        <w:t>Implementar</w:t>
      </w:r>
      <w:r>
        <w:rPr>
          <w:rFonts w:ascii="Times New Roman" w:hAnsi="Times New Roman"/>
          <w:sz w:val="24"/>
        </w:rPr>
        <w:t xml:space="preserve"> los módulos de Recolección, Vivero y Plantación, incorporando el ingreso de material vegetal adquirido o recibido de terceros directamente en Vivero o Plantación, con sus datos de procedencia y su registro en el historial.</w:t>
      </w:r>
    </w:p>
    <w:p>
      <w:pPr>
        <w:pStyle w:val="ListParagraph"/>
        <w:numPr>
          <w:ilvl w:val="0"/>
          <w:numId w:val="11"/>
        </w:numPr>
        <w:spacing w:line="360" w:lineRule="auto" w:after="0"/>
        <w:ind w:left="454" w:hanging="283"/>
      </w:pPr>
      <w:r>
        <w:rPr>
          <w:rFonts w:ascii="Times New Roman" w:hAnsi="Times New Roman"/>
          <w:b/>
          <w:sz w:val="24"/>
        </w:rPr>
        <w:t>Verificar</w:t>
      </w:r>
      <w:r>
        <w:rPr>
          <w:rFonts w:ascii="Times New Roman" w:hAnsi="Times New Roman"/>
          <w:sz w:val="24"/>
        </w:rPr>
        <w:t xml:space="preserve"> el cumplimiento de los requerimientos y de las invariantes de consistencia mediante pruebas funcionales y técnicas.</w:t>
      </w:r>
    </w:p>
    <w:p>
      <w:pPr>
        <w:pStyle w:val="ListParagraph"/>
        <w:numPr>
          <w:ilvl w:val="0"/>
          <w:numId w:val="11"/>
        </w:numPr>
        <w:spacing w:line="360" w:lineRule="auto" w:after="0"/>
        <w:ind w:left="454" w:hanging="283"/>
      </w:pPr>
      <w:r>
        <w:rPr>
          <w:rFonts w:ascii="Times New Roman" w:hAnsi="Times New Roman"/>
          <w:b/>
          <w:sz w:val="24"/>
        </w:rPr>
        <w:t>Evaluar</w:t>
      </w:r>
      <w:r>
        <w:rPr>
          <w:rFonts w:ascii="Times New Roman" w:hAnsi="Times New Roman"/>
          <w:sz w:val="24"/>
        </w:rPr>
        <w:t>, en el contexto del estudio de caso, la capacidad de reconstrucción con evidencia contrastable y la carga operativa de la solución, comparándolas con la práctica actual caracterizada en R3Foresta.</w:t>
      </w:r>
    </w:p>
    <w:p>
      <w:pPr>
        <w:pStyle w:val="Heading1"/>
      </w:pPr>
      <w:r>
        <w:rPr>
          <w:rFonts w:ascii="Times New Roman" w:hAnsi="Times New Roman"/>
          <w:sz w:val="28"/>
        </w:rPr>
        <w:t>5. Justificación</w:t>
      </w:r>
    </w:p>
    <w:p>
      <w:r>
        <w:rPr>
          <w:rFonts w:ascii="Times New Roman" w:hAnsi="Times New Roman"/>
          <w:sz w:val="24"/>
        </w:rPr>
        <w:t>R3Foresta necesita reconstruir el recorrido del material vegetal que recibe o produce para conocer su procedencia, las cantidades disponibles, las pérdidas ocurridas, las asignaciones y transferencias realizadas y su destino final. Cuando esta información se conserva en formularios, inventarios o evidencias independientes, resulta difícil establecer posteriormente qué ocurrió con una cantidad o lote determinado a medida que atravesó las etapas de recolección, vivero y plantación. Por ello, la organización requiere conservar relaciones trazables entre el origen, los movimientos y el destino del material vegetal.</w:t>
      </w:r>
    </w:p>
    <w:p>
      <w:r>
        <w:rPr>
          <w:rFonts w:ascii="Times New Roman" w:hAnsi="Times New Roman"/>
          <w:sz w:val="24"/>
        </w:rPr>
        <w:t>Atender esta necesidad requiere una solución informática orientada a la trazabilidad, pues el registro aislado de datos no garantiza la conservación de las relaciones necesarias para explicar el recorrido del material. La información generada en las diferentes etapas debe mantener vínculos entre las cantidades, los movimientos realizados, los responsables, las fechas y las ubicaciones correspondientes. De este modo, los registros podrán ser consultados como partes de un mismo recorrido y no como constancias aisladas cuya correspondencia dependa de una reconstrucción manual.</w:t>
      </w:r>
    </w:p>
    <w:p>
      <w:r>
        <w:rPr>
          <w:rFonts w:ascii="Times New Roman" w:hAnsi="Times New Roman"/>
          <w:sz w:val="24"/>
        </w:rPr>
        <w:t>Disponer de información reconstruible y respaldada permitirá a R3Foresta relacionar las cantidades administradas con su procedencia y destino, identificar los actores involucrados y recuperar la evidencia asociada a las actividades registradas. Esta capacidad permitirá presentar información consistente y contrastable ante comunidades, voluntarios, empresas patrocinadoras y aliados, además de facilitar la rendición de cuentas entre los actores involucrados. La trazabilidad propuesta respaldará las actividades registradas, sin constituir por sí misma una certificación de supervivencia de las plantas, recuperación ecológica o captura de carbono.</w:t>
      </w:r>
    </w:p>
    <w:p>
      <w:r>
        <w:rPr>
          <w:rFonts w:ascii="Times New Roman" w:hAnsi="Times New Roman"/>
          <w:sz w:val="24"/>
        </w:rPr>
        <w:t>Desde la perspectiva académica, el proyecto permitirá vincular el análisis del dominio con un modelo de trazabilidad, reglas de integridad, una implementación verificable y una evaluación aplicada en un caso real. Su ejecución es viable porque aprovecha infraestructura disponible en planes gratuitos y concentra el gasto monetario en conectividad, trabajo de campo y herramientas de apoyo. Los posibles beneficios de tiempo o costo no se asumirán de antemano: se observarán durante la comparación con la práctica actual y se informarán junto con la carga operativa que introduzca la solución.</w:t>
      </w:r>
    </w:p>
    <w:p>
      <w:pPr>
        <w:pStyle w:val="Heading1"/>
      </w:pPr>
      <w:r>
        <w:rPr>
          <w:rFonts w:ascii="Times New Roman" w:hAnsi="Times New Roman"/>
          <w:sz w:val="28"/>
        </w:rPr>
        <w:t>6. Alcances y límites</w:t>
      </w:r>
    </w:p>
    <w:p>
      <w:pPr>
        <w:pStyle w:val="Heading2"/>
      </w:pPr>
      <w:r>
        <w:rPr>
          <w:rFonts w:ascii="Times New Roman" w:hAnsi="Times New Roman"/>
          <w:sz w:val="24"/>
        </w:rPr>
        <w:t>6.1. Alcance funcional</w:t>
      </w:r>
    </w:p>
    <w:p>
      <w:r>
        <w:rPr>
          <w:rFonts w:ascii="Times New Roman" w:hAnsi="Times New Roman"/>
          <w:sz w:val="24"/>
        </w:rPr>
        <w:t>El proyecto mantendrá tres módulos operativos:</w:t>
      </w:r>
    </w:p>
    <w:p>
      <w:pPr>
        <w:pStyle w:val="ListParagraph"/>
        <w:numPr>
          <w:ilvl w:val="0"/>
          <w:numId w:val="12"/>
        </w:numPr>
        <w:spacing w:line="360" w:lineRule="auto" w:after="0"/>
        <w:ind w:left="454" w:hanging="283"/>
      </w:pPr>
      <w:r>
        <w:rPr>
          <w:rFonts w:ascii="Times New Roman" w:hAnsi="Times New Roman"/>
          <w:b/>
          <w:sz w:val="24"/>
        </w:rPr>
        <w:t>Recolección:</w:t>
      </w:r>
      <w:r>
        <w:rPr>
          <w:rFonts w:ascii="Times New Roman" w:hAnsi="Times New Roman"/>
          <w:sz w:val="24"/>
        </w:rPr>
        <w:t xml:space="preserve"> registro de las semillas o unidades de propagación recolectadas, su especie, cantidad y unidad de medida, fecha, responsable, ubicación y evidencia.</w:t>
      </w:r>
    </w:p>
    <w:p>
      <w:pPr>
        <w:pStyle w:val="ListParagraph"/>
        <w:numPr>
          <w:ilvl w:val="0"/>
          <w:numId w:val="12"/>
        </w:numPr>
        <w:spacing w:line="360" w:lineRule="auto" w:after="0"/>
        <w:ind w:left="454" w:hanging="283"/>
      </w:pPr>
      <w:r>
        <w:rPr>
          <w:rFonts w:ascii="Times New Roman" w:hAnsi="Times New Roman"/>
          <w:b/>
          <w:sz w:val="24"/>
        </w:rPr>
        <w:t>Vivero:</w:t>
      </w:r>
      <w:r>
        <w:rPr>
          <w:rFonts w:ascii="Times New Roman" w:hAnsi="Times New Roman"/>
          <w:sz w:val="24"/>
        </w:rPr>
        <w:t xml:space="preserve"> recepción y manejo del material vegetal, registro de eventos biológicos y operativos, mermas, descartes, saldo vivo, despacho y cierre.</w:t>
      </w:r>
    </w:p>
    <w:p>
      <w:pPr>
        <w:pStyle w:val="ListParagraph"/>
        <w:numPr>
          <w:ilvl w:val="0"/>
          <w:numId w:val="12"/>
        </w:numPr>
        <w:spacing w:line="360" w:lineRule="auto" w:after="0"/>
        <w:ind w:left="454" w:hanging="283"/>
      </w:pPr>
      <w:r>
        <w:rPr>
          <w:rFonts w:ascii="Times New Roman" w:hAnsi="Times New Roman"/>
          <w:b/>
          <w:sz w:val="24"/>
        </w:rPr>
        <w:t>Plantación:</w:t>
      </w:r>
      <w:r>
        <w:rPr>
          <w:rFonts w:ascii="Times New Roman" w:hAnsi="Times New Roman"/>
          <w:sz w:val="24"/>
        </w:rPr>
        <w:t xml:space="preserve"> asignación de plantas a una subcampaña y registro de la cantidad plantada, responsables, fecha, ubicación y evidencia.</w:t>
      </w:r>
    </w:p>
    <w:p>
      <w:r>
        <w:rPr>
          <w:rFonts w:ascii="Times New Roman" w:hAnsi="Times New Roman"/>
          <w:sz w:val="24"/>
        </w:rPr>
        <w:t>El sistema podrá registrar material vegetal adquirido o recibido de terceros que ingrese directamente en Vivero o Plantación. El historial distinguirá este ingreso externo de una recolección realizada por R3Foresta y conservará, según la información disponible, el tipo de ingreso, el proveedor o la organización de procedencia, la especie, la cantidad y unidad, la fecha, el responsable de la recepción y la evidencia documental asociada. Estas variantes se resolverán dentro de los tres módulos existentes y no constituirán un módulo adicional.</w:t>
      </w:r>
    </w:p>
    <w:p>
      <w:r>
        <w:rPr>
          <w:rFonts w:ascii="Times New Roman" w:hAnsi="Times New Roman"/>
          <w:sz w:val="24"/>
        </w:rPr>
        <w:t>También se encuentran dentro del alcance:</w:t>
      </w:r>
    </w:p>
    <w:p>
      <w:pPr>
        <w:pStyle w:val="ListParagraph"/>
        <w:numPr>
          <w:ilvl w:val="0"/>
          <w:numId w:val="13"/>
        </w:numPr>
        <w:spacing w:line="360" w:lineRule="auto" w:after="0"/>
        <w:ind w:left="454" w:hanging="283"/>
      </w:pPr>
      <w:r>
        <w:rPr>
          <w:rFonts w:ascii="Times New Roman" w:hAnsi="Times New Roman"/>
          <w:sz w:val="24"/>
        </w:rPr>
        <w:t>reconstrucción del origen y recorrido del material vegetal;</w:t>
      </w:r>
    </w:p>
    <w:p>
      <w:pPr>
        <w:pStyle w:val="ListParagraph"/>
        <w:numPr>
          <w:ilvl w:val="0"/>
          <w:numId w:val="13"/>
        </w:numPr>
        <w:spacing w:line="360" w:lineRule="auto" w:after="0"/>
        <w:ind w:left="454" w:hanging="283"/>
      </w:pPr>
      <w:r>
        <w:rPr>
          <w:rFonts w:ascii="Times New Roman" w:hAnsi="Times New Roman"/>
          <w:sz w:val="24"/>
        </w:rPr>
        <w:t>historial de eventos que explique sus cambios de estado, cantidades y ubicación;</w:t>
      </w:r>
    </w:p>
    <w:p>
      <w:pPr>
        <w:pStyle w:val="ListParagraph"/>
        <w:numPr>
          <w:ilvl w:val="0"/>
          <w:numId w:val="13"/>
        </w:numPr>
        <w:spacing w:line="360" w:lineRule="auto" w:after="0"/>
        <w:ind w:left="454" w:hanging="283"/>
      </w:pPr>
      <w:r>
        <w:rPr>
          <w:rFonts w:ascii="Times New Roman" w:hAnsi="Times New Roman"/>
          <w:sz w:val="24"/>
        </w:rPr>
        <w:t>reglas orientadas a prevenir cantidades negativas, asignaciones o consumos superiores al disponible, doble asignación, doble consumo y saldos incoherentes;</w:t>
      </w:r>
    </w:p>
    <w:p>
      <w:pPr>
        <w:pStyle w:val="ListParagraph"/>
        <w:numPr>
          <w:ilvl w:val="0"/>
          <w:numId w:val="13"/>
        </w:numPr>
        <w:spacing w:line="360" w:lineRule="auto" w:after="0"/>
        <w:ind w:left="454" w:hanging="283"/>
      </w:pPr>
      <w:r>
        <w:rPr>
          <w:rFonts w:ascii="Times New Roman" w:hAnsi="Times New Roman"/>
          <w:sz w:val="24"/>
        </w:rPr>
        <w:t>mantenimiento de la coherencia de cantidades y saldos durante transferencias y transformaciones del material vegetal;</w:t>
      </w:r>
    </w:p>
    <w:p>
      <w:pPr>
        <w:pStyle w:val="ListParagraph"/>
        <w:numPr>
          <w:ilvl w:val="0"/>
          <w:numId w:val="13"/>
        </w:numPr>
        <w:spacing w:line="360" w:lineRule="auto" w:after="0"/>
        <w:ind w:left="454" w:hanging="283"/>
      </w:pPr>
      <w:r>
        <w:rPr>
          <w:rFonts w:ascii="Times New Roman" w:hAnsi="Times New Roman"/>
          <w:sz w:val="24"/>
        </w:rPr>
        <w:t>evidencia fotográfica, temporal y geográfica vinculada con el evento correspondiente.</w:t>
      </w:r>
    </w:p>
    <w:p>
      <w:pPr>
        <w:pStyle w:val="Heading2"/>
      </w:pPr>
      <w:r>
        <w:rPr>
          <w:rFonts w:ascii="Times New Roman" w:hAnsi="Times New Roman"/>
          <w:sz w:val="24"/>
        </w:rPr>
        <w:t>6.2. Alcance de la evaluación</w:t>
      </w:r>
    </w:p>
    <w:p>
      <w:r>
        <w:rPr>
          <w:rFonts w:ascii="Times New Roman" w:hAnsi="Times New Roman"/>
          <w:sz w:val="24"/>
        </w:rPr>
        <w:t>La evaluación se orientará primero a demostrar propiedades observables del sistema y, posteriormente, a comparar sus resultados con la forma en que R3Foresta conserva y reconstruye actualmente la información.</w:t>
      </w:r>
    </w:p>
    <w:p>
      <w:pPr>
        <w:pStyle w:val="Caption"/>
      </w:pPr>
      <w:r>
        <w:rPr>
          <w:rFonts w:ascii="Times New Roman" w:hAnsi="Times New Roman"/>
          <w:sz w:val="22"/>
        </w:rPr>
        <w:t>Tabla 1. Aspectos previstos para la evaluación.</w:t>
      </w:r>
    </w:p>
    <w:tbl>
      <w:tblPr>
        <w:tblW w:type="dxa" w:w="8270"/>
        <w:jc w:val="center"/>
        <w:tblLayout w:type="fixed"/>
        <w:tblLook w:firstColumn="1" w:firstRow="1" w:lastColumn="0" w:lastRow="0" w:noHBand="0" w:noVBand="1" w:val="04A0"/>
        <w:tblBorders>
          <w:top w:val="single" w:sz="4" w:color="94A3B8"/>
          <w:left w:val="single" w:sz="4" w:color="94A3B8"/>
          <w:bottom w:val="single" w:sz="4" w:color="94A3B8"/>
          <w:right w:val="single" w:sz="4" w:color="94A3B8"/>
          <w:insideH w:val="single" w:sz="4" w:color="94A3B8"/>
          <w:insideV w:val="single" w:sz="4" w:color="94A3B8"/>
        </w:tblBorders>
      </w:tblPr>
      <w:tblGrid>
        <w:gridCol w:w="1800"/>
        <w:gridCol w:w="3200"/>
        <w:gridCol w:w="3270"/>
      </w:tblGrid>
      <w:tr>
        <w:trPr>
          <w:tblHeader w:val="true"/>
        </w:trPr>
        <w:tc>
          <w:tcPr>
            <w:tcW w:type="dxa" w:w="1800"/>
            <w:vAlign w:val="center"/>
            <w:tcMar>
              <w:top w:w="100" w:type="dxa"/>
              <w:start w:w="110" w:type="dxa"/>
              <w:bottom w:w="100" w:type="dxa"/>
              <w:end w:w="110" w:type="dxa"/>
            </w:tcMar>
            <w:shd w:fill="DCE6F1"/>
          </w:tcPr>
          <w:p>
            <w:pPr>
              <w:spacing w:after="0" w:line="240" w:lineRule="auto"/>
              <w:ind w:firstLine="0" w:left="0" w:right="0"/>
              <w:jc w:val="left"/>
            </w:pPr>
            <w:r>
              <w:rPr>
                <w:rFonts w:ascii="Times New Roman" w:hAnsi="Times New Roman"/>
                <w:b/>
                <w:sz w:val="18"/>
              </w:rPr>
              <w:t>Aspecto a evaluar</w:t>
            </w:r>
          </w:p>
        </w:tc>
        <w:tc>
          <w:tcPr>
            <w:tcW w:type="dxa" w:w="3200"/>
            <w:vAlign w:val="center"/>
            <w:tcMar>
              <w:top w:w="100" w:type="dxa"/>
              <w:start w:w="110" w:type="dxa"/>
              <w:bottom w:w="100" w:type="dxa"/>
              <w:end w:w="110" w:type="dxa"/>
            </w:tcMar>
            <w:shd w:fill="DCE6F1"/>
          </w:tcPr>
          <w:p>
            <w:pPr>
              <w:spacing w:after="0" w:line="240" w:lineRule="auto"/>
              <w:ind w:firstLine="0" w:left="0" w:right="0"/>
              <w:jc w:val="left"/>
            </w:pPr>
            <w:r>
              <w:rPr>
                <w:rFonts w:ascii="Times New Roman" w:hAnsi="Times New Roman"/>
                <w:b/>
                <w:sz w:val="18"/>
              </w:rPr>
              <w:t>Qué se busca comprobar</w:t>
            </w:r>
          </w:p>
        </w:tc>
        <w:tc>
          <w:tcPr>
            <w:tcW w:type="dxa" w:w="3270"/>
            <w:vAlign w:val="center"/>
            <w:tcMar>
              <w:top w:w="100" w:type="dxa"/>
              <w:start w:w="110" w:type="dxa"/>
              <w:bottom w:w="100" w:type="dxa"/>
              <w:end w:w="110" w:type="dxa"/>
            </w:tcMar>
            <w:shd w:fill="DCE6F1"/>
          </w:tcPr>
          <w:p>
            <w:pPr>
              <w:spacing w:after="0" w:line="240" w:lineRule="auto"/>
              <w:ind w:firstLine="0" w:left="0" w:right="0"/>
              <w:jc w:val="left"/>
            </w:pPr>
            <w:r>
              <w:rPr>
                <w:rFonts w:ascii="Times New Roman" w:hAnsi="Times New Roman"/>
                <w:b/>
                <w:sz w:val="18"/>
              </w:rPr>
              <w:t>Evidencia prevista</w:t>
            </w:r>
          </w:p>
        </w:tc>
      </w:tr>
      <w:tr>
        <w:tc>
          <w:tcPr>
            <w:tcW w:type="dxa" w:w="18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Reconstrucción de la trazabilidad</w:t>
            </w:r>
          </w:p>
        </w:tc>
        <w:tc>
          <w:tcPr>
            <w:tcW w:type="dxa" w:w="32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Que la información registrada permita reconstruir de manera comprensible y consistente el origen, las etapas recorridas, los eventos, los cambios de estado, las cantidades, las transformaciones, las pérdidas, los responsables, la ubicación y el destino del material vegetal</w:t>
            </w:r>
          </w:p>
        </w:tc>
        <w:tc>
          <w:tcPr>
            <w:tcW w:type="dxa" w:w="327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Consultas o ejercicios de reconstrucción sobre trazas registradas, historial de eventos y evidencias asociadas</w:t>
            </w:r>
          </w:p>
        </w:tc>
      </w:tr>
      <w:tr>
        <w:tc>
          <w:tcPr>
            <w:tcW w:type="dxa" w:w="18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Integridad de cantidades y saldos</w:t>
            </w:r>
          </w:p>
        </w:tc>
        <w:tc>
          <w:tcPr>
            <w:tcW w:type="dxa" w:w="32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Que las reglas implementadas prevengan o detecten cantidades negativas, consumo o asignación superior al disponible, doble consumo, doble asignación, saldos incoherentes y pérdida de relación entre material de origen y resultante</w:t>
            </w:r>
          </w:p>
        </w:tc>
        <w:tc>
          <w:tcPr>
            <w:tcW w:type="dxa" w:w="327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Resultados de pruebas funcionales y técnicas, registros de eventos y conciliación de cantidades</w:t>
            </w:r>
          </w:p>
        </w:tc>
      </w:tr>
      <w:tr>
        <w:tc>
          <w:tcPr>
            <w:tcW w:type="dxa" w:w="18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Utilización durante una operación real</w:t>
            </w:r>
          </w:p>
        </w:tc>
        <w:tc>
          <w:tcPr>
            <w:tcW w:type="dxa" w:w="32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Que el sistema pueda utilizarse durante una actividad operativa de R3Foresta, procurando incluir una actividad real de plantación cuando el calendario institucional lo permita</w:t>
            </w:r>
          </w:p>
        </w:tc>
        <w:tc>
          <w:tcPr>
            <w:tcW w:type="dxa" w:w="327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Registros generados por el sistema, observación directa, registros de campo y evidencia disponible</w:t>
            </w:r>
          </w:p>
        </w:tc>
      </w:tr>
      <w:tr>
        <w:tc>
          <w:tcPr>
            <w:tcW w:type="dxa" w:w="18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Comparación con la situación actual</w:t>
            </w:r>
          </w:p>
        </w:tc>
        <w:tc>
          <w:tcPr>
            <w:tcW w:type="dxa" w:w="32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Qué diferencias existen en la información recuperable, los vacíos, las fuentes necesarias, el tiempo de reconstrucción, la claridad del historial y la explicación de cantidades y saldos</w:t>
            </w:r>
          </w:p>
        </w:tc>
        <w:tc>
          <w:tcPr>
            <w:tcW w:type="dxa" w:w="327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Censo de trazas elegibles del periodo documental, fuentes existentes y trazas paralelas o comparables generadas con la propuesta</w:t>
            </w:r>
          </w:p>
        </w:tc>
      </w:tr>
      <w:tr>
        <w:tc>
          <w:tcPr>
            <w:tcW w:type="dxa" w:w="18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Carga operativa y experiencia de los participantes</w:t>
            </w:r>
          </w:p>
        </w:tc>
        <w:tc>
          <w:tcPr>
            <w:tcW w:type="dxa" w:w="32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Qué esfuerzo requiere registrar y recuperar la información de trazabilidad con la solución propuesta, considerando las diferencias observables respecto de la práctica actual</w:t>
            </w:r>
          </w:p>
        </w:tc>
        <w:tc>
          <w:tcPr>
            <w:tcW w:type="dxa" w:w="327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Tiempo de registro y reconstrucción, cantidad de pasos, observación y retroalimentación de los participantes</w:t>
            </w:r>
          </w:p>
        </w:tc>
      </w:tr>
    </w:tbl>
    <w:p>
      <w:pPr>
        <w:spacing w:after="0"/>
      </w:pPr>
    </w:p>
    <w:p>
      <w:r>
        <w:rPr>
          <w:rFonts w:ascii="Times New Roman" w:hAnsi="Times New Roman"/>
          <w:sz w:val="24"/>
        </w:rPr>
        <w:t>La evaluación se realizará con actividades y participantes coordinados con R3Foresta, priorizando la observación de actividades reales.</w:t>
      </w:r>
    </w:p>
    <w:p>
      <w:pPr>
        <w:pStyle w:val="Heading2"/>
      </w:pPr>
      <w:r>
        <w:rPr>
          <w:rFonts w:ascii="Times New Roman" w:hAnsi="Times New Roman"/>
          <w:sz w:val="24"/>
        </w:rPr>
        <w:t>6.3. Fuera del alcance</w:t>
      </w:r>
    </w:p>
    <w:p>
      <w:r>
        <w:rPr>
          <w:rFonts w:ascii="Times New Roman" w:hAnsi="Times New Roman"/>
          <w:sz w:val="24"/>
        </w:rPr>
        <w:t>Quedan fuera del proyecto:</w:t>
      </w:r>
    </w:p>
    <w:p>
      <w:pPr>
        <w:pStyle w:val="ListParagraph"/>
        <w:numPr>
          <w:ilvl w:val="0"/>
          <w:numId w:val="14"/>
        </w:numPr>
        <w:spacing w:line="360" w:lineRule="auto" w:after="0"/>
        <w:ind w:left="454" w:hanging="283"/>
      </w:pPr>
      <w:r>
        <w:rPr>
          <w:rFonts w:ascii="Times New Roman" w:hAnsi="Times New Roman"/>
          <w:sz w:val="24"/>
        </w:rPr>
        <w:t>certificación, emisión o comercialización de bonos o créditos de carbono;</w:t>
      </w:r>
    </w:p>
    <w:p>
      <w:pPr>
        <w:pStyle w:val="ListParagraph"/>
        <w:numPr>
          <w:ilvl w:val="0"/>
          <w:numId w:val="14"/>
        </w:numPr>
        <w:spacing w:line="360" w:lineRule="auto" w:after="0"/>
        <w:ind w:left="454" w:hanging="283"/>
      </w:pPr>
      <w:r>
        <w:rPr>
          <w:rFonts w:ascii="Times New Roman" w:hAnsi="Times New Roman"/>
          <w:sz w:val="24"/>
        </w:rPr>
        <w:t>cálculo de biomasa, CO₂ equivalente, adicionalidad, permanencia o línea base de carbono;</w:t>
      </w:r>
    </w:p>
    <w:p>
      <w:pPr>
        <w:pStyle w:val="ListParagraph"/>
        <w:numPr>
          <w:ilvl w:val="0"/>
          <w:numId w:val="14"/>
        </w:numPr>
        <w:spacing w:line="360" w:lineRule="auto" w:after="0"/>
        <w:ind w:left="454" w:hanging="283"/>
      </w:pPr>
      <w:r>
        <w:rPr>
          <w:rFonts w:ascii="Times New Roman" w:hAnsi="Times New Roman"/>
          <w:sz w:val="24"/>
        </w:rPr>
        <w:t>certificación independiente de plantaciones o autenticidad forense de fotografías;</w:t>
      </w:r>
    </w:p>
    <w:p>
      <w:pPr>
        <w:pStyle w:val="ListParagraph"/>
        <w:numPr>
          <w:ilvl w:val="0"/>
          <w:numId w:val="14"/>
        </w:numPr>
        <w:spacing w:line="360" w:lineRule="auto" w:after="0"/>
        <w:ind w:left="454" w:hanging="283"/>
      </w:pPr>
      <w:r>
        <w:rPr>
          <w:rFonts w:ascii="Times New Roman" w:hAnsi="Times New Roman"/>
          <w:sz w:val="24"/>
        </w:rPr>
        <w:t>monitoreo, crecimiento, mantenimiento o seguimiento ecológico posteriores al registro de la plantación;</w:t>
      </w:r>
    </w:p>
    <w:p>
      <w:pPr>
        <w:pStyle w:val="ListParagraph"/>
        <w:numPr>
          <w:ilvl w:val="0"/>
          <w:numId w:val="14"/>
        </w:numPr>
        <w:spacing w:line="360" w:lineRule="auto" w:after="0"/>
        <w:ind w:left="454" w:hanging="283"/>
      </w:pPr>
      <w:r>
        <w:rPr>
          <w:rFonts w:ascii="Times New Roman" w:hAnsi="Times New Roman"/>
          <w:sz w:val="24"/>
        </w:rPr>
        <w:t>garantía de supervivencia de las plantas después de su plantación;</w:t>
      </w:r>
    </w:p>
    <w:p>
      <w:pPr>
        <w:pStyle w:val="ListParagraph"/>
        <w:numPr>
          <w:ilvl w:val="0"/>
          <w:numId w:val="14"/>
        </w:numPr>
        <w:spacing w:line="360" w:lineRule="auto" w:after="0"/>
        <w:ind w:left="454" w:hanging="283"/>
      </w:pPr>
      <w:r>
        <w:rPr>
          <w:rFonts w:ascii="Times New Roman" w:hAnsi="Times New Roman"/>
          <w:sz w:val="24"/>
        </w:rPr>
        <w:t>blockchain, NFT, contratos inteligentes, IPFS y anclajes criptográficos;</w:t>
      </w:r>
    </w:p>
    <w:p>
      <w:pPr>
        <w:pStyle w:val="ListParagraph"/>
        <w:numPr>
          <w:ilvl w:val="0"/>
          <w:numId w:val="14"/>
        </w:numPr>
        <w:spacing w:line="360" w:lineRule="auto" w:after="0"/>
        <w:ind w:left="454" w:hanging="283"/>
      </w:pPr>
      <w:r>
        <w:rPr>
          <w:rFonts w:ascii="Times New Roman" w:hAnsi="Times New Roman"/>
          <w:sz w:val="24"/>
        </w:rPr>
        <w:t>integración con mercados de carbono o sistemas externos de certificación;</w:t>
      </w:r>
    </w:p>
    <w:p>
      <w:pPr>
        <w:pStyle w:val="ListParagraph"/>
        <w:numPr>
          <w:ilvl w:val="0"/>
          <w:numId w:val="14"/>
        </w:numPr>
        <w:spacing w:line="360" w:lineRule="auto" w:after="0"/>
        <w:ind w:left="454" w:hanging="283"/>
      </w:pPr>
      <w:r>
        <w:rPr>
          <w:rFonts w:ascii="Times New Roman" w:hAnsi="Times New Roman"/>
          <w:sz w:val="24"/>
        </w:rPr>
        <w:t>operación nacional o despliegue masivo;</w:t>
      </w:r>
    </w:p>
    <w:p>
      <w:r>
        <w:rPr>
          <w:rFonts w:ascii="Times New Roman" w:hAnsi="Times New Roman"/>
          <w:sz w:val="24"/>
        </w:rPr>
        <w:t>La aspiración de R3Foresta de participar en mecanismos de carbono se reconoce únicamente como contexto organizacional de largo plazo. No es un resultado ni una promesa del presente Proyecto de Grado.</w:t>
      </w:r>
    </w:p>
    <w:p>
      <w:r>
        <w:rPr>
          <w:rFonts w:ascii="Times New Roman" w:hAnsi="Times New Roman"/>
          <w:sz w:val="24"/>
        </w:rPr>
        <w:t>Los prototipos o componentes técnicos anteriores relacionados con blockchain, NFT o IPFS podrán existir en repositorios históricos, pero no formarán parte de la construcción académica, la matriz de cumplimiento, la evaluación ni las conclusiones de la solución presentada.</w:t>
      </w:r>
    </w:p>
    <w:p>
      <w:pPr>
        <w:pStyle w:val="Heading2"/>
      </w:pPr>
      <w:r>
        <w:rPr>
          <w:rFonts w:ascii="Times New Roman" w:hAnsi="Times New Roman"/>
          <w:sz w:val="24"/>
        </w:rPr>
        <w:t>6.4. Limitaciones</w:t>
      </w:r>
    </w:p>
    <w:p>
      <w:pPr>
        <w:pStyle w:val="ListParagraph"/>
        <w:numPr>
          <w:ilvl w:val="0"/>
          <w:numId w:val="15"/>
        </w:numPr>
        <w:spacing w:line="360" w:lineRule="auto" w:after="0"/>
        <w:ind w:left="454" w:hanging="283"/>
      </w:pPr>
      <w:r>
        <w:rPr>
          <w:rFonts w:ascii="Times New Roman" w:hAnsi="Times New Roman"/>
          <w:b/>
          <w:sz w:val="24"/>
        </w:rPr>
        <w:t>Disponibilidad de información histórica:</w:t>
      </w:r>
      <w:r>
        <w:rPr>
          <w:rFonts w:ascii="Times New Roman" w:hAnsi="Times New Roman"/>
          <w:sz w:val="24"/>
        </w:rPr>
        <w:t xml:space="preserve"> los registros anteriores pueden estar incompletos, distribuidos entre diferentes fuentes o presentar niveles de detalle desiguales. Se delimitará un periodo documental, se inventariarán las actividades identificables y se incluirán todas las trazas que cumplan los criterios definidos; las exclusiones y sus motivos quedarán registradas.</w:t>
      </w:r>
    </w:p>
    <w:p>
      <w:pPr>
        <w:pStyle w:val="ListParagraph"/>
        <w:numPr>
          <w:ilvl w:val="0"/>
          <w:numId w:val="15"/>
        </w:numPr>
        <w:spacing w:line="360" w:lineRule="auto" w:after="0"/>
        <w:ind w:left="454" w:hanging="283"/>
      </w:pPr>
      <w:r>
        <w:rPr>
          <w:rFonts w:ascii="Times New Roman" w:hAnsi="Times New Roman"/>
          <w:b/>
          <w:sz w:val="24"/>
        </w:rPr>
        <w:t>Disponibilidad de operaciones reales:</w:t>
      </w:r>
      <w:r>
        <w:rPr>
          <w:rFonts w:ascii="Times New Roman" w:hAnsi="Times New Roman"/>
          <w:sz w:val="24"/>
        </w:rPr>
        <w:t xml:space="preserve"> la posibilidad de observar recolección, vivero o plantación depende del calendario operativo y de los ciclos propios de R3Foresta durante el periodo del Proyecto de Grado. Las etapas que no puedan observarse se evaluarán mediante casos controlados y se informarán como tales.</w:t>
      </w:r>
    </w:p>
    <w:p>
      <w:pPr>
        <w:pStyle w:val="ListParagraph"/>
        <w:numPr>
          <w:ilvl w:val="0"/>
          <w:numId w:val="15"/>
        </w:numPr>
        <w:spacing w:line="360" w:lineRule="auto" w:after="0"/>
        <w:ind w:left="454" w:hanging="283"/>
      </w:pPr>
      <w:r>
        <w:rPr>
          <w:rFonts w:ascii="Times New Roman" w:hAnsi="Times New Roman"/>
          <w:b/>
          <w:sz w:val="24"/>
        </w:rPr>
        <w:t>Disponibilidad de participantes:</w:t>
      </w:r>
      <w:r>
        <w:rPr>
          <w:rFonts w:ascii="Times New Roman" w:hAnsi="Times New Roman"/>
          <w:sz w:val="24"/>
        </w:rPr>
        <w:t xml:space="preserve"> la cantidad definitiva de participantes dependerá de las personas disponibles y autorizadas por R3Foresta durante la evaluación.</w:t>
      </w:r>
    </w:p>
    <w:p>
      <w:pPr>
        <w:pStyle w:val="ListParagraph"/>
        <w:numPr>
          <w:ilvl w:val="0"/>
          <w:numId w:val="15"/>
        </w:numPr>
        <w:spacing w:line="360" w:lineRule="auto" w:after="0"/>
        <w:ind w:left="454" w:hanging="283"/>
      </w:pPr>
      <w:r>
        <w:rPr>
          <w:rFonts w:ascii="Times New Roman" w:hAnsi="Times New Roman"/>
          <w:b/>
          <w:sz w:val="24"/>
        </w:rPr>
        <w:t>Alcance del estudio de caso:</w:t>
      </w:r>
      <w:r>
        <w:rPr>
          <w:rFonts w:ascii="Times New Roman" w:hAnsi="Times New Roman"/>
          <w:sz w:val="24"/>
        </w:rPr>
        <w:t xml:space="preserve"> la evaluación se realizará dentro del contexto de R3Foresta. No busca inferencia estadística ni permite afirmar que los resultados sean automáticamente generalizables a todas las organizaciones forestales.</w:t>
      </w:r>
    </w:p>
    <w:p>
      <w:pPr>
        <w:pStyle w:val="ListParagraph"/>
        <w:numPr>
          <w:ilvl w:val="0"/>
          <w:numId w:val="15"/>
        </w:numPr>
        <w:spacing w:line="360" w:lineRule="auto" w:after="0"/>
        <w:ind w:left="454" w:hanging="283"/>
      </w:pPr>
      <w:r>
        <w:rPr>
          <w:rFonts w:ascii="Times New Roman" w:hAnsi="Times New Roman"/>
          <w:b/>
          <w:sz w:val="24"/>
        </w:rPr>
        <w:t>Limitación de las evidencias digitales:</w:t>
      </w:r>
      <w:r>
        <w:rPr>
          <w:rFonts w:ascii="Times New Roman" w:hAnsi="Times New Roman"/>
          <w:sz w:val="24"/>
        </w:rPr>
        <w:t xml:space="preserve"> fotografías, coordenadas, fechas y otros datos respaldan el registro con el cual están asociados, pero no certifican por sí solos que la situación física o la cantidad declarada sea absolutamente correcta.</w:t>
      </w:r>
    </w:p>
    <w:p>
      <w:pPr>
        <w:pStyle w:val="ListParagraph"/>
        <w:numPr>
          <w:ilvl w:val="0"/>
          <w:numId w:val="15"/>
        </w:numPr>
        <w:spacing w:line="360" w:lineRule="auto" w:after="0"/>
        <w:ind w:left="454" w:hanging="283"/>
      </w:pPr>
      <w:r>
        <w:rPr>
          <w:rFonts w:ascii="Times New Roman" w:hAnsi="Times New Roman"/>
          <w:b/>
          <w:sz w:val="24"/>
        </w:rPr>
        <w:t>Sitio del piloto:</w:t>
      </w:r>
      <w:r>
        <w:rPr>
          <w:rFonts w:ascii="Times New Roman" w:hAnsi="Times New Roman"/>
          <w:sz w:val="24"/>
        </w:rPr>
        <w:t xml:space="preserve"> el lugar concreto todavía no está confirmado; se seleccionará según la disponibilidad de una actividad real, la accesibilidad logística, la autorización correspondiente y la posibilidad de observar adecuadamente el proceso.</w:t>
      </w:r>
    </w:p>
    <w:p>
      <w:pPr>
        <w:pStyle w:val="Heading1"/>
      </w:pPr>
      <w:r>
        <w:rPr>
          <w:rFonts w:ascii="Times New Roman" w:hAnsi="Times New Roman"/>
          <w:sz w:val="28"/>
        </w:rPr>
        <w:t>7. Marco teórico preliminar</w:t>
      </w:r>
    </w:p>
    <w:p>
      <w:pPr>
        <w:pStyle w:val="Heading2"/>
      </w:pPr>
      <w:r>
        <w:rPr>
          <w:rFonts w:ascii="Times New Roman" w:hAnsi="Times New Roman"/>
          <w:sz w:val="24"/>
        </w:rPr>
        <w:t>7.1. Material vegetal, trazabilidad y cadena de custodia</w:t>
      </w:r>
    </w:p>
    <w:p>
      <w:r>
        <w:rPr>
          <w:rFonts w:ascii="Times New Roman" w:hAnsi="Times New Roman"/>
          <w:sz w:val="24"/>
        </w:rPr>
        <w:t xml:space="preserve">La Organización de las Naciones Unidas para la Alimentación y la Agricultura incluye dentro del material reproductivo forestal las semillas, las partes de plantas y las plantas producidas a partir de ellas. Para iniciativas de reforestación recomienda documentar, entre otros datos, la fuente, la cantidad, los tratamientos, la distribución y los lugares donde el material se utiliza; también señala la importancia de conservar información del proveedor cuando el material es adquirido (Food and Agriculture Organization of the United Nations [FAO], s. f.). En este proyecto, la expresión </w:t>
      </w:r>
      <w:r>
        <w:rPr>
          <w:rFonts w:ascii="Times New Roman" w:hAnsi="Times New Roman"/>
          <w:i/>
          <w:sz w:val="24"/>
        </w:rPr>
        <w:t>material vegetal</w:t>
      </w:r>
      <w:r>
        <w:rPr>
          <w:rFonts w:ascii="Times New Roman" w:hAnsi="Times New Roman"/>
          <w:sz w:val="24"/>
        </w:rPr>
        <w:t xml:space="preserve"> abarca esas unidades durante el periodo comprendido entre su recolección o ingreso externo y el registro de su plantación.</w:t>
      </w:r>
    </w:p>
    <w:p>
      <w:r>
        <w:rPr>
          <w:rFonts w:ascii="Times New Roman" w:hAnsi="Times New Roman"/>
          <w:sz w:val="24"/>
        </w:rPr>
        <w:t>La trazabilidad permite recuperar información sobre un objeto y seguir sus relaciones a lo largo de una cadena. Moe (1998) diferencia la trazabilidad interna de aquella que enlaza distintas etapas y actores, mientras que Olsen y Borit (2013) la definen a partir de la posibilidad de acceder a información sobre los objetos considerados durante su ciclo de vida. La cadena de custodia complementa este concepto al conservar relaciones de procedencia, transferencia y responsabilidad. ISO 22095:2020 establece, sin embargo, que la existencia de una cadena de custodia no demuestra por sí sola la veracidad de las declaraciones registradas (ISO, 2020). Por ello, R3Foresta buscará reconstruir registros respaldados por evidencia, no certificar de manera independiente los hechos físicos.</w:t>
      </w:r>
    </w:p>
    <w:p>
      <w:pPr>
        <w:pStyle w:val="Heading2"/>
      </w:pPr>
      <w:r>
        <w:rPr>
          <w:rFonts w:ascii="Times New Roman" w:hAnsi="Times New Roman"/>
          <w:sz w:val="24"/>
        </w:rPr>
        <w:t>7.2. Unidades trazables, eventos y procedencia</w:t>
      </w:r>
    </w:p>
    <w:p>
      <w:r>
        <w:rPr>
          <w:rFonts w:ascii="Times New Roman" w:hAnsi="Times New Roman"/>
          <w:sz w:val="24"/>
        </w:rPr>
        <w:t>Un sistema de trazabilidad necesita identificar las unidades consideradas, conservar sus atributos y registrar las relaciones que se producen cuando se agrupan, dividen o transforman (Olsen &amp; Borit, 2018). En R3Foresta estas unidades pueden representarse mediante un registro de origen, un lote de vivero, una asignación o una plantación. Su identidad informática no implica que permanezcan físicamente inalteradas: el modelo debe conservar las relaciones suficientes para explicar de dónde provienen y qué ocurrió con ellas.</w:t>
      </w:r>
    </w:p>
    <w:p>
      <w:r>
        <w:rPr>
          <w:rFonts w:ascii="Times New Roman" w:hAnsi="Times New Roman"/>
          <w:sz w:val="24"/>
        </w:rPr>
        <w:t xml:space="preserve">Un evento representa un hecho ocurrido sobre esas unidades, por ejemplo una recepción, un embolsado, una merma, una asignación, una devolución o una plantación. Thakur et al. (2011) muestran que los eventos pueden relacionar objetos, tiempo, lugar y motivo, y Solanki y Brewster (2014) explican cómo una transformación vincula entradas con salidas para recuperar su procedencia. El modelo PROV distingue entidades, actividades y agentes, y permite expresar uso, generación, derivación y responsabilidad dentro de una cadena de procedencia (World Wide Web Consortium [W3C], 2013). Estos referentes se utilizarán como base conceptual; el proyecto no queda obligado a implementar EPCIS, PROV-O ni una arquitectura de </w:t>
      </w:r>
      <w:r>
        <w:rPr>
          <w:rFonts w:ascii="Times New Roman" w:hAnsi="Times New Roman"/>
          <w:i/>
          <w:sz w:val="24"/>
        </w:rPr>
        <w:t>event sourcing</w:t>
      </w:r>
      <w:r>
        <w:rPr>
          <w:rFonts w:ascii="Times New Roman" w:hAnsi="Times New Roman"/>
          <w:sz w:val="24"/>
        </w:rPr>
        <w:t>.</w:t>
      </w:r>
    </w:p>
    <w:p>
      <w:r>
        <w:rPr>
          <w:rFonts w:ascii="Times New Roman" w:hAnsi="Times New Roman"/>
          <w:sz w:val="24"/>
        </w:rPr>
        <w:t>El diseño distinguirá una transferencia, que mueve material entre responsables, lugares o etapas, de una transformación, que puede cambiar su estado, cantidad o unidad de medida. Tampoco atribuirá a una compra o recepción externa una recolección que no ocurrió: ese material iniciará su historial con los datos de procedencia disponibles y con el hecho de ingreso correspondiente.</w:t>
      </w:r>
    </w:p>
    <w:p>
      <w:pPr>
        <w:pStyle w:val="Heading2"/>
      </w:pPr>
      <w:r>
        <w:rPr>
          <w:rFonts w:ascii="Times New Roman" w:hAnsi="Times New Roman"/>
          <w:sz w:val="24"/>
        </w:rPr>
        <w:t>7.3. Integridad de cantidades y operaciones</w:t>
      </w:r>
    </w:p>
    <w:p>
      <w:r>
        <w:rPr>
          <w:rFonts w:ascii="Times New Roman" w:hAnsi="Times New Roman"/>
          <w:sz w:val="24"/>
        </w:rPr>
        <w:t>La reconstrucción del historial pierde utilidad si las cantidades, saldos y relaciones pueden quedar en estados incoherentes. Una invariante es una condición que debe preservarse antes y después de una operación, como mantener un saldo no negativo, impedir una asignación superior al disponible, evitar el doble consumo y conservar la correspondencia entre el material de origen y el resultante. El diseño por contrato permite expresar precondiciones, poscondiciones e invariantes (Meyer, 1992), y la trazabilidad de requerimientos permite relacionar estas condiciones con reglas, decisiones y pruebas durante la evolución del sistema (Gotel &amp; Finkelstein, 1994).</w:t>
      </w:r>
    </w:p>
    <w:p>
      <w:r>
        <w:rPr>
          <w:rFonts w:ascii="Times New Roman" w:hAnsi="Times New Roman"/>
          <w:sz w:val="24"/>
        </w:rPr>
        <w:t>Una operación entre etapas puede modificar simultáneamente el historial, la disponibilidad y las relaciones de procedencia. La teoría de transacciones identifica propiedades de atomicidad, consistencia, aislamiento y durabilidad para evitar resultados parciales y controlar interacciones simultáneas (Härder &amp; Reuter, 1983). El Perfil compromete las propiedades observables —coherencia, ausencia de estados parciales y prevención de consumos duplicados—, pero deja para el diseño la elección y justificación de transacciones, restricciones, bloqueos u otros mecanismos concretos.</w:t>
      </w:r>
    </w:p>
    <w:p>
      <w:pPr>
        <w:pStyle w:val="Heading2"/>
      </w:pPr>
      <w:r>
        <w:rPr>
          <w:rFonts w:ascii="Times New Roman" w:hAnsi="Times New Roman"/>
          <w:sz w:val="24"/>
        </w:rPr>
        <w:t>7.4. Evidencia, información geográfica y reconstrucción</w:t>
      </w:r>
    </w:p>
    <w:p>
      <w:r>
        <w:rPr>
          <w:rFonts w:ascii="Times New Roman" w:hAnsi="Times New Roman"/>
          <w:sz w:val="24"/>
        </w:rPr>
        <w:t>La evidencia adquiere valor de trazabilidad cuando se relaciona con el evento que pretende respaldar. Fotografías, fechas, ubicaciones y documentos de procedencia pueden ayudar a contrastar quién registró un hecho, cuándo y dónde ocurrió y qué material estuvo involucrado. La información geográfica permite asociar puntos de recolección o plantación con lugares o áreas definidas, pero una coordenada o una fotografía no certifica por sí sola la autenticidad del hecho ni la cantidad declarada.</w:t>
      </w:r>
    </w:p>
    <w:p>
      <w:r>
        <w:rPr>
          <w:rFonts w:ascii="Times New Roman" w:hAnsi="Times New Roman"/>
          <w:sz w:val="24"/>
        </w:rPr>
        <w:t>La capacidad de reconstrucción debe comprobarse intentando recuperar el recorrido, no suponerse por la sola existencia del sistema. Donnelly et al. (2012) evaluaron sistemas de trazabilidad mediante un retiro simulado que exigía recuperar el origen y la información vinculada con los lotes. R3Foresta adapta ese principio mediante preguntas de procedencia, eventos, cantidades, responsables, destino, ubicación y evidencia. La evaluación específica de estas propiedades se complementará con criterios de adecuación funcional, fiabilidad, capacidad de interacción, seguridad y mantenibilidad tomados como referencia del modelo ISO/IEC 25010:2023 (ISO, 2023).</w:t>
      </w:r>
    </w:p>
    <w:p>
      <w:pPr>
        <w:pStyle w:val="Heading1"/>
      </w:pPr>
      <w:r>
        <w:rPr>
          <w:rFonts w:ascii="Times New Roman" w:hAnsi="Times New Roman"/>
          <w:sz w:val="28"/>
        </w:rPr>
        <w:t>8. Marco metodológico</w:t>
      </w:r>
    </w:p>
    <w:p>
      <w:pPr>
        <w:pStyle w:val="Heading2"/>
      </w:pPr>
      <w:r>
        <w:rPr>
          <w:rFonts w:ascii="Times New Roman" w:hAnsi="Times New Roman"/>
          <w:sz w:val="24"/>
        </w:rPr>
        <w:t>8.1. Diseño de la investigación</w:t>
      </w:r>
    </w:p>
    <w:p>
      <w:r>
        <w:rPr>
          <w:rFonts w:ascii="Times New Roman" w:hAnsi="Times New Roman"/>
          <w:sz w:val="24"/>
        </w:rPr>
        <w:t xml:space="preserve">La investigación será </w:t>
      </w:r>
      <w:r>
        <w:rPr>
          <w:rFonts w:ascii="Times New Roman" w:hAnsi="Times New Roman"/>
          <w:b/>
          <w:sz w:val="24"/>
        </w:rPr>
        <w:t>aplicada y tecnológica</w:t>
      </w:r>
      <w:r>
        <w:rPr>
          <w:rFonts w:ascii="Times New Roman" w:hAnsi="Times New Roman"/>
          <w:sz w:val="24"/>
        </w:rPr>
        <w:t xml:space="preserve"> porque construirá un artefacto de software para atender un problema operativo. Se adoptará la </w:t>
      </w:r>
      <w:r>
        <w:rPr>
          <w:rFonts w:ascii="Times New Roman" w:hAnsi="Times New Roman"/>
          <w:b/>
          <w:sz w:val="24"/>
        </w:rPr>
        <w:t>ciencia del diseño</w:t>
      </w:r>
      <w:r>
        <w:rPr>
          <w:rFonts w:ascii="Times New Roman" w:hAnsi="Times New Roman"/>
          <w:sz w:val="24"/>
        </w:rPr>
        <w:t>, que vincula la construcción y evaluación de un artefacto con un problema organizacional (Hevner et al., 2004). El proceso seguirá las actividades de DSRM: identificación del problema, definición de objetivos, diseño y desarrollo, demostración, evaluación y comunicación (Peffers et al., 2007).</w:t>
      </w:r>
    </w:p>
    <w:p>
      <w:r>
        <w:rPr>
          <w:rFonts w:ascii="Times New Roman" w:hAnsi="Times New Roman"/>
          <w:sz w:val="24"/>
        </w:rPr>
        <w:t xml:space="preserve">R3Foresta se estudiará como un </w:t>
      </w:r>
      <w:r>
        <w:rPr>
          <w:rFonts w:ascii="Times New Roman" w:hAnsi="Times New Roman"/>
          <w:b/>
          <w:sz w:val="24"/>
        </w:rPr>
        <w:t>caso único embebido</w:t>
      </w:r>
      <w:r>
        <w:rPr>
          <w:rFonts w:ascii="Times New Roman" w:hAnsi="Times New Roman"/>
          <w:sz w:val="24"/>
        </w:rPr>
        <w:t>: la organización y su proceso constituyen el caso, y las trazas de cadena de custodia son las unidades embebidas. Este diseño permite analizar la solución dentro de su contexto y combinar documentos, registros, observación, entrevistas y resultados técnicos (Runeson &amp; Höst, 2009). El enfoque será mixto y descriptivo: utilizará conteos, porcentajes, tiempos y resultados de pruebas junto con observaciones y dificultades reportadas. Los resultados describirán el caso y no se generalizarán estadísticamente. Este planteamiento mantiene el carácter de investigación, programación y diseño exigido para un Proyecto de Grado de licenciatura (Comité Ejecutivo de la Universidad Boliviana, s. f.).</w:t>
      </w:r>
    </w:p>
    <w:p>
      <w:pPr>
        <w:pStyle w:val="Heading2"/>
      </w:pPr>
      <w:r>
        <w:rPr>
          <w:rFonts w:ascii="Times New Roman" w:hAnsi="Times New Roman"/>
          <w:sz w:val="24"/>
        </w:rPr>
        <w:t>8.2. Unidades de análisis y participantes</w:t>
      </w:r>
    </w:p>
    <w:p>
      <w:r>
        <w:rPr>
          <w:rFonts w:ascii="Times New Roman" w:hAnsi="Times New Roman"/>
          <w:sz w:val="24"/>
        </w:rPr>
        <w:t xml:space="preserve">Una </w:t>
      </w:r>
      <w:r>
        <w:rPr>
          <w:rFonts w:ascii="Times New Roman" w:hAnsi="Times New Roman"/>
          <w:b/>
          <w:sz w:val="24"/>
        </w:rPr>
        <w:t>traza de cadena de custodia</w:t>
      </w:r>
      <w:r>
        <w:rPr>
          <w:rFonts w:ascii="Times New Roman" w:hAnsi="Times New Roman"/>
          <w:sz w:val="24"/>
        </w:rPr>
        <w:t xml:space="preserve"> es el conjunto de registros relacionados que permite reconstruir el recorrido del material vegetal desde su origen o ingreso hasta el registro de la plantación. Para caracterizar la práctica actual se acordará con R3Foresta un periodo documental acotado según el tiempo y las fuentes accesibles. Dentro de ese periodo se inventariarán las actividades identificables y se incluirán todas las trazas que cumplan criterios previamente definidos. Por tanto, no se promete una cantidad fija ni se pretende revisar todo el historial de la organización: se realizará un censo del corpus documental delimitado y accesible.</w:t>
      </w:r>
    </w:p>
    <w:p>
      <w:r>
        <w:rPr>
          <w:rFonts w:ascii="Times New Roman" w:hAnsi="Times New Roman"/>
          <w:sz w:val="24"/>
        </w:rPr>
        <w:t>Si una traza está incompleta, la reconstrucción llegará hasta el último punto respaldado y registrará los vacíos; las exclusiones y sus motivos también quedarán documentados. Los participantes sí se seleccionarán de manera intencional según su relación con el proceso, disponibilidad y autorización. Cuando sea viable, una persona distinta de quien registró los datos realizará la reconstrucción para reducir la influencia de la memoria del registrador.</w:t>
      </w:r>
    </w:p>
    <w:p>
      <w:pPr>
        <w:pStyle w:val="Heading2"/>
      </w:pPr>
      <w:r>
        <w:rPr>
          <w:rFonts w:ascii="Times New Roman" w:hAnsi="Times New Roman"/>
          <w:sz w:val="24"/>
        </w:rPr>
        <w:t>8.3. Metodología de desarrollo</w:t>
      </w:r>
    </w:p>
    <w:p>
      <w:r>
        <w:rPr>
          <w:rFonts w:ascii="Times New Roman" w:hAnsi="Times New Roman"/>
          <w:sz w:val="24"/>
        </w:rPr>
        <w:t xml:space="preserve">El software se desarrollará de manera </w:t>
      </w:r>
      <w:r>
        <w:rPr>
          <w:rFonts w:ascii="Times New Roman" w:hAnsi="Times New Roman"/>
          <w:b/>
          <w:sz w:val="24"/>
        </w:rPr>
        <w:t>iterativa e incremental mediante ocho sprints</w:t>
      </w:r>
      <w:r>
        <w:rPr>
          <w:rFonts w:ascii="Times New Roman" w:hAnsi="Times New Roman"/>
          <w:sz w:val="24"/>
        </w:rPr>
        <w:t>. Este enfoque amplía una base funcional mediante incrementos sucesivos (Basili &amp; Turner, 1975; Larman &amp; Basili, 2003) y es compatible con la aplicación iterativa e incremental de los procesos de ciclo de vida sin imponer una metodología específica (International Organization for Standardization et al., 2026). SWEBOK v4.0a se utilizará como referencia general de prácticas de Ingeniería de Software (IEEE Computer Society, 2025).</w:t>
      </w:r>
    </w:p>
    <w:p>
      <w:r>
        <w:rPr>
          <w:rFonts w:ascii="Times New Roman" w:hAnsi="Times New Roman"/>
          <w:sz w:val="24"/>
        </w:rPr>
        <w:t xml:space="preserve">La ejecución formal abarcará del </w:t>
      </w:r>
      <w:r>
        <w:rPr>
          <w:rFonts w:ascii="Times New Roman" w:hAnsi="Times New Roman"/>
          <w:b/>
          <w:sz w:val="24"/>
        </w:rPr>
        <w:t>17 de agosto al 15 de noviembre de 2026</w:t>
      </w:r>
      <w:r>
        <w:rPr>
          <w:rFonts w:ascii="Times New Roman" w:hAnsi="Times New Roman"/>
          <w:sz w:val="24"/>
        </w:rPr>
        <w:t>. Comprenderá planificación; construcción de Recolección, Vivero y Plantación; ambas integraciones; reconstrucción transversal; calidad; piloto; evaluación y cierre documental. El detalle se presenta en el cronograma de la sección 11 para evitar repetir aquí cada sprint.</w:t>
      </w:r>
    </w:p>
    <w:p>
      <w:r>
        <w:rPr>
          <w:rFonts w:ascii="Times New Roman" w:hAnsi="Times New Roman"/>
          <w:sz w:val="24"/>
        </w:rPr>
        <w:t xml:space="preserve">La construcción partirá de una </w:t>
      </w:r>
      <w:r>
        <w:rPr>
          <w:rFonts w:ascii="Times New Roman" w:hAnsi="Times New Roman"/>
          <w:b/>
          <w:sz w:val="24"/>
        </w:rPr>
        <w:t>referencia inicial académica del repositorio</w:t>
      </w:r>
      <w:r>
        <w:rPr>
          <w:rFonts w:ascii="Times New Roman" w:hAnsi="Times New Roman"/>
          <w:sz w:val="24"/>
        </w:rPr>
        <w:t xml:space="preserve"> y deberá quedar demostrada dentro del semestre. Los prototipos anteriores podrán utilizarse como referencia técnica y evidencia de factibilidad, pero no como la construcción formal presentada. Cada sprint conservará evidencia proporcionada a su alcance: versión inicial y final, requerimientos abordados, cambios principales, migraciones, pruebas críticas, demostración y decisiones relevantes.</w:t>
      </w:r>
    </w:p>
    <w:p>
      <w:r>
        <w:rPr>
          <w:rFonts w:ascii="Times New Roman" w:hAnsi="Times New Roman"/>
          <w:sz w:val="24"/>
        </w:rPr>
        <w:t>El postulante será responsable del análisis, diseño, implementación, evaluación y documentación. Los colaboradores y agentes de inteligencia artificial brindarán apoyo delimitado; sus aportes serán revisados por el postulante y no sustituirán las decisiones del dominio ni la responsabilidad autoral humana.</w:t>
      </w:r>
    </w:p>
    <w:p>
      <w:pPr>
        <w:pStyle w:val="Heading2"/>
      </w:pPr>
      <w:r>
        <w:rPr>
          <w:rFonts w:ascii="Times New Roman" w:hAnsi="Times New Roman"/>
          <w:sz w:val="24"/>
        </w:rPr>
        <w:t>8.4. Evaluación, instrumentos y análisis</w:t>
      </w:r>
    </w:p>
    <w:p>
      <w:pPr>
        <w:pStyle w:val="Caption"/>
      </w:pPr>
      <w:r>
        <w:rPr>
          <w:rFonts w:ascii="Times New Roman" w:hAnsi="Times New Roman"/>
          <w:sz w:val="22"/>
        </w:rPr>
        <w:t>Tabla 2. Métricas e instrumentos de evaluación.</w:t>
      </w:r>
    </w:p>
    <w:tbl>
      <w:tblPr>
        <w:tblW w:type="dxa" w:w="8270"/>
        <w:jc w:val="center"/>
        <w:tblLayout w:type="fixed"/>
        <w:tblLook w:firstColumn="1" w:firstRow="1" w:lastColumn="0" w:lastRow="0" w:noHBand="0" w:noVBand="1" w:val="04A0"/>
        <w:tblBorders>
          <w:top w:val="single" w:sz="4" w:color="94A3B8"/>
          <w:left w:val="single" w:sz="4" w:color="94A3B8"/>
          <w:bottom w:val="single" w:sz="4" w:color="94A3B8"/>
          <w:right w:val="single" w:sz="4" w:color="94A3B8"/>
          <w:insideH w:val="single" w:sz="4" w:color="94A3B8"/>
          <w:insideV w:val="single" w:sz="4" w:color="94A3B8"/>
        </w:tblBorders>
      </w:tblPr>
      <w:tblGrid>
        <w:gridCol w:w="1800"/>
        <w:gridCol w:w="3000"/>
        <w:gridCol w:w="3470"/>
      </w:tblGrid>
      <w:tr>
        <w:trPr>
          <w:tblHeader w:val="true"/>
        </w:trPr>
        <w:tc>
          <w:tcPr>
            <w:tcW w:type="dxa" w:w="1800"/>
            <w:vAlign w:val="center"/>
            <w:tcMar>
              <w:top w:w="100" w:type="dxa"/>
              <w:start w:w="110" w:type="dxa"/>
              <w:bottom w:w="100" w:type="dxa"/>
              <w:end w:w="110" w:type="dxa"/>
            </w:tcMar>
            <w:shd w:fill="DCE6F1"/>
          </w:tcPr>
          <w:p>
            <w:pPr>
              <w:spacing w:after="0" w:line="240" w:lineRule="auto"/>
              <w:ind w:firstLine="0" w:left="0" w:right="0"/>
              <w:jc w:val="left"/>
            </w:pPr>
            <w:r>
              <w:rPr>
                <w:rFonts w:ascii="Times New Roman" w:hAnsi="Times New Roman"/>
                <w:b/>
                <w:sz w:val="18"/>
              </w:rPr>
              <w:t>Dimensión</w:t>
            </w:r>
          </w:p>
        </w:tc>
        <w:tc>
          <w:tcPr>
            <w:tcW w:type="dxa" w:w="3000"/>
            <w:vAlign w:val="center"/>
            <w:tcMar>
              <w:top w:w="100" w:type="dxa"/>
              <w:start w:w="110" w:type="dxa"/>
              <w:bottom w:w="100" w:type="dxa"/>
              <w:end w:w="110" w:type="dxa"/>
            </w:tcMar>
            <w:shd w:fill="DCE6F1"/>
          </w:tcPr>
          <w:p>
            <w:pPr>
              <w:spacing w:after="0" w:line="240" w:lineRule="auto"/>
              <w:ind w:firstLine="0" w:left="0" w:right="0"/>
              <w:jc w:val="left"/>
            </w:pPr>
            <w:r>
              <w:rPr>
                <w:rFonts w:ascii="Times New Roman" w:hAnsi="Times New Roman"/>
                <w:b/>
                <w:sz w:val="18"/>
              </w:rPr>
              <w:t>Métrica o criterio</w:t>
            </w:r>
          </w:p>
        </w:tc>
        <w:tc>
          <w:tcPr>
            <w:tcW w:type="dxa" w:w="3470"/>
            <w:vAlign w:val="center"/>
            <w:tcMar>
              <w:top w:w="100" w:type="dxa"/>
              <w:start w:w="110" w:type="dxa"/>
              <w:bottom w:w="100" w:type="dxa"/>
              <w:end w:w="110" w:type="dxa"/>
            </w:tcMar>
            <w:shd w:fill="DCE6F1"/>
          </w:tcPr>
          <w:p>
            <w:pPr>
              <w:spacing w:after="0" w:line="240" w:lineRule="auto"/>
              <w:ind w:firstLine="0" w:left="0" w:right="0"/>
              <w:jc w:val="left"/>
            </w:pPr>
            <w:r>
              <w:rPr>
                <w:rFonts w:ascii="Times New Roman" w:hAnsi="Times New Roman"/>
                <w:b/>
                <w:sz w:val="18"/>
              </w:rPr>
              <w:t>Instrumento</w:t>
            </w:r>
          </w:p>
        </w:tc>
      </w:tr>
      <w:tr>
        <w:tc>
          <w:tcPr>
            <w:tcW w:type="dxa" w:w="18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Cumplimiento funcional</w:t>
            </w:r>
          </w:p>
        </w:tc>
        <w:tc>
          <w:tcPr>
            <w:tcW w:type="dxa" w:w="30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Requerimientos satisfechos</w:t>
            </w:r>
          </w:p>
        </w:tc>
        <w:tc>
          <w:tcPr>
            <w:tcW w:type="dxa" w:w="347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Matriz requerimiento–prueba</w:t>
            </w:r>
          </w:p>
        </w:tc>
      </w:tr>
      <w:tr>
        <w:tc>
          <w:tcPr>
            <w:tcW w:type="dxa" w:w="18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Integridad</w:t>
            </w:r>
          </w:p>
        </w:tc>
        <w:tc>
          <w:tcPr>
            <w:tcW w:type="dxa" w:w="30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Resultado de las pruebas sobre saldos, doble consumo y estados parciales</w:t>
            </w:r>
          </w:p>
        </w:tc>
        <w:tc>
          <w:tcPr>
            <w:tcW w:type="dxa" w:w="347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Pruebas unitarias, de integración, concurrencia y fallo inducido</w:t>
            </w:r>
          </w:p>
        </w:tc>
      </w:tr>
      <w:tr>
        <w:tc>
          <w:tcPr>
            <w:tcW w:type="dxa" w:w="18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Reconstrucción de la trazabilidad</w:t>
            </w:r>
          </w:p>
        </w:tc>
        <w:tc>
          <w:tcPr>
            <w:tcW w:type="dxa" w:w="30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Trazas con origen, eventos, transformaciones, cantidades, relaciones y destino recuperables</w:t>
            </w:r>
          </w:p>
        </w:tc>
        <w:tc>
          <w:tcPr>
            <w:tcW w:type="dxa" w:w="347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Guía de reconstrucción</w:t>
            </w:r>
          </w:p>
        </w:tc>
      </w:tr>
      <w:tr>
        <w:tc>
          <w:tcPr>
            <w:tcW w:type="dxa" w:w="18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Evidencia</w:t>
            </w:r>
          </w:p>
        </w:tc>
        <w:tc>
          <w:tcPr>
            <w:tcW w:type="dxa" w:w="30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Ítems respaldados / ítems requeridos</w:t>
            </w:r>
          </w:p>
        </w:tc>
        <w:tc>
          <w:tcPr>
            <w:tcW w:type="dxa" w:w="347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Lista de cotejo documental</w:t>
            </w:r>
          </w:p>
        </w:tc>
      </w:tr>
      <w:tr>
        <w:tc>
          <w:tcPr>
            <w:tcW w:type="dxa" w:w="18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Eficiencia de reconstrucción</w:t>
            </w:r>
          </w:p>
        </w:tc>
        <w:tc>
          <w:tcPr>
            <w:tcW w:type="dxa" w:w="30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Tiempo para responder el mismo conjunto de preguntas</w:t>
            </w:r>
          </w:p>
        </w:tc>
        <w:tc>
          <w:tcPr>
            <w:tcW w:type="dxa" w:w="347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Cronometraje de la situación actual y la propuesta</w:t>
            </w:r>
          </w:p>
        </w:tc>
      </w:tr>
      <w:tr>
        <w:tc>
          <w:tcPr>
            <w:tcW w:type="dxa" w:w="18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Carga operativa</w:t>
            </w:r>
          </w:p>
        </w:tc>
        <w:tc>
          <w:tcPr>
            <w:tcW w:type="dxa" w:w="30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Tiempo de registro, acciones, reintentos y dificultades</w:t>
            </w:r>
          </w:p>
        </w:tc>
        <w:tc>
          <w:tcPr>
            <w:tcW w:type="dxa" w:w="347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Observación, telemetría disponible y cuestionario</w:t>
            </w:r>
          </w:p>
        </w:tc>
      </w:tr>
      <w:tr>
        <w:tc>
          <w:tcPr>
            <w:tcW w:type="dxa" w:w="18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Percepción</w:t>
            </w:r>
          </w:p>
        </w:tc>
        <w:tc>
          <w:tcPr>
            <w:tcW w:type="dxa" w:w="30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Claridad y facilidad reportadas</w:t>
            </w:r>
          </w:p>
        </w:tc>
        <w:tc>
          <w:tcPr>
            <w:tcW w:type="dxa" w:w="347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Cuestionario breve y entrevista</w:t>
            </w:r>
          </w:p>
        </w:tc>
      </w:tr>
    </w:tbl>
    <w:p>
      <w:pPr>
        <w:spacing w:after="0"/>
      </w:pPr>
    </w:p>
    <w:p>
      <w:r>
        <w:rPr>
          <w:rFonts w:ascii="Times New Roman" w:hAnsi="Times New Roman"/>
          <w:sz w:val="24"/>
        </w:rPr>
        <w:t xml:space="preserve">Para caracterizar la </w:t>
      </w:r>
      <w:r>
        <w:rPr>
          <w:rFonts w:ascii="Times New Roman" w:hAnsi="Times New Roman"/>
          <w:b/>
          <w:sz w:val="24"/>
        </w:rPr>
        <w:t>práctica actual</w:t>
      </w:r>
      <w:r>
        <w:rPr>
          <w:rFonts w:ascii="Times New Roman" w:hAnsi="Times New Roman"/>
          <w:sz w:val="24"/>
        </w:rPr>
        <w:t xml:space="preserve">, se intentará responder un conjunto común de preguntas de procedencia, especie, cantidad, fecha, responsable, destino, ubicación y evidencia. Se distinguirá la información encontrada en documentos de aquella complementada mediante la memoria de los responsables. El mismo instrumento se aplicará después a las trazas generadas por la </w:t>
      </w:r>
      <w:r>
        <w:rPr>
          <w:rFonts w:ascii="Times New Roman" w:hAnsi="Times New Roman"/>
          <w:b/>
          <w:sz w:val="24"/>
        </w:rPr>
        <w:t>propuesta</w:t>
      </w:r>
      <w:r>
        <w:rPr>
          <w:rFonts w:ascii="Times New Roman" w:hAnsi="Times New Roman"/>
          <w:sz w:val="24"/>
        </w:rPr>
        <w:t>.</w:t>
      </w:r>
    </w:p>
    <w:p>
      <w:r>
        <w:rPr>
          <w:rFonts w:ascii="Times New Roman" w:hAnsi="Times New Roman"/>
          <w:sz w:val="24"/>
        </w:rPr>
        <w:t>Cuando sea posible, una actividad real se registrará en paralelo con la práctica habitual y con R3Foresta. Si no fuera viable, el contraste se realizará con trazas de complejidad semejante y se declarará que no son equivalentes. Las rutas que no ocurran durante el piloto se evaluarán como casos controlados, no como validación de campo.</w:t>
      </w:r>
    </w:p>
    <w:p>
      <w:r>
        <w:rPr>
          <w:rFonts w:ascii="Times New Roman" w:hAnsi="Times New Roman"/>
          <w:sz w:val="24"/>
        </w:rPr>
        <w:t>Antes de recolectar datos se definirán los criterios para clasificar cada ítem como completo, parcial, ausente o contradictorio; qué se considerará evidencia recuperable; el inicio y fin del cronometraje; y los reintentos, errores o solicitudes de ayuda. El análisis será descriptivo y reportará conteos, porcentajes, medianas, rangos y hallazgos cualitativos, sin pruebas de significación ni afirmaciones causales generalizables. Los resultados se integrarán por traza.</w:t>
      </w:r>
    </w:p>
    <w:p>
      <w:pPr>
        <w:pStyle w:val="Heading2"/>
      </w:pPr>
      <w:r>
        <w:rPr>
          <w:rFonts w:ascii="Times New Roman" w:hAnsi="Times New Roman"/>
          <w:sz w:val="24"/>
        </w:rPr>
        <w:t>8.5. Consideraciones éticas</w:t>
      </w:r>
    </w:p>
    <w:p>
      <w:r>
        <w:rPr>
          <w:rFonts w:ascii="Times New Roman" w:hAnsi="Times New Roman"/>
          <w:sz w:val="24"/>
        </w:rPr>
        <w:t>Antes de entrevistas y observaciones se explicará el propósito académico y se obtendrá consentimiento informado. El uso de datos operativos será coordinado con R3Foresta antes del piloto. Los nombres o ubicaciones podrán incorporarse únicamente cuando sean pertinentes y exista consentimiento; los datos personales no necesarios se omitirán. Los registros de prueba se mantendrán diferenciados de los datos operativos. El protocolo del Proyecto de Grado definirá almacenamiento, acceso, seudonimización, conservación y eliminación de entrevistas, fotografías y coordenadas; los permisos funcionales del sistema no sustituyen estas reglas de investigación.</w:t>
      </w:r>
    </w:p>
    <w:p>
      <w:pPr>
        <w:pStyle w:val="Heading1"/>
      </w:pPr>
      <w:r>
        <w:rPr>
          <w:rFonts w:ascii="Times New Roman" w:hAnsi="Times New Roman"/>
          <w:sz w:val="28"/>
        </w:rPr>
        <w:t>9. Propuesta de solución y aporte de ingeniería</w:t>
      </w:r>
    </w:p>
    <w:p>
      <w:pPr>
        <w:pStyle w:val="Heading2"/>
      </w:pPr>
      <w:r>
        <w:rPr>
          <w:rFonts w:ascii="Times New Roman" w:hAnsi="Times New Roman"/>
          <w:sz w:val="24"/>
        </w:rPr>
        <w:t>9.1. Descripción general</w:t>
      </w:r>
    </w:p>
    <w:p>
      <w:r>
        <w:rPr>
          <w:rFonts w:ascii="Times New Roman" w:hAnsi="Times New Roman"/>
          <w:sz w:val="24"/>
        </w:rPr>
        <w:t>La propuesta integra los procesos de Recolección, Vivero y Plantación para registrar los eventos que atraviesa el material vegetal hasta su plantación. El recorrido podrá comenzar con una recolección de R3Foresta o con un ingreso externo por compra o recepción de terceros en Vivero o Plantación. En el sistema, el material se representará mediante registros y relaciones entre su procedencia, los lotes, las asignaciones y las plantaciones. La información sobre especies, actores y lugares contextualizará los hechos ocurridos, mientras que las cantidades y saldos disponibles deberán conservar relación con la historia que los explica.</w:t>
      </w:r>
    </w:p>
    <w:p>
      <w:pPr>
        <w:pStyle w:val="Caption"/>
      </w:pPr>
      <w:r>
        <w:rPr>
          <w:rFonts w:ascii="Times New Roman" w:hAnsi="Times New Roman"/>
          <w:sz w:val="22"/>
        </w:rPr>
        <w:t>Figura 2. Recorrido principal del material vegetal.</w:t>
      </w:r>
    </w:p>
    <w:p>
      <w:pPr>
        <w:spacing w:after="120"/>
        <w:ind w:firstLine="0"/>
        <w:jc w:val="center"/>
      </w:pPr>
      <w:r>
        <w:drawing>
          <wp:inline xmlns:a="http://schemas.openxmlformats.org/drawingml/2006/main" xmlns:pic="http://schemas.openxmlformats.org/drawingml/2006/picture">
            <wp:extent cx="5230368" cy="1987540"/>
            <wp:docPr id="3" name="Picture 3"/>
            <wp:cNvGraphicFramePr>
              <a:graphicFrameLocks noChangeAspect="1"/>
            </wp:cNvGraphicFramePr>
            <a:graphic>
              <a:graphicData uri="http://schemas.openxmlformats.org/drawingml/2006/picture">
                <pic:pic>
                  <pic:nvPicPr>
                    <pic:cNvPr id="0" name="figura_2.png"/>
                    <pic:cNvPicPr/>
                  </pic:nvPicPr>
                  <pic:blipFill>
                    <a:blip r:embed="rId15"/>
                    <a:stretch>
                      <a:fillRect/>
                    </a:stretch>
                  </pic:blipFill>
                  <pic:spPr>
                    <a:xfrm>
                      <a:off x="0" y="0"/>
                      <a:ext cx="5230368" cy="1987540"/>
                    </a:xfrm>
                    <a:prstGeom prst="rect"/>
                  </pic:spPr>
                </pic:pic>
              </a:graphicData>
            </a:graphic>
          </wp:inline>
        </w:drawing>
      </w:r>
    </w:p>
    <w:p>
      <w:pPr>
        <w:pStyle w:val="Heading2"/>
      </w:pPr>
      <w:r>
        <w:rPr>
          <w:rFonts w:ascii="Times New Roman" w:hAnsi="Times New Roman"/>
          <w:sz w:val="24"/>
        </w:rPr>
        <w:t>9.2. Modelo orientado a eventos, relaciones y consistencia</w:t>
      </w:r>
    </w:p>
    <w:p>
      <w:r>
        <w:rPr>
          <w:rFonts w:ascii="Times New Roman" w:hAnsi="Times New Roman"/>
          <w:sz w:val="24"/>
        </w:rPr>
        <w:t>Cada cambio relevante deberá conservar el hecho que lo produjo y relacionarlo con el material involucrado, las cantidades de entrada o salida, el material resultante cuando exista, el responsable, la fecha, la ubicación y la evidencia disponible. Los saldos actuales deberán poder explicarse mediante los eventos anteriores y las reglas de consistencia deberán prevenir asignaciones, consumos o resultados incoherentes. Una corrección no deberá borrar la historia explicativa; su tratamiento concreto se definirá durante el diseño.</w:t>
      </w:r>
    </w:p>
    <w:p>
      <w:pPr>
        <w:pStyle w:val="Caption"/>
      </w:pPr>
      <w:r>
        <w:rPr>
          <w:rFonts w:ascii="Times New Roman" w:hAnsi="Times New Roman"/>
          <w:sz w:val="22"/>
        </w:rPr>
        <w:t>Figura 3. Relación entre eventos, reglas de consistencia y reconstrucción.</w:t>
      </w:r>
    </w:p>
    <w:p>
      <w:pPr>
        <w:spacing w:after="120"/>
        <w:ind w:firstLine="0"/>
        <w:jc w:val="center"/>
      </w:pPr>
      <w:r>
        <w:drawing>
          <wp:inline xmlns:a="http://schemas.openxmlformats.org/drawingml/2006/main" xmlns:pic="http://schemas.openxmlformats.org/drawingml/2006/picture">
            <wp:extent cx="5230368" cy="2222906"/>
            <wp:docPr id="4" name="Picture 4"/>
            <wp:cNvGraphicFramePr>
              <a:graphicFrameLocks noChangeAspect="1"/>
            </wp:cNvGraphicFramePr>
            <a:graphic>
              <a:graphicData uri="http://schemas.openxmlformats.org/drawingml/2006/picture">
                <pic:pic>
                  <pic:nvPicPr>
                    <pic:cNvPr id="0" name="figura_3.png"/>
                    <pic:cNvPicPr/>
                  </pic:nvPicPr>
                  <pic:blipFill>
                    <a:blip r:embed="rId16"/>
                    <a:stretch>
                      <a:fillRect/>
                    </a:stretch>
                  </pic:blipFill>
                  <pic:spPr>
                    <a:xfrm>
                      <a:off x="0" y="0"/>
                      <a:ext cx="5230368" cy="2222906"/>
                    </a:xfrm>
                    <a:prstGeom prst="rect"/>
                  </pic:spPr>
                </pic:pic>
              </a:graphicData>
            </a:graphic>
          </wp:inline>
        </w:drawing>
      </w:r>
    </w:p>
    <w:p>
      <w:pPr>
        <w:pStyle w:val="Heading2"/>
      </w:pPr>
      <w:r>
        <w:rPr>
          <w:rFonts w:ascii="Times New Roman" w:hAnsi="Times New Roman"/>
          <w:sz w:val="24"/>
        </w:rPr>
        <w:t>9.3. Integración entre etapas</w:t>
      </w:r>
    </w:p>
    <w:p>
      <w:r>
        <w:rPr>
          <w:rFonts w:ascii="Times New Roman" w:hAnsi="Times New Roman"/>
          <w:sz w:val="24"/>
        </w:rPr>
        <w:t>Los puntos críticos son aquellos en los que el material vegetal se mueve o cambia entre etapas. La integración entre Recolección y Vivero deberá conservar la relación entre el material de origen y el material recibido o resultante. La integración entre Vivero y Plantación deberá relacionar las asignaciones y salidas con la disponibilidad y el destino registrado.</w:t>
      </w:r>
    </w:p>
    <w:p>
      <w:r>
        <w:rPr>
          <w:rFonts w:ascii="Times New Roman" w:hAnsi="Times New Roman"/>
          <w:sz w:val="24"/>
        </w:rPr>
        <w:t>El diseño distinguirá las transferencias, que conservan una relación directa de cantidad, de las transformaciones, que pueden producir un cambio de estado, cantidad o unidad de medida. En ambos casos deberán mantenerse relaciones suficientes para explicar el recorrido y evitar salidas sin destino, consumos duplicados o saldos incoherentes. La elección de transacciones, bloqueos u otros mecanismos se justificará en las fases posteriores de diseño e implementación.</w:t>
      </w:r>
    </w:p>
    <w:p>
      <w:pPr>
        <w:pStyle w:val="Heading2"/>
      </w:pPr>
      <w:r>
        <w:rPr>
          <w:rFonts w:ascii="Times New Roman" w:hAnsi="Times New Roman"/>
          <w:sz w:val="24"/>
        </w:rPr>
        <w:t>9.4. Resultados esperados</w:t>
      </w:r>
    </w:p>
    <w:p>
      <w:pPr>
        <w:pStyle w:val="ListParagraph"/>
        <w:numPr>
          <w:ilvl w:val="0"/>
          <w:numId w:val="16"/>
        </w:numPr>
        <w:spacing w:line="360" w:lineRule="auto" w:after="0"/>
        <w:ind w:left="454" w:hanging="283"/>
      </w:pPr>
      <w:r>
        <w:rPr>
          <w:rFonts w:ascii="Times New Roman" w:hAnsi="Times New Roman"/>
          <w:sz w:val="24"/>
        </w:rPr>
        <w:t>modelo consolidado de procesos, actores, entidades, eventos y reglas;</w:t>
      </w:r>
    </w:p>
    <w:p>
      <w:pPr>
        <w:pStyle w:val="ListParagraph"/>
        <w:numPr>
          <w:ilvl w:val="0"/>
          <w:numId w:val="16"/>
        </w:numPr>
        <w:spacing w:line="360" w:lineRule="auto" w:after="0"/>
        <w:ind w:left="454" w:hanging="283"/>
      </w:pPr>
      <w:r>
        <w:rPr>
          <w:rFonts w:ascii="Times New Roman" w:hAnsi="Times New Roman"/>
          <w:sz w:val="24"/>
        </w:rPr>
        <w:t>módulos operativos estabilizados;</w:t>
      </w:r>
    </w:p>
    <w:p>
      <w:pPr>
        <w:pStyle w:val="ListParagraph"/>
        <w:numPr>
          <w:ilvl w:val="0"/>
          <w:numId w:val="16"/>
        </w:numPr>
        <w:spacing w:line="360" w:lineRule="auto" w:after="0"/>
        <w:ind w:left="454" w:hanging="283"/>
      </w:pPr>
      <w:r>
        <w:rPr>
          <w:rFonts w:ascii="Times New Roman" w:hAnsi="Times New Roman"/>
          <w:sz w:val="24"/>
        </w:rPr>
        <w:t>origen y recorrido reconstruibles del material vegetal;</w:t>
      </w:r>
    </w:p>
    <w:p>
      <w:pPr>
        <w:pStyle w:val="ListParagraph"/>
        <w:numPr>
          <w:ilvl w:val="0"/>
          <w:numId w:val="16"/>
        </w:numPr>
        <w:spacing w:line="360" w:lineRule="auto" w:after="0"/>
        <w:ind w:left="454" w:hanging="283"/>
      </w:pPr>
      <w:r>
        <w:rPr>
          <w:rFonts w:ascii="Times New Roman" w:hAnsi="Times New Roman"/>
          <w:sz w:val="24"/>
        </w:rPr>
        <w:t>matriz de trazabilidad entre requerimientos, reglas, invariantes y pruebas;</w:t>
      </w:r>
    </w:p>
    <w:p>
      <w:pPr>
        <w:pStyle w:val="ListParagraph"/>
        <w:numPr>
          <w:ilvl w:val="0"/>
          <w:numId w:val="16"/>
        </w:numPr>
        <w:spacing w:line="360" w:lineRule="auto" w:after="0"/>
        <w:ind w:left="454" w:hanging="283"/>
      </w:pPr>
      <w:r>
        <w:rPr>
          <w:rFonts w:ascii="Times New Roman" w:hAnsi="Times New Roman"/>
          <w:sz w:val="24"/>
        </w:rPr>
        <w:t>resultados de verificación técnica;</w:t>
      </w:r>
    </w:p>
    <w:p>
      <w:pPr>
        <w:pStyle w:val="ListParagraph"/>
        <w:numPr>
          <w:ilvl w:val="0"/>
          <w:numId w:val="16"/>
        </w:numPr>
        <w:spacing w:line="360" w:lineRule="auto" w:after="0"/>
        <w:ind w:left="454" w:hanging="283"/>
      </w:pPr>
      <w:r>
        <w:rPr>
          <w:rFonts w:ascii="Times New Roman" w:hAnsi="Times New Roman"/>
          <w:sz w:val="24"/>
        </w:rPr>
        <w:t>caracterización de la situación actual, evaluación del piloto y contraste descriptivo;</w:t>
      </w:r>
    </w:p>
    <w:p>
      <w:pPr>
        <w:pStyle w:val="ListParagraph"/>
        <w:numPr>
          <w:ilvl w:val="0"/>
          <w:numId w:val="16"/>
        </w:numPr>
        <w:spacing w:line="360" w:lineRule="auto" w:after="0"/>
        <w:ind w:left="454" w:hanging="283"/>
      </w:pPr>
      <w:r>
        <w:rPr>
          <w:rFonts w:ascii="Times New Roman" w:hAnsi="Times New Roman"/>
          <w:sz w:val="24"/>
        </w:rPr>
        <w:t>documentación de limitaciones y recomendaciones.</w:t>
      </w:r>
    </w:p>
    <w:p>
      <w:pPr>
        <w:pStyle w:val="Heading1"/>
      </w:pPr>
      <w:r>
        <w:rPr>
          <w:rFonts w:ascii="Times New Roman" w:hAnsi="Times New Roman"/>
          <w:sz w:val="28"/>
        </w:rPr>
        <w:t>10. Temario tentativo del documento final</w:t>
      </w:r>
    </w:p>
    <w:p>
      <w:pPr>
        <w:spacing w:after="20" w:line="240" w:lineRule="auto"/>
        <w:ind w:firstLine="0" w:left="0"/>
      </w:pPr>
      <w:r>
        <w:rPr>
          <w:rFonts w:ascii="Times New Roman" w:hAnsi="Times New Roman"/>
          <w:b/>
          <w:sz w:val="20"/>
        </w:rPr>
        <w:t>Introducción</w:t>
      </w:r>
    </w:p>
    <w:p>
      <w:pPr>
        <w:spacing w:after="20" w:line="240" w:lineRule="auto"/>
        <w:ind w:firstLine="0" w:left="136"/>
      </w:pPr>
      <w:r>
        <w:rPr>
          <w:rFonts w:ascii="Times New Roman" w:hAnsi="Times New Roman"/>
          <w:b w:val="0"/>
          <w:sz w:val="20"/>
        </w:rPr>
        <w:t>Contexto, problema, objetivos, justificación, alcance y estructura</w:t>
      </w:r>
    </w:p>
    <w:p>
      <w:pPr>
        <w:spacing w:after="40"/>
      </w:pPr>
    </w:p>
    <w:p>
      <w:pPr>
        <w:spacing w:after="20" w:line="240" w:lineRule="auto"/>
        <w:ind w:firstLine="0" w:left="0"/>
      </w:pPr>
      <w:r>
        <w:rPr>
          <w:rFonts w:ascii="Times New Roman" w:hAnsi="Times New Roman"/>
          <w:b/>
          <w:sz w:val="20"/>
        </w:rPr>
        <w:t>Capítulo I — Marco teórico y conceptual</w:t>
      </w:r>
    </w:p>
    <w:p>
      <w:pPr>
        <w:spacing w:after="20" w:line="240" w:lineRule="auto"/>
        <w:ind w:firstLine="0" w:left="136"/>
      </w:pPr>
      <w:r>
        <w:rPr>
          <w:rFonts w:ascii="Times New Roman" w:hAnsi="Times New Roman"/>
          <w:b w:val="0"/>
          <w:sz w:val="20"/>
        </w:rPr>
        <w:t>1.1 Material vegetal, trazabilidad y cadena de custodia</w:t>
      </w:r>
    </w:p>
    <w:p>
      <w:pPr>
        <w:spacing w:after="20" w:line="240" w:lineRule="auto"/>
        <w:ind w:firstLine="0" w:left="136"/>
      </w:pPr>
      <w:r>
        <w:rPr>
          <w:rFonts w:ascii="Times New Roman" w:hAnsi="Times New Roman"/>
          <w:b w:val="0"/>
          <w:sz w:val="20"/>
        </w:rPr>
        <w:t>1.2 Unidades trazables, eventos, transformaciones y procedencia</w:t>
      </w:r>
    </w:p>
    <w:p>
      <w:pPr>
        <w:spacing w:after="20" w:line="240" w:lineRule="auto"/>
        <w:ind w:firstLine="0" w:left="136"/>
      </w:pPr>
      <w:r>
        <w:rPr>
          <w:rFonts w:ascii="Times New Roman" w:hAnsi="Times New Roman"/>
          <w:b w:val="0"/>
          <w:sz w:val="20"/>
        </w:rPr>
        <w:t>1.3 Integridad de cantidades y operaciones</w:t>
      </w:r>
    </w:p>
    <w:p>
      <w:pPr>
        <w:spacing w:after="20" w:line="240" w:lineRule="auto"/>
        <w:ind w:firstLine="0" w:left="136"/>
      </w:pPr>
      <w:r>
        <w:rPr>
          <w:rFonts w:ascii="Times New Roman" w:hAnsi="Times New Roman"/>
          <w:b w:val="0"/>
          <w:sz w:val="20"/>
        </w:rPr>
        <w:t>1.4 Evidencia, información geográfica y reconstrucción</w:t>
      </w:r>
    </w:p>
    <w:p>
      <w:pPr>
        <w:spacing w:after="40"/>
      </w:pPr>
    </w:p>
    <w:p>
      <w:pPr>
        <w:spacing w:after="20" w:line="240" w:lineRule="auto"/>
        <w:ind w:firstLine="0" w:left="0"/>
      </w:pPr>
      <w:r>
        <w:rPr>
          <w:rFonts w:ascii="Times New Roman" w:hAnsi="Times New Roman"/>
          <w:b/>
          <w:sz w:val="20"/>
        </w:rPr>
        <w:t>Capítulo II — Marco referencial y contextual</w:t>
      </w:r>
    </w:p>
    <w:p>
      <w:pPr>
        <w:spacing w:after="20" w:line="240" w:lineRule="auto"/>
        <w:ind w:firstLine="0" w:left="136"/>
      </w:pPr>
      <w:r>
        <w:rPr>
          <w:rFonts w:ascii="Times New Roman" w:hAnsi="Times New Roman"/>
          <w:b w:val="0"/>
          <w:sz w:val="20"/>
        </w:rPr>
        <w:t>2.1 Reforestación y material vegetal</w:t>
      </w:r>
    </w:p>
    <w:p>
      <w:pPr>
        <w:spacing w:after="20" w:line="240" w:lineRule="auto"/>
        <w:ind w:firstLine="0" w:left="136"/>
      </w:pPr>
      <w:r>
        <w:rPr>
          <w:rFonts w:ascii="Times New Roman" w:hAnsi="Times New Roman"/>
          <w:b w:val="0"/>
          <w:sz w:val="20"/>
        </w:rPr>
        <w:t>2.2 R3Foresta como caso de aplicación</w:t>
      </w:r>
    </w:p>
    <w:p>
      <w:pPr>
        <w:spacing w:after="20" w:line="240" w:lineRule="auto"/>
        <w:ind w:firstLine="0" w:left="136"/>
      </w:pPr>
      <w:r>
        <w:rPr>
          <w:rFonts w:ascii="Times New Roman" w:hAnsi="Times New Roman"/>
          <w:b w:val="0"/>
          <w:sz w:val="20"/>
        </w:rPr>
        <w:t>2.3 Actores y práctica de registro actual</w:t>
      </w:r>
    </w:p>
    <w:p>
      <w:pPr>
        <w:spacing w:after="20" w:line="240" w:lineRule="auto"/>
        <w:ind w:firstLine="0" w:left="136"/>
      </w:pPr>
      <w:r>
        <w:rPr>
          <w:rFonts w:ascii="Times New Roman" w:hAnsi="Times New Roman"/>
          <w:b w:val="0"/>
          <w:sz w:val="20"/>
        </w:rPr>
        <w:t>2.4 Antecedentes y brecha identificada</w:t>
      </w:r>
    </w:p>
    <w:p>
      <w:pPr>
        <w:spacing w:after="40"/>
      </w:pPr>
    </w:p>
    <w:p>
      <w:pPr>
        <w:spacing w:after="20" w:line="240" w:lineRule="auto"/>
        <w:ind w:firstLine="0" w:left="0"/>
      </w:pPr>
      <w:r>
        <w:rPr>
          <w:rFonts w:ascii="Times New Roman" w:hAnsi="Times New Roman"/>
          <w:b/>
          <w:sz w:val="20"/>
        </w:rPr>
        <w:t>Capítulo III — Marco metodológico</w:t>
      </w:r>
    </w:p>
    <w:p>
      <w:pPr>
        <w:spacing w:after="20" w:line="240" w:lineRule="auto"/>
        <w:ind w:firstLine="0" w:left="136"/>
      </w:pPr>
      <w:r>
        <w:rPr>
          <w:rFonts w:ascii="Times New Roman" w:hAnsi="Times New Roman"/>
          <w:b w:val="0"/>
          <w:sz w:val="20"/>
        </w:rPr>
        <w:t>3.1 Ciencia del diseño y estudio de caso</w:t>
      </w:r>
    </w:p>
    <w:p>
      <w:pPr>
        <w:spacing w:after="20" w:line="240" w:lineRule="auto"/>
        <w:ind w:firstLine="0" w:left="136"/>
      </w:pPr>
      <w:r>
        <w:rPr>
          <w:rFonts w:ascii="Times New Roman" w:hAnsi="Times New Roman"/>
          <w:b w:val="0"/>
          <w:sz w:val="20"/>
        </w:rPr>
        <w:t>3.2 Unidades de análisis y participantes</w:t>
      </w:r>
    </w:p>
    <w:p>
      <w:pPr>
        <w:spacing w:after="20" w:line="240" w:lineRule="auto"/>
        <w:ind w:firstLine="0" w:left="136"/>
      </w:pPr>
      <w:r>
        <w:rPr>
          <w:rFonts w:ascii="Times New Roman" w:hAnsi="Times New Roman"/>
          <w:b w:val="0"/>
          <w:sz w:val="20"/>
        </w:rPr>
        <w:t>3.3 Desarrollo iterativo e incremental</w:t>
      </w:r>
    </w:p>
    <w:p>
      <w:pPr>
        <w:spacing w:after="20" w:line="240" w:lineRule="auto"/>
        <w:ind w:firstLine="0" w:left="136"/>
      </w:pPr>
      <w:r>
        <w:rPr>
          <w:rFonts w:ascii="Times New Roman" w:hAnsi="Times New Roman"/>
          <w:b w:val="0"/>
          <w:sz w:val="20"/>
        </w:rPr>
        <w:t>3.4 Evaluación, instrumentos y análisis</w:t>
      </w:r>
    </w:p>
    <w:p>
      <w:pPr>
        <w:spacing w:after="20" w:line="240" w:lineRule="auto"/>
        <w:ind w:firstLine="0" w:left="136"/>
      </w:pPr>
      <w:r>
        <w:rPr>
          <w:rFonts w:ascii="Times New Roman" w:hAnsi="Times New Roman"/>
          <w:b w:val="0"/>
          <w:sz w:val="20"/>
        </w:rPr>
        <w:t>3.5 Consideraciones éticas y amenazas a la validez</w:t>
      </w:r>
    </w:p>
    <w:p>
      <w:pPr>
        <w:spacing w:after="40"/>
      </w:pPr>
    </w:p>
    <w:p>
      <w:pPr>
        <w:spacing w:after="20" w:line="240" w:lineRule="auto"/>
        <w:ind w:firstLine="0" w:left="0"/>
      </w:pPr>
      <w:r>
        <w:rPr>
          <w:rFonts w:ascii="Times New Roman" w:hAnsi="Times New Roman"/>
          <w:b/>
          <w:sz w:val="20"/>
        </w:rPr>
        <w:t>Capítulo IV — Desarrollo y resultados</w:t>
      </w:r>
    </w:p>
    <w:p>
      <w:pPr>
        <w:spacing w:after="20" w:line="240" w:lineRule="auto"/>
        <w:ind w:firstLine="0" w:left="136"/>
      </w:pPr>
      <w:r>
        <w:rPr>
          <w:rFonts w:ascii="Times New Roman" w:hAnsi="Times New Roman"/>
          <w:b w:val="0"/>
          <w:sz w:val="20"/>
        </w:rPr>
        <w:t>4.1 Procesos, requerimientos y reglas de negocio</w:t>
      </w:r>
    </w:p>
    <w:p>
      <w:pPr>
        <w:spacing w:after="20" w:line="240" w:lineRule="auto"/>
        <w:ind w:firstLine="0" w:left="408"/>
      </w:pPr>
      <w:r>
        <w:rPr>
          <w:rFonts w:ascii="Times New Roman" w:hAnsi="Times New Roman"/>
          <w:b w:val="0"/>
          <w:sz w:val="20"/>
        </w:rPr>
        <w:t>4.1.1 Recolección</w:t>
      </w:r>
    </w:p>
    <w:p>
      <w:pPr>
        <w:spacing w:after="20" w:line="240" w:lineRule="auto"/>
        <w:ind w:firstLine="0" w:left="408"/>
      </w:pPr>
      <w:r>
        <w:rPr>
          <w:rFonts w:ascii="Times New Roman" w:hAnsi="Times New Roman"/>
          <w:b w:val="0"/>
          <w:sz w:val="20"/>
        </w:rPr>
        <w:t>4.1.2 Vivero y transformación biológica observada</w:t>
      </w:r>
    </w:p>
    <w:p>
      <w:pPr>
        <w:spacing w:after="20" w:line="240" w:lineRule="auto"/>
        <w:ind w:firstLine="0" w:left="408"/>
      </w:pPr>
      <w:r>
        <w:rPr>
          <w:rFonts w:ascii="Times New Roman" w:hAnsi="Times New Roman"/>
          <w:b w:val="0"/>
          <w:sz w:val="20"/>
        </w:rPr>
        <w:t>4.1.3 Plantación e integración entre etapas</w:t>
      </w:r>
    </w:p>
    <w:p>
      <w:pPr>
        <w:spacing w:after="20" w:line="240" w:lineRule="auto"/>
        <w:ind w:firstLine="0" w:left="136"/>
      </w:pPr>
      <w:r>
        <w:rPr>
          <w:rFonts w:ascii="Times New Roman" w:hAnsi="Times New Roman"/>
          <w:b w:val="0"/>
          <w:sz w:val="20"/>
        </w:rPr>
        <w:t>4.2 Modelo de trazabilidad e integridad</w:t>
      </w:r>
    </w:p>
    <w:p>
      <w:pPr>
        <w:spacing w:after="20" w:line="240" w:lineRule="auto"/>
        <w:ind w:firstLine="0" w:left="136"/>
      </w:pPr>
      <w:r>
        <w:rPr>
          <w:rFonts w:ascii="Times New Roman" w:hAnsi="Times New Roman"/>
          <w:b w:val="0"/>
          <w:sz w:val="20"/>
        </w:rPr>
        <w:t>4.3 Implementación e integración de los tres módulos</w:t>
      </w:r>
    </w:p>
    <w:p>
      <w:pPr>
        <w:spacing w:after="20" w:line="240" w:lineRule="auto"/>
        <w:ind w:firstLine="0" w:left="136"/>
      </w:pPr>
      <w:r>
        <w:rPr>
          <w:rFonts w:ascii="Times New Roman" w:hAnsi="Times New Roman"/>
          <w:b w:val="0"/>
          <w:sz w:val="20"/>
        </w:rPr>
        <w:t>4.4 Verificación de requerimientos e invariantes</w:t>
      </w:r>
    </w:p>
    <w:p>
      <w:pPr>
        <w:spacing w:after="20" w:line="240" w:lineRule="auto"/>
        <w:ind w:firstLine="0" w:left="136"/>
      </w:pPr>
      <w:r>
        <w:rPr>
          <w:rFonts w:ascii="Times New Roman" w:hAnsi="Times New Roman"/>
          <w:b w:val="0"/>
          <w:sz w:val="20"/>
        </w:rPr>
        <w:t>4.5 Reconstrucción, comparación y carga operativa</w:t>
      </w:r>
    </w:p>
    <w:p>
      <w:pPr>
        <w:spacing w:after="20" w:line="240" w:lineRule="auto"/>
        <w:ind w:firstLine="0" w:left="136"/>
      </w:pPr>
      <w:r>
        <w:rPr>
          <w:rFonts w:ascii="Times New Roman" w:hAnsi="Times New Roman"/>
          <w:b w:val="0"/>
          <w:sz w:val="20"/>
        </w:rPr>
        <w:t>4.6 Discusión y limitaciones</w:t>
      </w:r>
    </w:p>
    <w:p>
      <w:pPr>
        <w:spacing w:after="40"/>
      </w:pPr>
    </w:p>
    <w:p>
      <w:pPr>
        <w:spacing w:after="20" w:line="240" w:lineRule="auto"/>
        <w:ind w:firstLine="0" w:left="0"/>
      </w:pPr>
      <w:r>
        <w:rPr>
          <w:rFonts w:ascii="Times New Roman" w:hAnsi="Times New Roman"/>
          <w:b/>
          <w:sz w:val="20"/>
        </w:rPr>
        <w:t>Capítulo V — Conclusiones y recomendaciones</w:t>
      </w:r>
    </w:p>
    <w:p>
      <w:pPr>
        <w:spacing w:after="20" w:line="240" w:lineRule="auto"/>
        <w:ind w:firstLine="0" w:left="136"/>
      </w:pPr>
      <w:r>
        <w:rPr>
          <w:rFonts w:ascii="Times New Roman" w:hAnsi="Times New Roman"/>
          <w:b w:val="0"/>
          <w:sz w:val="20"/>
        </w:rPr>
        <w:t>5.1 Cumplimiento de objetivos</w:t>
      </w:r>
    </w:p>
    <w:p>
      <w:pPr>
        <w:spacing w:after="20" w:line="240" w:lineRule="auto"/>
        <w:ind w:firstLine="0" w:left="136"/>
      </w:pPr>
      <w:r>
        <w:rPr>
          <w:rFonts w:ascii="Times New Roman" w:hAnsi="Times New Roman"/>
          <w:b w:val="0"/>
          <w:sz w:val="20"/>
        </w:rPr>
        <w:t>5.2 Aportes</w:t>
      </w:r>
    </w:p>
    <w:p>
      <w:pPr>
        <w:spacing w:after="20" w:line="240" w:lineRule="auto"/>
        <w:ind w:firstLine="0" w:left="136"/>
      </w:pPr>
      <w:r>
        <w:rPr>
          <w:rFonts w:ascii="Times New Roman" w:hAnsi="Times New Roman"/>
          <w:b w:val="0"/>
          <w:sz w:val="20"/>
        </w:rPr>
        <w:t>5.3 Limitaciones</w:t>
      </w:r>
    </w:p>
    <w:p>
      <w:pPr>
        <w:spacing w:after="20" w:line="240" w:lineRule="auto"/>
        <w:ind w:firstLine="0" w:left="136"/>
      </w:pPr>
      <w:r>
        <w:rPr>
          <w:rFonts w:ascii="Times New Roman" w:hAnsi="Times New Roman"/>
          <w:b w:val="0"/>
          <w:sz w:val="20"/>
        </w:rPr>
        <w:t>5.4 Trabajo futuro</w:t>
      </w:r>
    </w:p>
    <w:p>
      <w:pPr>
        <w:spacing w:after="40"/>
      </w:pPr>
    </w:p>
    <w:p>
      <w:pPr>
        <w:spacing w:after="20" w:line="240" w:lineRule="auto"/>
        <w:ind w:firstLine="0" w:left="0"/>
      </w:pPr>
      <w:r>
        <w:rPr>
          <w:rFonts w:ascii="Times New Roman" w:hAnsi="Times New Roman"/>
          <w:b/>
          <w:sz w:val="20"/>
        </w:rPr>
        <w:t>Referencias bibliográficas</w:t>
      </w:r>
    </w:p>
    <w:p>
      <w:pPr>
        <w:spacing w:after="20" w:line="240" w:lineRule="auto"/>
        <w:ind w:firstLine="0" w:left="0"/>
      </w:pPr>
      <w:r>
        <w:rPr>
          <w:rFonts w:ascii="Times New Roman" w:hAnsi="Times New Roman"/>
          <w:b/>
          <w:sz w:val="20"/>
        </w:rPr>
        <w:t>Anexos</w:t>
      </w:r>
    </w:p>
    <w:p>
      <w:pPr>
        <w:pStyle w:val="Caption"/>
      </w:pPr>
      <w:r>
        <w:rPr>
          <w:rFonts w:ascii="Times New Roman" w:hAnsi="Times New Roman"/>
          <w:sz w:val="22"/>
        </w:rPr>
        <w:t>Tabla 3. Correspondencia entre objetivos y resultados.</w:t>
      </w:r>
    </w:p>
    <w:tbl>
      <w:tblPr>
        <w:tblW w:type="dxa" w:w="8270"/>
        <w:jc w:val="center"/>
        <w:tblLayout w:type="fixed"/>
        <w:tblLook w:firstColumn="1" w:firstRow="1" w:lastColumn="0" w:lastRow="0" w:noHBand="0" w:noVBand="1" w:val="04A0"/>
        <w:tblBorders>
          <w:top w:val="single" w:sz="4" w:color="94A3B8"/>
          <w:left w:val="single" w:sz="4" w:color="94A3B8"/>
          <w:bottom w:val="single" w:sz="4" w:color="94A3B8"/>
          <w:right w:val="single" w:sz="4" w:color="94A3B8"/>
          <w:insideH w:val="single" w:sz="4" w:color="94A3B8"/>
          <w:insideV w:val="single" w:sz="4" w:color="94A3B8"/>
        </w:tblBorders>
      </w:tblPr>
      <w:tblGrid>
        <w:gridCol w:w="1800"/>
        <w:gridCol w:w="4500"/>
        <w:gridCol w:w="1970"/>
      </w:tblGrid>
      <w:tr>
        <w:trPr>
          <w:tblHeader w:val="true"/>
        </w:trPr>
        <w:tc>
          <w:tcPr>
            <w:tcW w:type="dxa" w:w="1800"/>
            <w:vAlign w:val="center"/>
            <w:tcMar>
              <w:top w:w="100" w:type="dxa"/>
              <w:start w:w="110" w:type="dxa"/>
              <w:bottom w:w="100" w:type="dxa"/>
              <w:end w:w="110" w:type="dxa"/>
            </w:tcMar>
            <w:shd w:fill="DCE6F1"/>
          </w:tcPr>
          <w:p>
            <w:pPr>
              <w:spacing w:after="0" w:line="240" w:lineRule="auto"/>
              <w:ind w:firstLine="0" w:left="0" w:right="0"/>
              <w:jc w:val="left"/>
            </w:pPr>
            <w:r>
              <w:rPr>
                <w:rFonts w:ascii="Times New Roman" w:hAnsi="Times New Roman"/>
                <w:b/>
                <w:sz w:val="18"/>
              </w:rPr>
              <w:t>Objetivo</w:t>
            </w:r>
          </w:p>
        </w:tc>
        <w:tc>
          <w:tcPr>
            <w:tcW w:type="dxa" w:w="4500"/>
            <w:vAlign w:val="center"/>
            <w:tcMar>
              <w:top w:w="100" w:type="dxa"/>
              <w:start w:w="110" w:type="dxa"/>
              <w:bottom w:w="100" w:type="dxa"/>
              <w:end w:w="110" w:type="dxa"/>
            </w:tcMar>
            <w:shd w:fill="DCE6F1"/>
          </w:tcPr>
          <w:p>
            <w:pPr>
              <w:spacing w:after="0" w:line="240" w:lineRule="auto"/>
              <w:ind w:firstLine="0" w:left="0" w:right="0"/>
              <w:jc w:val="left"/>
            </w:pPr>
            <w:r>
              <w:rPr>
                <w:rFonts w:ascii="Times New Roman" w:hAnsi="Times New Roman"/>
                <w:b/>
                <w:sz w:val="18"/>
              </w:rPr>
              <w:t>Resultado principal</w:t>
            </w:r>
          </w:p>
        </w:tc>
        <w:tc>
          <w:tcPr>
            <w:tcW w:type="dxa" w:w="1970"/>
            <w:vAlign w:val="center"/>
            <w:tcMar>
              <w:top w:w="100" w:type="dxa"/>
              <w:start w:w="110" w:type="dxa"/>
              <w:bottom w:w="100" w:type="dxa"/>
              <w:end w:w="110" w:type="dxa"/>
            </w:tcMar>
            <w:shd w:fill="DCE6F1"/>
          </w:tcPr>
          <w:p>
            <w:pPr>
              <w:spacing w:after="0" w:line="240" w:lineRule="auto"/>
              <w:ind w:firstLine="0" w:left="0" w:right="0"/>
              <w:jc w:val="left"/>
            </w:pPr>
            <w:r>
              <w:rPr>
                <w:rFonts w:ascii="Times New Roman" w:hAnsi="Times New Roman"/>
                <w:b/>
                <w:sz w:val="18"/>
              </w:rPr>
              <w:t>Sección prevista</w:t>
            </w:r>
          </w:p>
        </w:tc>
      </w:tr>
      <w:tr>
        <w:tc>
          <w:tcPr>
            <w:tcW w:type="dxa" w:w="18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1. Analizar</w:t>
            </w:r>
          </w:p>
        </w:tc>
        <w:tc>
          <w:tcPr>
            <w:tcW w:type="dxa" w:w="45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Procesos, requerimientos y reglas definidos</w:t>
            </w:r>
          </w:p>
        </w:tc>
        <w:tc>
          <w:tcPr>
            <w:tcW w:type="dxa" w:w="197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4.1</w:t>
            </w:r>
          </w:p>
        </w:tc>
      </w:tr>
      <w:tr>
        <w:tc>
          <w:tcPr>
            <w:tcW w:type="dxa" w:w="18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2. Diseñar</w:t>
            </w:r>
          </w:p>
        </w:tc>
        <w:tc>
          <w:tcPr>
            <w:tcW w:type="dxa" w:w="45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Modelo de trazabilidad, invariantes y contratos</w:t>
            </w:r>
          </w:p>
        </w:tc>
        <w:tc>
          <w:tcPr>
            <w:tcW w:type="dxa" w:w="197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4.2</w:t>
            </w:r>
          </w:p>
        </w:tc>
      </w:tr>
      <w:tr>
        <w:tc>
          <w:tcPr>
            <w:tcW w:type="dxa" w:w="18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3. Implementar</w:t>
            </w:r>
          </w:p>
        </w:tc>
        <w:tc>
          <w:tcPr>
            <w:tcW w:type="dxa" w:w="45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Tres módulos integrados</w:t>
            </w:r>
          </w:p>
        </w:tc>
        <w:tc>
          <w:tcPr>
            <w:tcW w:type="dxa" w:w="197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4.3</w:t>
            </w:r>
          </w:p>
        </w:tc>
      </w:tr>
      <w:tr>
        <w:tc>
          <w:tcPr>
            <w:tcW w:type="dxa" w:w="18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4. Verificar</w:t>
            </w:r>
          </w:p>
        </w:tc>
        <w:tc>
          <w:tcPr>
            <w:tcW w:type="dxa" w:w="45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Matriz de pruebas y resultados técnicos</w:t>
            </w:r>
          </w:p>
        </w:tc>
        <w:tc>
          <w:tcPr>
            <w:tcW w:type="dxa" w:w="197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4.4</w:t>
            </w:r>
          </w:p>
        </w:tc>
      </w:tr>
      <w:tr>
        <w:tc>
          <w:tcPr>
            <w:tcW w:type="dxa" w:w="18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5. Evaluar</w:t>
            </w:r>
          </w:p>
        </w:tc>
        <w:tc>
          <w:tcPr>
            <w:tcW w:type="dxa" w:w="45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Situación actual, piloto, reconstrucción, contraste y carga operativa</w:t>
            </w:r>
          </w:p>
        </w:tc>
        <w:tc>
          <w:tcPr>
            <w:tcW w:type="dxa" w:w="197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4.5</w:t>
            </w:r>
          </w:p>
        </w:tc>
      </w:tr>
    </w:tbl>
    <w:p>
      <w:pPr>
        <w:spacing w:after="0"/>
      </w:pPr>
    </w:p>
    <w:p>
      <w:pPr>
        <w:pStyle w:val="Heading1"/>
      </w:pPr>
      <w:r>
        <w:rPr>
          <w:rFonts w:ascii="Times New Roman" w:hAnsi="Times New Roman"/>
          <w:sz w:val="28"/>
        </w:rPr>
        <w:t>11. Cronograma de actividades</w:t>
      </w:r>
    </w:p>
    <w:p>
      <w:r>
        <w:rPr>
          <w:rFonts w:ascii="Times New Roman" w:hAnsi="Times New Roman"/>
          <w:sz w:val="24"/>
        </w:rPr>
        <w:t>La ejecución formal comienza el 17 de agosto y concluye el 15 de noviembre de 2026. El cronograma incluye el ciclo completo de análisis, desarrollo, integración, pruebas, evaluación y documentación. Las fechas representan compromisos académicos prospectivos; los prototipos anteriores se utilizarán únicamente como referencia técnica y evidencia de factibilidad, no como construcción formal.</w:t>
      </w:r>
    </w:p>
    <w:p>
      <w:pPr>
        <w:pStyle w:val="Caption"/>
      </w:pPr>
      <w:r>
        <w:rPr>
          <w:rFonts w:ascii="Times New Roman" w:hAnsi="Times New Roman"/>
          <w:sz w:val="22"/>
        </w:rPr>
        <w:t>Tabla 4. Cronograma resumido.</w:t>
      </w:r>
    </w:p>
    <w:tbl>
      <w:tblPr>
        <w:tblW w:type="dxa" w:w="8270"/>
        <w:jc w:val="center"/>
        <w:tblLayout w:type="fixed"/>
        <w:tblLook w:firstColumn="1" w:firstRow="1" w:lastColumn="0" w:lastRow="0" w:noHBand="0" w:noVBand="1" w:val="04A0"/>
        <w:tblBorders>
          <w:top w:val="single" w:sz="4" w:color="94A3B8"/>
          <w:left w:val="single" w:sz="4" w:color="94A3B8"/>
          <w:bottom w:val="single" w:sz="4" w:color="94A3B8"/>
          <w:right w:val="single" w:sz="4" w:color="94A3B8"/>
          <w:insideH w:val="single" w:sz="4" w:color="94A3B8"/>
          <w:insideV w:val="single" w:sz="4" w:color="94A3B8"/>
        </w:tblBorders>
      </w:tblPr>
      <w:tblGrid>
        <w:gridCol w:w="1700"/>
        <w:gridCol w:w="3900"/>
        <w:gridCol w:w="2670"/>
      </w:tblGrid>
      <w:tr>
        <w:trPr>
          <w:tblHeader w:val="true"/>
        </w:trPr>
        <w:tc>
          <w:tcPr>
            <w:tcW w:type="dxa" w:w="1700"/>
            <w:vAlign w:val="center"/>
            <w:tcMar>
              <w:top w:w="100" w:type="dxa"/>
              <w:start w:w="110" w:type="dxa"/>
              <w:bottom w:w="100" w:type="dxa"/>
              <w:end w:w="110" w:type="dxa"/>
            </w:tcMar>
            <w:shd w:fill="DCE6F1"/>
          </w:tcPr>
          <w:p>
            <w:pPr>
              <w:spacing w:after="0" w:line="240" w:lineRule="auto"/>
              <w:ind w:firstLine="0" w:left="0" w:right="0"/>
              <w:jc w:val="left"/>
            </w:pPr>
            <w:r>
              <w:rPr>
                <w:rFonts w:ascii="Times New Roman" w:hAnsi="Times New Roman"/>
                <w:b/>
                <w:sz w:val="18"/>
              </w:rPr>
              <w:t>Sprint y periodo</w:t>
            </w:r>
          </w:p>
        </w:tc>
        <w:tc>
          <w:tcPr>
            <w:tcW w:type="dxa" w:w="3900"/>
            <w:vAlign w:val="center"/>
            <w:tcMar>
              <w:top w:w="100" w:type="dxa"/>
              <w:start w:w="110" w:type="dxa"/>
              <w:bottom w:w="100" w:type="dxa"/>
              <w:end w:w="110" w:type="dxa"/>
            </w:tcMar>
            <w:shd w:fill="DCE6F1"/>
          </w:tcPr>
          <w:p>
            <w:pPr>
              <w:spacing w:after="0" w:line="240" w:lineRule="auto"/>
              <w:ind w:firstLine="0" w:left="0" w:right="0"/>
              <w:jc w:val="left"/>
            </w:pPr>
            <w:r>
              <w:rPr>
                <w:rFonts w:ascii="Times New Roman" w:hAnsi="Times New Roman"/>
                <w:b/>
                <w:sz w:val="18"/>
              </w:rPr>
              <w:t>Objetivo y actividades principales</w:t>
            </w:r>
          </w:p>
        </w:tc>
        <w:tc>
          <w:tcPr>
            <w:tcW w:type="dxa" w:w="2670"/>
            <w:vAlign w:val="center"/>
            <w:tcMar>
              <w:top w:w="100" w:type="dxa"/>
              <w:start w:w="110" w:type="dxa"/>
              <w:bottom w:w="100" w:type="dxa"/>
              <w:end w:w="110" w:type="dxa"/>
            </w:tcMar>
            <w:shd w:fill="DCE6F1"/>
          </w:tcPr>
          <w:p>
            <w:pPr>
              <w:spacing w:after="0" w:line="240" w:lineRule="auto"/>
              <w:ind w:firstLine="0" w:left="0" w:right="0"/>
              <w:jc w:val="left"/>
            </w:pPr>
            <w:r>
              <w:rPr>
                <w:rFonts w:ascii="Times New Roman" w:hAnsi="Times New Roman"/>
                <w:b/>
                <w:sz w:val="18"/>
              </w:rPr>
              <w:t>Incremento verificable</w:t>
            </w:r>
          </w:p>
        </w:tc>
      </w:tr>
      <w:tr>
        <w:tc>
          <w:tcPr>
            <w:tcW w:type="dxa" w:w="17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Sprint 0 · 17–23 ago</w:t>
            </w:r>
          </w:p>
        </w:tc>
        <w:tc>
          <w:tcPr>
            <w:tcW w:type="dxa" w:w="39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Inicio, perfil, backlog, referencia inicial académica del repositorio, arquitectura, instrumentos iniciales y caracterización de la práctica actual</w:t>
            </w:r>
          </w:p>
        </w:tc>
        <w:tc>
          <w:tcPr>
            <w:tcW w:type="dxa" w:w="267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Perfil, referencia inicial, plan de ejecución y caracterización inicial disponibles</w:t>
            </w:r>
          </w:p>
        </w:tc>
      </w:tr>
      <w:tr>
        <w:tc>
          <w:tcPr>
            <w:tcW w:type="dxa" w:w="17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Sprint 1 · 24 ago–6 sep</w:t>
            </w:r>
          </w:p>
        </w:tc>
        <w:tc>
          <w:tcPr>
            <w:tcW w:type="dxa" w:w="39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Iniciar la construcción formal: analizar, construir, probar y documentar Recolección</w:t>
            </w:r>
          </w:p>
        </w:tc>
        <w:tc>
          <w:tcPr>
            <w:tcW w:type="dxa" w:w="267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M1 construido desde la referencia inicial y revisado</w:t>
            </w:r>
          </w:p>
        </w:tc>
      </w:tr>
      <w:tr>
        <w:tc>
          <w:tcPr>
            <w:tcW w:type="dxa" w:w="17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Sprint 2 · 7–20 sep</w:t>
            </w:r>
          </w:p>
        </w:tc>
        <w:tc>
          <w:tcPr>
            <w:tcW w:type="dxa" w:w="39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Desarrollar Vivero, eventos, saldos y contrato M1→M2</w:t>
            </w:r>
          </w:p>
        </w:tc>
        <w:tc>
          <w:tcPr>
            <w:tcW w:type="dxa" w:w="267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M2 y primera integración cerrados</w:t>
            </w:r>
          </w:p>
        </w:tc>
      </w:tr>
      <w:tr>
        <w:tc>
          <w:tcPr>
            <w:tcW w:type="dxa" w:w="17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Sprint 3 · 21 sep–4 oct</w:t>
            </w:r>
          </w:p>
        </w:tc>
        <w:tc>
          <w:tcPr>
            <w:tcW w:type="dxa" w:w="39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Desarrollar Plantación, asignaciones y contrato M2→M3</w:t>
            </w:r>
          </w:p>
        </w:tc>
        <w:tc>
          <w:tcPr>
            <w:tcW w:type="dxa" w:w="267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M3 y segunda integración cerrados</w:t>
            </w:r>
          </w:p>
        </w:tc>
      </w:tr>
      <w:tr>
        <w:tc>
          <w:tcPr>
            <w:tcW w:type="dxa" w:w="17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Sprint 4 · 5–18 oct</w:t>
            </w:r>
          </w:p>
        </w:tc>
        <w:tc>
          <w:tcPr>
            <w:tcW w:type="dxa" w:w="39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Consolidar reconstrucción y trazabilidad transversal</w:t>
            </w:r>
          </w:p>
        </w:tc>
        <w:tc>
          <w:tcPr>
            <w:tcW w:type="dxa" w:w="267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Recorrido completo reconstruible entre los tres módulos</w:t>
            </w:r>
          </w:p>
        </w:tc>
      </w:tr>
      <w:tr>
        <w:tc>
          <w:tcPr>
            <w:tcW w:type="dxa" w:w="17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Sprint 5 · 19 oct–1 nov</w:t>
            </w:r>
          </w:p>
        </w:tc>
        <w:tc>
          <w:tcPr>
            <w:tcW w:type="dxa" w:w="39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Integración transversal, interfaz y experiencia de uso, seguridad, pruebas y despliegue</w:t>
            </w:r>
          </w:p>
        </w:tc>
        <w:tc>
          <w:tcPr>
            <w:tcW w:type="dxa" w:w="267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Versión candidata para piloto</w:t>
            </w:r>
          </w:p>
        </w:tc>
      </w:tr>
      <w:tr>
        <w:tc>
          <w:tcPr>
            <w:tcW w:type="dxa" w:w="17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Sprint 6 · 2–8 nov</w:t>
            </w:r>
          </w:p>
        </w:tc>
        <w:tc>
          <w:tcPr>
            <w:tcW w:type="dxa" w:w="39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Ejecutar el piloto, evaluar la propuesta y compararla con la situación actual</w:t>
            </w:r>
          </w:p>
        </w:tc>
        <w:tc>
          <w:tcPr>
            <w:tcW w:type="dxa" w:w="267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Evidencia operativa y técnica analizada</w:t>
            </w:r>
          </w:p>
        </w:tc>
      </w:tr>
      <w:tr>
        <w:tc>
          <w:tcPr>
            <w:tcW w:type="dxa" w:w="17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Sprint 7 · 9–15 nov</w:t>
            </w:r>
          </w:p>
        </w:tc>
        <w:tc>
          <w:tcPr>
            <w:tcW w:type="dxa" w:w="39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Redactar resultados, conclusiones, anexos y entrega</w:t>
            </w:r>
          </w:p>
        </w:tc>
        <w:tc>
          <w:tcPr>
            <w:tcW w:type="dxa" w:w="267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Proyecto de Grado concluido</w:t>
            </w:r>
          </w:p>
        </w:tc>
      </w:tr>
    </w:tbl>
    <w:p>
      <w:pPr>
        <w:spacing w:after="0"/>
      </w:pPr>
    </w:p>
    <w:p>
      <w:pPr>
        <w:pStyle w:val="Caption"/>
      </w:pPr>
      <w:r>
        <w:rPr>
          <w:rFonts w:ascii="Times New Roman" w:hAnsi="Times New Roman"/>
          <w:sz w:val="22"/>
        </w:rPr>
        <w:t>Figura 4. Diagrama de Gantt, agosto–noviembre de 2026.</w:t>
      </w:r>
    </w:p>
    <w:p>
      <w:pPr>
        <w:spacing w:after="120"/>
        <w:ind w:firstLine="0"/>
        <w:jc w:val="center"/>
      </w:pPr>
      <w:r>
        <w:drawing>
          <wp:inline xmlns:a="http://schemas.openxmlformats.org/drawingml/2006/main" xmlns:pic="http://schemas.openxmlformats.org/drawingml/2006/picture">
            <wp:extent cx="5230368" cy="3138221"/>
            <wp:docPr id="5" name="Picture 5"/>
            <wp:cNvGraphicFramePr>
              <a:graphicFrameLocks noChangeAspect="1"/>
            </wp:cNvGraphicFramePr>
            <a:graphic>
              <a:graphicData uri="http://schemas.openxmlformats.org/drawingml/2006/picture">
                <pic:pic>
                  <pic:nvPicPr>
                    <pic:cNvPr id="0" name="figura_4.png"/>
                    <pic:cNvPicPr/>
                  </pic:nvPicPr>
                  <pic:blipFill>
                    <a:blip r:embed="rId17"/>
                    <a:stretch>
                      <a:fillRect/>
                    </a:stretch>
                  </pic:blipFill>
                  <pic:spPr>
                    <a:xfrm>
                      <a:off x="0" y="0"/>
                      <a:ext cx="5230368" cy="3138221"/>
                    </a:xfrm>
                    <a:prstGeom prst="rect"/>
                  </pic:spPr>
                </pic:pic>
              </a:graphicData>
            </a:graphic>
          </wp:inline>
        </w:drawing>
      </w:r>
    </w:p>
    <w:p>
      <w:pPr>
        <w:pStyle w:val="Heading1"/>
      </w:pPr>
      <w:r>
        <w:rPr>
          <w:rFonts w:ascii="Times New Roman" w:hAnsi="Times New Roman"/>
          <w:sz w:val="28"/>
        </w:rPr>
        <w:t>12. Recursos y presupuesto</w:t>
      </w:r>
    </w:p>
    <w:p>
      <w:pPr>
        <w:pStyle w:val="Heading2"/>
      </w:pPr>
      <w:r>
        <w:rPr>
          <w:rFonts w:ascii="Times New Roman" w:hAnsi="Times New Roman"/>
          <w:sz w:val="24"/>
        </w:rPr>
        <w:t>12.1. Recursos humanos</w:t>
      </w:r>
    </w:p>
    <w:p>
      <w:pPr>
        <w:pStyle w:val="ListParagraph"/>
        <w:numPr>
          <w:ilvl w:val="0"/>
          <w:numId w:val="17"/>
        </w:numPr>
        <w:spacing w:line="360" w:lineRule="auto" w:after="0"/>
        <w:ind w:left="454" w:hanging="283"/>
      </w:pPr>
      <w:r>
        <w:rPr>
          <w:rFonts w:ascii="Times New Roman" w:hAnsi="Times New Roman"/>
          <w:sz w:val="24"/>
        </w:rPr>
        <w:t>postulante, como responsable principal del análisis, desarrollo, evaluación y documentación;</w:t>
      </w:r>
    </w:p>
    <w:p>
      <w:pPr>
        <w:pStyle w:val="ListParagraph"/>
        <w:numPr>
          <w:ilvl w:val="0"/>
          <w:numId w:val="17"/>
        </w:numPr>
        <w:spacing w:line="360" w:lineRule="auto" w:after="0"/>
        <w:ind w:left="454" w:hanging="283"/>
      </w:pPr>
      <w:r>
        <w:rPr>
          <w:rFonts w:ascii="Times New Roman" w:hAnsi="Times New Roman"/>
          <w:sz w:val="24"/>
        </w:rPr>
        <w:t>tutora académica, para orientación y revisión;</w:t>
      </w:r>
    </w:p>
    <w:p>
      <w:pPr>
        <w:pStyle w:val="ListParagraph"/>
        <w:numPr>
          <w:ilvl w:val="0"/>
          <w:numId w:val="17"/>
        </w:numPr>
        <w:spacing w:line="360" w:lineRule="auto" w:after="0"/>
        <w:ind w:left="454" w:hanging="283"/>
      </w:pPr>
      <w:r>
        <w:rPr>
          <w:rFonts w:ascii="Times New Roman" w:hAnsi="Times New Roman"/>
          <w:sz w:val="24"/>
        </w:rPr>
        <w:t>personal y participantes de R3Foresta, para información del proceso y piloto;</w:t>
      </w:r>
    </w:p>
    <w:p>
      <w:pPr>
        <w:pStyle w:val="ListParagraph"/>
        <w:numPr>
          <w:ilvl w:val="0"/>
          <w:numId w:val="17"/>
        </w:numPr>
        <w:spacing w:line="360" w:lineRule="auto" w:after="0"/>
        <w:ind w:left="454" w:hanging="283"/>
      </w:pPr>
      <w:r>
        <w:rPr>
          <w:rFonts w:ascii="Times New Roman" w:hAnsi="Times New Roman"/>
          <w:sz w:val="24"/>
        </w:rPr>
        <w:t>apoyo puntual de colaboradores, limitado a las contribuciones que se declararán en el documento final.</w:t>
      </w:r>
    </w:p>
    <w:p>
      <w:r>
        <w:rPr>
          <w:rFonts w:ascii="Times New Roman" w:hAnsi="Times New Roman"/>
          <w:sz w:val="24"/>
        </w:rPr>
        <w:t>Las horas del postulante y colaboradores se consideran aporte en especie. Se registrarán durante los sprints para documentar el esfuerzo, pero no se monetizan en este presupuesto porque no existe una tarifa institucional definida.</w:t>
      </w:r>
    </w:p>
    <w:p>
      <w:pPr>
        <w:pStyle w:val="Heading2"/>
      </w:pPr>
      <w:r>
        <w:rPr>
          <w:rFonts w:ascii="Times New Roman" w:hAnsi="Times New Roman"/>
          <w:sz w:val="24"/>
        </w:rPr>
        <w:t>12.2. Recursos tecnológicos y materiales</w:t>
      </w:r>
    </w:p>
    <w:p>
      <w:pPr>
        <w:pStyle w:val="ListParagraph"/>
        <w:numPr>
          <w:ilvl w:val="0"/>
          <w:numId w:val="18"/>
        </w:numPr>
        <w:spacing w:line="360" w:lineRule="auto" w:after="0"/>
        <w:ind w:left="454" w:hanging="283"/>
      </w:pPr>
      <w:r>
        <w:rPr>
          <w:rFonts w:ascii="Times New Roman" w:hAnsi="Times New Roman"/>
          <w:sz w:val="24"/>
        </w:rPr>
        <w:t>computadora portátil y teléfonos móviles propios, como aporte en especie;</w:t>
      </w:r>
    </w:p>
    <w:p>
      <w:pPr>
        <w:pStyle w:val="ListParagraph"/>
        <w:numPr>
          <w:ilvl w:val="0"/>
          <w:numId w:val="18"/>
        </w:numPr>
        <w:spacing w:line="360" w:lineRule="auto" w:after="0"/>
        <w:ind w:left="454" w:hanging="283"/>
      </w:pPr>
      <w:r>
        <w:rPr>
          <w:rFonts w:ascii="Times New Roman" w:hAnsi="Times New Roman"/>
          <w:sz w:val="24"/>
        </w:rPr>
        <w:t>repositorios Git y GitHub;</w:t>
      </w:r>
    </w:p>
    <w:p>
      <w:pPr>
        <w:pStyle w:val="ListParagraph"/>
        <w:numPr>
          <w:ilvl w:val="0"/>
          <w:numId w:val="18"/>
        </w:numPr>
        <w:spacing w:line="360" w:lineRule="auto" w:after="0"/>
        <w:ind w:left="454" w:hanging="283"/>
      </w:pPr>
      <w:r>
        <w:rPr>
          <w:rFonts w:ascii="Times New Roman" w:hAnsi="Times New Roman"/>
          <w:sz w:val="24"/>
        </w:rPr>
        <w:t>PostgreSQL/PostGIS, Supabase, Vercel y Render en planes gratuitos;</w:t>
      </w:r>
    </w:p>
    <w:p>
      <w:pPr>
        <w:pStyle w:val="ListParagraph"/>
        <w:numPr>
          <w:ilvl w:val="0"/>
          <w:numId w:val="18"/>
        </w:numPr>
        <w:spacing w:line="360" w:lineRule="auto" w:after="0"/>
        <w:ind w:left="454" w:hanging="283"/>
      </w:pPr>
      <w:r>
        <w:rPr>
          <w:rFonts w:ascii="Times New Roman" w:hAnsi="Times New Roman"/>
          <w:sz w:val="24"/>
        </w:rPr>
        <w:t>herramientas de programación, prueba, documentación y diagramación;</w:t>
      </w:r>
    </w:p>
    <w:p>
      <w:pPr>
        <w:pStyle w:val="ListParagraph"/>
        <w:numPr>
          <w:ilvl w:val="0"/>
          <w:numId w:val="18"/>
        </w:numPr>
        <w:spacing w:line="360" w:lineRule="auto" w:after="0"/>
        <w:ind w:left="454" w:hanging="283"/>
      </w:pPr>
      <w:r>
        <w:rPr>
          <w:rFonts w:ascii="Times New Roman" w:hAnsi="Times New Roman"/>
          <w:sz w:val="24"/>
        </w:rPr>
        <w:t>agentes de inteligencia artificial mediante una suscripción mensual alternada entre Claude Code y Codex, sin mantener ambas simultáneamente;</w:t>
      </w:r>
    </w:p>
    <w:p>
      <w:pPr>
        <w:pStyle w:val="ListParagraph"/>
        <w:numPr>
          <w:ilvl w:val="0"/>
          <w:numId w:val="18"/>
        </w:numPr>
        <w:spacing w:line="360" w:lineRule="auto" w:after="0"/>
        <w:ind w:left="454" w:hanging="283"/>
      </w:pPr>
      <w:r>
        <w:rPr>
          <w:rFonts w:ascii="Times New Roman" w:hAnsi="Times New Roman"/>
          <w:sz w:val="24"/>
        </w:rPr>
        <w:t>conexión a Internet y datos móviles;</w:t>
      </w:r>
    </w:p>
    <w:p>
      <w:pPr>
        <w:pStyle w:val="ListParagraph"/>
        <w:numPr>
          <w:ilvl w:val="0"/>
          <w:numId w:val="18"/>
        </w:numPr>
        <w:spacing w:line="360" w:lineRule="auto" w:after="0"/>
        <w:ind w:left="454" w:hanging="283"/>
      </w:pPr>
      <w:r>
        <w:rPr>
          <w:rFonts w:ascii="Times New Roman" w:hAnsi="Times New Roman"/>
          <w:sz w:val="24"/>
        </w:rPr>
        <w:t>transporte y alimentación para aproximadamente 20 visitas de campo.</w:t>
      </w:r>
    </w:p>
    <w:p>
      <w:r>
        <w:rPr>
          <w:rFonts w:ascii="Times New Roman" w:hAnsi="Times New Roman"/>
          <w:sz w:val="24"/>
        </w:rPr>
        <w:t>No se contempla dominio personalizado: se utilizará el subdominio de Vercel. Tampoco se presupuestan servicios blockchain, IPFS o redes RPC porque se encuentran fuera del alcance.</w:t>
      </w:r>
    </w:p>
    <w:p>
      <w:pPr>
        <w:pStyle w:val="Heading2"/>
      </w:pPr>
      <w:r>
        <w:rPr>
          <w:rFonts w:ascii="Times New Roman" w:hAnsi="Times New Roman"/>
          <w:sz w:val="24"/>
        </w:rPr>
        <w:t>12.3. Presupuesto</w:t>
      </w:r>
    </w:p>
    <w:p>
      <w:pPr>
        <w:pStyle w:val="Caption"/>
      </w:pPr>
      <w:r>
        <w:rPr>
          <w:rFonts w:ascii="Times New Roman" w:hAnsi="Times New Roman"/>
          <w:sz w:val="22"/>
        </w:rPr>
        <w:t>Tabla 5. Presupuesto monetario previsto.</w:t>
      </w:r>
    </w:p>
    <w:tbl>
      <w:tblPr>
        <w:tblW w:type="dxa" w:w="8270"/>
        <w:jc w:val="center"/>
        <w:tblLayout w:type="fixed"/>
        <w:tblLook w:firstColumn="1" w:firstRow="1" w:lastColumn="0" w:lastRow="0" w:noHBand="0" w:noVBand="1" w:val="04A0"/>
        <w:tblBorders>
          <w:top w:val="single" w:sz="4" w:color="94A3B8"/>
          <w:left w:val="single" w:sz="4" w:color="94A3B8"/>
          <w:bottom w:val="single" w:sz="4" w:color="94A3B8"/>
          <w:right w:val="single" w:sz="4" w:color="94A3B8"/>
          <w:insideH w:val="single" w:sz="4" w:color="94A3B8"/>
          <w:insideV w:val="single" w:sz="4" w:color="94A3B8"/>
        </w:tblBorders>
      </w:tblPr>
      <w:tblGrid>
        <w:gridCol w:w="2700"/>
        <w:gridCol w:w="2570"/>
        <w:gridCol w:w="1500"/>
        <w:gridCol w:w="1500"/>
      </w:tblGrid>
      <w:tr>
        <w:trPr>
          <w:tblHeader w:val="true"/>
        </w:trPr>
        <w:tc>
          <w:tcPr>
            <w:tcW w:type="dxa" w:w="2700"/>
            <w:vAlign w:val="center"/>
            <w:tcMar>
              <w:top w:w="100" w:type="dxa"/>
              <w:start w:w="110" w:type="dxa"/>
              <w:bottom w:w="100" w:type="dxa"/>
              <w:end w:w="110" w:type="dxa"/>
            </w:tcMar>
            <w:shd w:fill="DCE6F1"/>
          </w:tcPr>
          <w:p>
            <w:pPr>
              <w:spacing w:after="0" w:line="240" w:lineRule="auto"/>
              <w:ind w:firstLine="0" w:left="0" w:right="0"/>
              <w:jc w:val="left"/>
            </w:pPr>
            <w:r>
              <w:rPr>
                <w:rFonts w:ascii="Times New Roman" w:hAnsi="Times New Roman"/>
                <w:b/>
                <w:sz w:val="18"/>
              </w:rPr>
              <w:t>Concepto</w:t>
            </w:r>
          </w:p>
        </w:tc>
        <w:tc>
          <w:tcPr>
            <w:tcW w:type="dxa" w:w="2570"/>
            <w:vAlign w:val="center"/>
            <w:tcMar>
              <w:top w:w="100" w:type="dxa"/>
              <w:start w:w="110" w:type="dxa"/>
              <w:bottom w:w="100" w:type="dxa"/>
              <w:end w:w="110" w:type="dxa"/>
            </w:tcMar>
            <w:shd w:fill="DCE6F1"/>
          </w:tcPr>
          <w:p>
            <w:pPr>
              <w:spacing w:after="0" w:line="240" w:lineRule="auto"/>
              <w:ind w:firstLine="0" w:left="0" w:right="0"/>
              <w:jc w:val="right"/>
            </w:pPr>
            <w:r>
              <w:rPr>
                <w:rFonts w:ascii="Times New Roman" w:hAnsi="Times New Roman"/>
                <w:b/>
                <w:sz w:val="18"/>
              </w:rPr>
              <w:t>Cálculo</w:t>
            </w:r>
          </w:p>
        </w:tc>
        <w:tc>
          <w:tcPr>
            <w:tcW w:type="dxa" w:w="1500"/>
            <w:vAlign w:val="center"/>
            <w:tcMar>
              <w:top w:w="100" w:type="dxa"/>
              <w:start w:w="110" w:type="dxa"/>
              <w:bottom w:w="100" w:type="dxa"/>
              <w:end w:w="110" w:type="dxa"/>
            </w:tcMar>
            <w:shd w:fill="DCE6F1"/>
          </w:tcPr>
          <w:p>
            <w:pPr>
              <w:spacing w:after="0" w:line="240" w:lineRule="auto"/>
              <w:ind w:firstLine="0" w:left="0" w:right="0"/>
              <w:jc w:val="right"/>
            </w:pPr>
            <w:r>
              <w:rPr>
                <w:rFonts w:ascii="Times New Roman" w:hAnsi="Times New Roman"/>
                <w:b/>
                <w:sz w:val="18"/>
              </w:rPr>
              <w:t>Moneda</w:t>
            </w:r>
          </w:p>
        </w:tc>
        <w:tc>
          <w:tcPr>
            <w:tcW w:type="dxa" w:w="1500"/>
            <w:vAlign w:val="center"/>
            <w:tcMar>
              <w:top w:w="100" w:type="dxa"/>
              <w:start w:w="110" w:type="dxa"/>
              <w:bottom w:w="100" w:type="dxa"/>
              <w:end w:w="110" w:type="dxa"/>
            </w:tcMar>
            <w:shd w:fill="DCE6F1"/>
          </w:tcPr>
          <w:p>
            <w:pPr>
              <w:spacing w:after="0" w:line="240" w:lineRule="auto"/>
              <w:ind w:firstLine="0" w:left="0" w:right="0"/>
              <w:jc w:val="right"/>
            </w:pPr>
            <w:r>
              <w:rPr>
                <w:rFonts w:ascii="Times New Roman" w:hAnsi="Times New Roman"/>
                <w:b/>
                <w:sz w:val="18"/>
              </w:rPr>
              <w:t>Subtotal</w:t>
            </w:r>
          </w:p>
        </w:tc>
      </w:tr>
      <w:tr>
        <w:tc>
          <w:tcPr>
            <w:tcW w:type="dxa" w:w="27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Agentes de IA: suscripción alternada entre Claude Code y Codex</w:t>
            </w:r>
          </w:p>
        </w:tc>
        <w:tc>
          <w:tcPr>
            <w:tcW w:type="dxa" w:w="2570"/>
            <w:vAlign w:val="center"/>
            <w:tcMar>
              <w:top w:w="100" w:type="dxa"/>
              <w:start w:w="110" w:type="dxa"/>
              <w:bottom w:w="100" w:type="dxa"/>
              <w:end w:w="110" w:type="dxa"/>
            </w:tcMar>
          </w:tcPr>
          <w:p>
            <w:pPr>
              <w:spacing w:after="0" w:line="240" w:lineRule="auto"/>
              <w:ind w:firstLine="0" w:left="0" w:right="0"/>
              <w:jc w:val="right"/>
            </w:pPr>
            <w:r>
              <w:rPr>
                <w:rFonts w:ascii="Times New Roman" w:hAnsi="Times New Roman"/>
                <w:sz w:val="18"/>
              </w:rPr>
              <w:t>4 meses × USD 20, agosto–noviembre de 2026</w:t>
            </w:r>
          </w:p>
        </w:tc>
        <w:tc>
          <w:tcPr>
            <w:tcW w:type="dxa" w:w="1500"/>
            <w:vAlign w:val="center"/>
            <w:tcMar>
              <w:top w:w="100" w:type="dxa"/>
              <w:start w:w="110" w:type="dxa"/>
              <w:bottom w:w="100" w:type="dxa"/>
              <w:end w:w="110" w:type="dxa"/>
            </w:tcMar>
          </w:tcPr>
          <w:p>
            <w:pPr>
              <w:spacing w:after="0" w:line="240" w:lineRule="auto"/>
              <w:ind w:firstLine="0" w:left="0" w:right="0"/>
              <w:jc w:val="right"/>
            </w:pPr>
            <w:r>
              <w:rPr>
                <w:rFonts w:ascii="Times New Roman" w:hAnsi="Times New Roman"/>
                <w:sz w:val="18"/>
              </w:rPr>
              <w:t>USD</w:t>
            </w:r>
          </w:p>
        </w:tc>
        <w:tc>
          <w:tcPr>
            <w:tcW w:type="dxa" w:w="1500"/>
            <w:vAlign w:val="center"/>
            <w:tcMar>
              <w:top w:w="100" w:type="dxa"/>
              <w:start w:w="110" w:type="dxa"/>
              <w:bottom w:w="100" w:type="dxa"/>
              <w:end w:w="110" w:type="dxa"/>
            </w:tcMar>
          </w:tcPr>
          <w:p>
            <w:pPr>
              <w:spacing w:after="0" w:line="240" w:lineRule="auto"/>
              <w:ind w:firstLine="0" w:left="0" w:right="0"/>
              <w:jc w:val="right"/>
            </w:pPr>
            <w:r>
              <w:rPr>
                <w:rFonts w:ascii="Times New Roman" w:hAnsi="Times New Roman"/>
                <w:sz w:val="18"/>
              </w:rPr>
              <w:t>80</w:t>
            </w:r>
          </w:p>
        </w:tc>
      </w:tr>
      <w:tr>
        <w:tc>
          <w:tcPr>
            <w:tcW w:type="dxa" w:w="27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Supabase, Vercel, Render y GitHub</w:t>
            </w:r>
          </w:p>
        </w:tc>
        <w:tc>
          <w:tcPr>
            <w:tcW w:type="dxa" w:w="2570"/>
            <w:vAlign w:val="center"/>
            <w:tcMar>
              <w:top w:w="100" w:type="dxa"/>
              <w:start w:w="110" w:type="dxa"/>
              <w:bottom w:w="100" w:type="dxa"/>
              <w:end w:w="110" w:type="dxa"/>
            </w:tcMar>
            <w:shd w:fill="F8FAFC"/>
          </w:tcPr>
          <w:p>
            <w:pPr>
              <w:spacing w:after="0" w:line="240" w:lineRule="auto"/>
              <w:ind w:firstLine="0" w:left="0" w:right="0"/>
              <w:jc w:val="right"/>
            </w:pPr>
            <w:r>
              <w:rPr>
                <w:rFonts w:ascii="Times New Roman" w:hAnsi="Times New Roman"/>
                <w:sz w:val="18"/>
              </w:rPr>
              <w:t>Planes gratuitos</w:t>
            </w:r>
          </w:p>
        </w:tc>
        <w:tc>
          <w:tcPr>
            <w:tcW w:type="dxa" w:w="1500"/>
            <w:vAlign w:val="center"/>
            <w:tcMar>
              <w:top w:w="100" w:type="dxa"/>
              <w:start w:w="110" w:type="dxa"/>
              <w:bottom w:w="100" w:type="dxa"/>
              <w:end w:w="110" w:type="dxa"/>
            </w:tcMar>
            <w:shd w:fill="F8FAFC"/>
          </w:tcPr>
          <w:p>
            <w:pPr>
              <w:spacing w:after="0" w:line="240" w:lineRule="auto"/>
              <w:ind w:firstLine="0" w:left="0" w:right="0"/>
              <w:jc w:val="right"/>
            </w:pPr>
            <w:r>
              <w:rPr>
                <w:rFonts w:ascii="Times New Roman" w:hAnsi="Times New Roman"/>
                <w:sz w:val="18"/>
              </w:rPr>
              <w:t>USD</w:t>
            </w:r>
          </w:p>
        </w:tc>
        <w:tc>
          <w:tcPr>
            <w:tcW w:type="dxa" w:w="1500"/>
            <w:vAlign w:val="center"/>
            <w:tcMar>
              <w:top w:w="100" w:type="dxa"/>
              <w:start w:w="110" w:type="dxa"/>
              <w:bottom w:w="100" w:type="dxa"/>
              <w:end w:w="110" w:type="dxa"/>
            </w:tcMar>
            <w:shd w:fill="F8FAFC"/>
          </w:tcPr>
          <w:p>
            <w:pPr>
              <w:spacing w:after="0" w:line="240" w:lineRule="auto"/>
              <w:ind w:firstLine="0" w:left="0" w:right="0"/>
              <w:jc w:val="right"/>
            </w:pPr>
            <w:r>
              <w:rPr>
                <w:rFonts w:ascii="Times New Roman" w:hAnsi="Times New Roman"/>
                <w:sz w:val="18"/>
              </w:rPr>
              <w:t>0</w:t>
            </w:r>
          </w:p>
        </w:tc>
      </w:tr>
      <w:tr>
        <w:tc>
          <w:tcPr>
            <w:tcW w:type="dxa" w:w="27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Dominio personalizado</w:t>
            </w:r>
          </w:p>
        </w:tc>
        <w:tc>
          <w:tcPr>
            <w:tcW w:type="dxa" w:w="2570"/>
            <w:vAlign w:val="center"/>
            <w:tcMar>
              <w:top w:w="100" w:type="dxa"/>
              <w:start w:w="110" w:type="dxa"/>
              <w:bottom w:w="100" w:type="dxa"/>
              <w:end w:w="110" w:type="dxa"/>
            </w:tcMar>
          </w:tcPr>
          <w:p>
            <w:pPr>
              <w:spacing w:after="0" w:line="240" w:lineRule="auto"/>
              <w:ind w:firstLine="0" w:left="0" w:right="0"/>
              <w:jc w:val="right"/>
            </w:pPr>
            <w:r>
              <w:rPr>
                <w:rFonts w:ascii="Times New Roman" w:hAnsi="Times New Roman"/>
                <w:sz w:val="18"/>
              </w:rPr>
              <w:t>No requerido</w:t>
            </w:r>
          </w:p>
        </w:tc>
        <w:tc>
          <w:tcPr>
            <w:tcW w:type="dxa" w:w="1500"/>
            <w:vAlign w:val="center"/>
            <w:tcMar>
              <w:top w:w="100" w:type="dxa"/>
              <w:start w:w="110" w:type="dxa"/>
              <w:bottom w:w="100" w:type="dxa"/>
              <w:end w:w="110" w:type="dxa"/>
            </w:tcMar>
          </w:tcPr>
          <w:p>
            <w:pPr>
              <w:spacing w:after="0" w:line="240" w:lineRule="auto"/>
              <w:ind w:firstLine="0" w:left="0" w:right="0"/>
              <w:jc w:val="right"/>
            </w:pPr>
            <w:r>
              <w:rPr>
                <w:rFonts w:ascii="Times New Roman" w:hAnsi="Times New Roman"/>
                <w:sz w:val="18"/>
              </w:rPr>
              <w:t>USD</w:t>
            </w:r>
          </w:p>
        </w:tc>
        <w:tc>
          <w:tcPr>
            <w:tcW w:type="dxa" w:w="1500"/>
            <w:vAlign w:val="center"/>
            <w:tcMar>
              <w:top w:w="100" w:type="dxa"/>
              <w:start w:w="110" w:type="dxa"/>
              <w:bottom w:w="100" w:type="dxa"/>
              <w:end w:w="110" w:type="dxa"/>
            </w:tcMar>
          </w:tcPr>
          <w:p>
            <w:pPr>
              <w:spacing w:after="0" w:line="240" w:lineRule="auto"/>
              <w:ind w:firstLine="0" w:left="0" w:right="0"/>
              <w:jc w:val="right"/>
            </w:pPr>
            <w:r>
              <w:rPr>
                <w:rFonts w:ascii="Times New Roman" w:hAnsi="Times New Roman"/>
                <w:sz w:val="18"/>
              </w:rPr>
              <w:t>0</w:t>
            </w:r>
          </w:p>
        </w:tc>
      </w:tr>
      <w:tr>
        <w:tc>
          <w:tcPr>
            <w:tcW w:type="dxa" w:w="27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Transporte de campo</w:t>
            </w:r>
          </w:p>
        </w:tc>
        <w:tc>
          <w:tcPr>
            <w:tcW w:type="dxa" w:w="2570"/>
            <w:vAlign w:val="center"/>
            <w:tcMar>
              <w:top w:w="100" w:type="dxa"/>
              <w:start w:w="110" w:type="dxa"/>
              <w:bottom w:w="100" w:type="dxa"/>
              <w:end w:w="110" w:type="dxa"/>
            </w:tcMar>
            <w:shd w:fill="F8FAFC"/>
          </w:tcPr>
          <w:p>
            <w:pPr>
              <w:spacing w:after="0" w:line="240" w:lineRule="auto"/>
              <w:ind w:firstLine="0" w:left="0" w:right="0"/>
              <w:jc w:val="right"/>
            </w:pPr>
            <w:r>
              <w:rPr>
                <w:rFonts w:ascii="Times New Roman" w:hAnsi="Times New Roman"/>
                <w:sz w:val="18"/>
              </w:rPr>
              <w:t>20 visitas × Bs 20–35</w:t>
            </w:r>
          </w:p>
        </w:tc>
        <w:tc>
          <w:tcPr>
            <w:tcW w:type="dxa" w:w="1500"/>
            <w:vAlign w:val="center"/>
            <w:tcMar>
              <w:top w:w="100" w:type="dxa"/>
              <w:start w:w="110" w:type="dxa"/>
              <w:bottom w:w="100" w:type="dxa"/>
              <w:end w:w="110" w:type="dxa"/>
            </w:tcMar>
            <w:shd w:fill="F8FAFC"/>
          </w:tcPr>
          <w:p>
            <w:pPr>
              <w:spacing w:after="0" w:line="240" w:lineRule="auto"/>
              <w:ind w:firstLine="0" w:left="0" w:right="0"/>
              <w:jc w:val="right"/>
            </w:pPr>
            <w:r>
              <w:rPr>
                <w:rFonts w:ascii="Times New Roman" w:hAnsi="Times New Roman"/>
                <w:sz w:val="18"/>
              </w:rPr>
              <w:t>Bs</w:t>
            </w:r>
          </w:p>
        </w:tc>
        <w:tc>
          <w:tcPr>
            <w:tcW w:type="dxa" w:w="1500"/>
            <w:vAlign w:val="center"/>
            <w:tcMar>
              <w:top w:w="100" w:type="dxa"/>
              <w:start w:w="110" w:type="dxa"/>
              <w:bottom w:w="100" w:type="dxa"/>
              <w:end w:w="110" w:type="dxa"/>
            </w:tcMar>
            <w:shd w:fill="F8FAFC"/>
          </w:tcPr>
          <w:p>
            <w:pPr>
              <w:spacing w:after="0" w:line="240" w:lineRule="auto"/>
              <w:ind w:firstLine="0" w:left="0" w:right="0"/>
              <w:jc w:val="right"/>
            </w:pPr>
            <w:r>
              <w:rPr>
                <w:rFonts w:ascii="Times New Roman" w:hAnsi="Times New Roman"/>
                <w:sz w:val="18"/>
              </w:rPr>
              <w:t>400–700</w:t>
            </w:r>
          </w:p>
        </w:tc>
      </w:tr>
      <w:tr>
        <w:tc>
          <w:tcPr>
            <w:tcW w:type="dxa" w:w="27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Alimentación de campo</w:t>
            </w:r>
          </w:p>
        </w:tc>
        <w:tc>
          <w:tcPr>
            <w:tcW w:type="dxa" w:w="2570"/>
            <w:vAlign w:val="center"/>
            <w:tcMar>
              <w:top w:w="100" w:type="dxa"/>
              <w:start w:w="110" w:type="dxa"/>
              <w:bottom w:w="100" w:type="dxa"/>
              <w:end w:w="110" w:type="dxa"/>
            </w:tcMar>
          </w:tcPr>
          <w:p>
            <w:pPr>
              <w:spacing w:after="0" w:line="240" w:lineRule="auto"/>
              <w:ind w:firstLine="0" w:left="0" w:right="0"/>
              <w:jc w:val="right"/>
            </w:pPr>
            <w:r>
              <w:rPr>
                <w:rFonts w:ascii="Times New Roman" w:hAnsi="Times New Roman"/>
                <w:sz w:val="18"/>
              </w:rPr>
              <w:t>20 visitas × Bs 20</w:t>
            </w:r>
          </w:p>
        </w:tc>
        <w:tc>
          <w:tcPr>
            <w:tcW w:type="dxa" w:w="1500"/>
            <w:vAlign w:val="center"/>
            <w:tcMar>
              <w:top w:w="100" w:type="dxa"/>
              <w:start w:w="110" w:type="dxa"/>
              <w:bottom w:w="100" w:type="dxa"/>
              <w:end w:w="110" w:type="dxa"/>
            </w:tcMar>
          </w:tcPr>
          <w:p>
            <w:pPr>
              <w:spacing w:after="0" w:line="240" w:lineRule="auto"/>
              <w:ind w:firstLine="0" w:left="0" w:right="0"/>
              <w:jc w:val="right"/>
            </w:pPr>
            <w:r>
              <w:rPr>
                <w:rFonts w:ascii="Times New Roman" w:hAnsi="Times New Roman"/>
                <w:sz w:val="18"/>
              </w:rPr>
              <w:t>Bs</w:t>
            </w:r>
          </w:p>
        </w:tc>
        <w:tc>
          <w:tcPr>
            <w:tcW w:type="dxa" w:w="1500"/>
            <w:vAlign w:val="center"/>
            <w:tcMar>
              <w:top w:w="100" w:type="dxa"/>
              <w:start w:w="110" w:type="dxa"/>
              <w:bottom w:w="100" w:type="dxa"/>
              <w:end w:w="110" w:type="dxa"/>
            </w:tcMar>
          </w:tcPr>
          <w:p>
            <w:pPr>
              <w:spacing w:after="0" w:line="240" w:lineRule="auto"/>
              <w:ind w:firstLine="0" w:left="0" w:right="0"/>
              <w:jc w:val="right"/>
            </w:pPr>
            <w:r>
              <w:rPr>
                <w:rFonts w:ascii="Times New Roman" w:hAnsi="Times New Roman"/>
                <w:sz w:val="18"/>
              </w:rPr>
              <w:t>400</w:t>
            </w:r>
          </w:p>
        </w:tc>
      </w:tr>
      <w:tr>
        <w:tc>
          <w:tcPr>
            <w:tcW w:type="dxa" w:w="27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Datos móviles</w:t>
            </w:r>
          </w:p>
        </w:tc>
        <w:tc>
          <w:tcPr>
            <w:tcW w:type="dxa" w:w="2570"/>
            <w:vAlign w:val="center"/>
            <w:tcMar>
              <w:top w:w="100" w:type="dxa"/>
              <w:start w:w="110" w:type="dxa"/>
              <w:bottom w:w="100" w:type="dxa"/>
              <w:end w:w="110" w:type="dxa"/>
            </w:tcMar>
            <w:shd w:fill="F8FAFC"/>
          </w:tcPr>
          <w:p>
            <w:pPr>
              <w:spacing w:after="0" w:line="240" w:lineRule="auto"/>
              <w:ind w:firstLine="0" w:left="0" w:right="0"/>
              <w:jc w:val="right"/>
            </w:pPr>
            <w:r>
              <w:rPr>
                <w:rFonts w:ascii="Times New Roman" w:hAnsi="Times New Roman"/>
                <w:sz w:val="18"/>
              </w:rPr>
              <w:t>20 visitas × Bs 3</w:t>
            </w:r>
          </w:p>
        </w:tc>
        <w:tc>
          <w:tcPr>
            <w:tcW w:type="dxa" w:w="1500"/>
            <w:vAlign w:val="center"/>
            <w:tcMar>
              <w:top w:w="100" w:type="dxa"/>
              <w:start w:w="110" w:type="dxa"/>
              <w:bottom w:w="100" w:type="dxa"/>
              <w:end w:w="110" w:type="dxa"/>
            </w:tcMar>
            <w:shd w:fill="F8FAFC"/>
          </w:tcPr>
          <w:p>
            <w:pPr>
              <w:spacing w:after="0" w:line="240" w:lineRule="auto"/>
              <w:ind w:firstLine="0" w:left="0" w:right="0"/>
              <w:jc w:val="right"/>
            </w:pPr>
            <w:r>
              <w:rPr>
                <w:rFonts w:ascii="Times New Roman" w:hAnsi="Times New Roman"/>
                <w:sz w:val="18"/>
              </w:rPr>
              <w:t>Bs</w:t>
            </w:r>
          </w:p>
        </w:tc>
        <w:tc>
          <w:tcPr>
            <w:tcW w:type="dxa" w:w="1500"/>
            <w:vAlign w:val="center"/>
            <w:tcMar>
              <w:top w:w="100" w:type="dxa"/>
              <w:start w:w="110" w:type="dxa"/>
              <w:bottom w:w="100" w:type="dxa"/>
              <w:end w:w="110" w:type="dxa"/>
            </w:tcMar>
            <w:shd w:fill="F8FAFC"/>
          </w:tcPr>
          <w:p>
            <w:pPr>
              <w:spacing w:after="0" w:line="240" w:lineRule="auto"/>
              <w:ind w:firstLine="0" w:left="0" w:right="0"/>
              <w:jc w:val="right"/>
            </w:pPr>
            <w:r>
              <w:rPr>
                <w:rFonts w:ascii="Times New Roman" w:hAnsi="Times New Roman"/>
                <w:sz w:val="18"/>
              </w:rPr>
              <w:t>60</w:t>
            </w:r>
          </w:p>
        </w:tc>
      </w:tr>
      <w:tr>
        <w:tc>
          <w:tcPr>
            <w:tcW w:type="dxa" w:w="27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Internet, agosto–noviembre</w:t>
            </w:r>
          </w:p>
        </w:tc>
        <w:tc>
          <w:tcPr>
            <w:tcW w:type="dxa" w:w="2570"/>
            <w:vAlign w:val="center"/>
            <w:tcMar>
              <w:top w:w="100" w:type="dxa"/>
              <w:start w:w="110" w:type="dxa"/>
              <w:bottom w:w="100" w:type="dxa"/>
              <w:end w:w="110" w:type="dxa"/>
            </w:tcMar>
          </w:tcPr>
          <w:p>
            <w:pPr>
              <w:spacing w:after="0" w:line="240" w:lineRule="auto"/>
              <w:ind w:firstLine="0" w:left="0" w:right="0"/>
              <w:jc w:val="right"/>
            </w:pPr>
            <w:r>
              <w:rPr>
                <w:rFonts w:ascii="Times New Roman" w:hAnsi="Times New Roman"/>
                <w:sz w:val="18"/>
              </w:rPr>
              <w:t>4 meses × Bs 50</w:t>
            </w:r>
          </w:p>
        </w:tc>
        <w:tc>
          <w:tcPr>
            <w:tcW w:type="dxa" w:w="1500"/>
            <w:vAlign w:val="center"/>
            <w:tcMar>
              <w:top w:w="100" w:type="dxa"/>
              <w:start w:w="110" w:type="dxa"/>
              <w:bottom w:w="100" w:type="dxa"/>
              <w:end w:w="110" w:type="dxa"/>
            </w:tcMar>
          </w:tcPr>
          <w:p>
            <w:pPr>
              <w:spacing w:after="0" w:line="240" w:lineRule="auto"/>
              <w:ind w:firstLine="0" w:left="0" w:right="0"/>
              <w:jc w:val="right"/>
            </w:pPr>
            <w:r>
              <w:rPr>
                <w:rFonts w:ascii="Times New Roman" w:hAnsi="Times New Roman"/>
                <w:sz w:val="18"/>
              </w:rPr>
              <w:t>Bs</w:t>
            </w:r>
          </w:p>
        </w:tc>
        <w:tc>
          <w:tcPr>
            <w:tcW w:type="dxa" w:w="1500"/>
            <w:vAlign w:val="center"/>
            <w:tcMar>
              <w:top w:w="100" w:type="dxa"/>
              <w:start w:w="110" w:type="dxa"/>
              <w:bottom w:w="100" w:type="dxa"/>
              <w:end w:w="110" w:type="dxa"/>
            </w:tcMar>
          </w:tcPr>
          <w:p>
            <w:pPr>
              <w:spacing w:after="0" w:line="240" w:lineRule="auto"/>
              <w:ind w:firstLine="0" w:left="0" w:right="0"/>
              <w:jc w:val="right"/>
            </w:pPr>
            <w:r>
              <w:rPr>
                <w:rFonts w:ascii="Times New Roman" w:hAnsi="Times New Roman"/>
                <w:sz w:val="18"/>
              </w:rPr>
              <w:t>200</w:t>
            </w:r>
          </w:p>
        </w:tc>
      </w:tr>
      <w:tr>
        <w:tc>
          <w:tcPr>
            <w:tcW w:type="dxa" w:w="27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Equipos y horas de trabajo</w:t>
            </w:r>
          </w:p>
        </w:tc>
        <w:tc>
          <w:tcPr>
            <w:tcW w:type="dxa" w:w="2570"/>
            <w:vAlign w:val="center"/>
            <w:tcMar>
              <w:top w:w="100" w:type="dxa"/>
              <w:start w:w="110" w:type="dxa"/>
              <w:bottom w:w="100" w:type="dxa"/>
              <w:end w:w="110" w:type="dxa"/>
            </w:tcMar>
            <w:shd w:fill="F8FAFC"/>
          </w:tcPr>
          <w:p>
            <w:pPr>
              <w:spacing w:after="0" w:line="240" w:lineRule="auto"/>
              <w:ind w:firstLine="0" w:left="0" w:right="0"/>
              <w:jc w:val="right"/>
            </w:pPr>
            <w:r>
              <w:rPr>
                <w:rFonts w:ascii="Times New Roman" w:hAnsi="Times New Roman"/>
                <w:sz w:val="18"/>
              </w:rPr>
              <w:t>Aporte en especie, no monetizado</w:t>
            </w:r>
          </w:p>
        </w:tc>
        <w:tc>
          <w:tcPr>
            <w:tcW w:type="dxa" w:w="1500"/>
            <w:vAlign w:val="center"/>
            <w:tcMar>
              <w:top w:w="100" w:type="dxa"/>
              <w:start w:w="110" w:type="dxa"/>
              <w:bottom w:w="100" w:type="dxa"/>
              <w:end w:w="110" w:type="dxa"/>
            </w:tcMar>
            <w:shd w:fill="F8FAFC"/>
          </w:tcPr>
          <w:p>
            <w:pPr>
              <w:spacing w:after="0" w:line="240" w:lineRule="auto"/>
              <w:ind w:firstLine="0" w:left="0" w:right="0"/>
              <w:jc w:val="right"/>
            </w:pPr>
            <w:r>
              <w:rPr>
                <w:rFonts w:ascii="Times New Roman" w:hAnsi="Times New Roman"/>
                <w:sz w:val="18"/>
              </w:rPr>
              <w:t>—</w:t>
            </w:r>
          </w:p>
        </w:tc>
        <w:tc>
          <w:tcPr>
            <w:tcW w:type="dxa" w:w="1500"/>
            <w:vAlign w:val="center"/>
            <w:tcMar>
              <w:top w:w="100" w:type="dxa"/>
              <w:start w:w="110" w:type="dxa"/>
              <w:bottom w:w="100" w:type="dxa"/>
              <w:end w:w="110" w:type="dxa"/>
            </w:tcMar>
            <w:shd w:fill="F8FAFC"/>
          </w:tcPr>
          <w:p>
            <w:pPr>
              <w:spacing w:after="0" w:line="240" w:lineRule="auto"/>
              <w:ind w:firstLine="0" w:left="0" w:right="0"/>
              <w:jc w:val="right"/>
            </w:pPr>
            <w:r>
              <w:rPr>
                <w:rFonts w:ascii="Times New Roman" w:hAnsi="Times New Roman"/>
                <w:sz w:val="18"/>
              </w:rPr>
              <w:t>—</w:t>
            </w:r>
          </w:p>
        </w:tc>
      </w:tr>
      <w:tr>
        <w:tc>
          <w:tcPr>
            <w:tcW w:type="dxa" w:w="2700"/>
            <w:vAlign w:val="center"/>
            <w:tcMar>
              <w:top w:w="100" w:type="dxa"/>
              <w:start w:w="110" w:type="dxa"/>
              <w:bottom w:w="100" w:type="dxa"/>
              <w:end w:w="110" w:type="dxa"/>
            </w:tcMar>
          </w:tcPr>
          <w:p>
            <w:pPr>
              <w:spacing w:after="0" w:line="240" w:lineRule="auto"/>
              <w:ind w:firstLine="0" w:left="0" w:right="0"/>
              <w:jc w:val="left"/>
            </w:pPr>
            <w:r>
              <w:rPr>
                <w:rFonts w:ascii="Times New Roman" w:hAnsi="Times New Roman"/>
                <w:sz w:val="18"/>
              </w:rPr>
              <w:t>Total en dólares</w:t>
            </w:r>
          </w:p>
        </w:tc>
        <w:tc>
          <w:tcPr>
            <w:tcW w:type="dxa" w:w="2570"/>
            <w:vAlign w:val="center"/>
            <w:tcMar>
              <w:top w:w="100" w:type="dxa"/>
              <w:start w:w="110" w:type="dxa"/>
              <w:bottom w:w="100" w:type="dxa"/>
              <w:end w:w="110" w:type="dxa"/>
            </w:tcMar>
          </w:tcPr>
          <w:p>
            <w:pPr>
              <w:spacing w:after="0" w:line="240" w:lineRule="auto"/>
              <w:ind w:firstLine="0" w:left="0" w:right="0"/>
              <w:jc w:val="right"/>
            </w:pPr>
          </w:p>
        </w:tc>
        <w:tc>
          <w:tcPr>
            <w:tcW w:type="dxa" w:w="1500"/>
            <w:vAlign w:val="center"/>
            <w:tcMar>
              <w:top w:w="100" w:type="dxa"/>
              <w:start w:w="110" w:type="dxa"/>
              <w:bottom w:w="100" w:type="dxa"/>
              <w:end w:w="110" w:type="dxa"/>
            </w:tcMar>
          </w:tcPr>
          <w:p>
            <w:pPr>
              <w:spacing w:after="0" w:line="240" w:lineRule="auto"/>
              <w:ind w:firstLine="0" w:left="0" w:right="0"/>
              <w:jc w:val="right"/>
            </w:pPr>
            <w:r>
              <w:rPr>
                <w:rFonts w:ascii="Times New Roman" w:hAnsi="Times New Roman"/>
                <w:sz w:val="18"/>
              </w:rPr>
              <w:t>USD</w:t>
            </w:r>
          </w:p>
        </w:tc>
        <w:tc>
          <w:tcPr>
            <w:tcW w:type="dxa" w:w="1500"/>
            <w:vAlign w:val="center"/>
            <w:tcMar>
              <w:top w:w="100" w:type="dxa"/>
              <w:start w:w="110" w:type="dxa"/>
              <w:bottom w:w="100" w:type="dxa"/>
              <w:end w:w="110" w:type="dxa"/>
            </w:tcMar>
          </w:tcPr>
          <w:p>
            <w:pPr>
              <w:spacing w:after="0" w:line="240" w:lineRule="auto"/>
              <w:ind w:firstLine="0" w:left="0" w:right="0"/>
              <w:jc w:val="right"/>
            </w:pPr>
            <w:r>
              <w:rPr>
                <w:rFonts w:ascii="Times New Roman" w:hAnsi="Times New Roman"/>
                <w:sz w:val="18"/>
              </w:rPr>
              <w:t>80</w:t>
            </w:r>
          </w:p>
        </w:tc>
      </w:tr>
      <w:tr>
        <w:tc>
          <w:tcPr>
            <w:tcW w:type="dxa" w:w="2700"/>
            <w:vAlign w:val="center"/>
            <w:tcMar>
              <w:top w:w="100" w:type="dxa"/>
              <w:start w:w="110" w:type="dxa"/>
              <w:bottom w:w="100" w:type="dxa"/>
              <w:end w:w="110" w:type="dxa"/>
            </w:tcMar>
            <w:shd w:fill="F8FAFC"/>
          </w:tcPr>
          <w:p>
            <w:pPr>
              <w:spacing w:after="0" w:line="240" w:lineRule="auto"/>
              <w:ind w:firstLine="0" w:left="0" w:right="0"/>
              <w:jc w:val="left"/>
            </w:pPr>
            <w:r>
              <w:rPr>
                <w:rFonts w:ascii="Times New Roman" w:hAnsi="Times New Roman"/>
                <w:sz w:val="18"/>
              </w:rPr>
              <w:t>Total en bolivianos</w:t>
            </w:r>
          </w:p>
        </w:tc>
        <w:tc>
          <w:tcPr>
            <w:tcW w:type="dxa" w:w="2570"/>
            <w:vAlign w:val="center"/>
            <w:tcMar>
              <w:top w:w="100" w:type="dxa"/>
              <w:start w:w="110" w:type="dxa"/>
              <w:bottom w:w="100" w:type="dxa"/>
              <w:end w:w="110" w:type="dxa"/>
            </w:tcMar>
            <w:shd w:fill="F8FAFC"/>
          </w:tcPr>
          <w:p>
            <w:pPr>
              <w:spacing w:after="0" w:line="240" w:lineRule="auto"/>
              <w:ind w:firstLine="0" w:left="0" w:right="0"/>
              <w:jc w:val="right"/>
            </w:pPr>
          </w:p>
        </w:tc>
        <w:tc>
          <w:tcPr>
            <w:tcW w:type="dxa" w:w="1500"/>
            <w:vAlign w:val="center"/>
            <w:tcMar>
              <w:top w:w="100" w:type="dxa"/>
              <w:start w:w="110" w:type="dxa"/>
              <w:bottom w:w="100" w:type="dxa"/>
              <w:end w:w="110" w:type="dxa"/>
            </w:tcMar>
            <w:shd w:fill="F8FAFC"/>
          </w:tcPr>
          <w:p>
            <w:pPr>
              <w:spacing w:after="0" w:line="240" w:lineRule="auto"/>
              <w:ind w:firstLine="0" w:left="0" w:right="0"/>
              <w:jc w:val="right"/>
            </w:pPr>
            <w:r>
              <w:rPr>
                <w:rFonts w:ascii="Times New Roman" w:hAnsi="Times New Roman"/>
                <w:sz w:val="18"/>
              </w:rPr>
              <w:t>Bs</w:t>
            </w:r>
          </w:p>
        </w:tc>
        <w:tc>
          <w:tcPr>
            <w:tcW w:type="dxa" w:w="1500"/>
            <w:vAlign w:val="center"/>
            <w:tcMar>
              <w:top w:w="100" w:type="dxa"/>
              <w:start w:w="110" w:type="dxa"/>
              <w:bottom w:w="100" w:type="dxa"/>
              <w:end w:w="110" w:type="dxa"/>
            </w:tcMar>
            <w:shd w:fill="F8FAFC"/>
          </w:tcPr>
          <w:p>
            <w:pPr>
              <w:spacing w:after="0" w:line="240" w:lineRule="auto"/>
              <w:ind w:firstLine="0" w:left="0" w:right="0"/>
              <w:jc w:val="right"/>
            </w:pPr>
            <w:r>
              <w:rPr>
                <w:rFonts w:ascii="Times New Roman" w:hAnsi="Times New Roman"/>
                <w:sz w:val="18"/>
              </w:rPr>
              <w:t>1.060–1.360</w:t>
            </w:r>
          </w:p>
        </w:tc>
      </w:tr>
    </w:tbl>
    <w:p>
      <w:pPr>
        <w:spacing w:after="0"/>
      </w:pPr>
    </w:p>
    <w:p>
      <w:r>
        <w:rPr>
          <w:rFonts w:ascii="Times New Roman" w:hAnsi="Times New Roman"/>
          <w:sz w:val="24"/>
        </w:rPr>
        <w:t>El postulante financiará el 100 % de los desembolsos monetarios. R3Foresta aportará acceso al contexto operativo y participación, sin aporte económico comprometido. El presupuesto corresponde exclusivamente a la ejecución formal agosto–noviembre; los gastos exploratorios anteriores se consideran costos hundidos y no se imputan al Proyecto de Grado. Los costos se presentan en sus monedas originales para evitar una conversión sujeta a variaciones. La impresión no se incluye porque la entrega actual es digital y la cantidad de copias físicas todavía no está definida.</w:t>
      </w:r>
    </w:p>
    <w:p>
      <w:pPr>
        <w:pStyle w:val="Heading1"/>
      </w:pPr>
      <w:r>
        <w:rPr>
          <w:rFonts w:ascii="Times New Roman" w:hAnsi="Times New Roman"/>
          <w:sz w:val="28"/>
        </w:rPr>
        <w:t>13. Referencias bibliográficas</w:t>
      </w:r>
    </w:p>
    <w:p>
      <w:pPr>
        <w:spacing w:line="360" w:lineRule="auto" w:after="80"/>
        <w:ind w:hanging="720" w:left="720"/>
      </w:pPr>
      <w:r>
        <w:rPr>
          <w:rFonts w:ascii="Times New Roman" w:hAnsi="Times New Roman"/>
          <w:sz w:val="24"/>
        </w:rPr>
        <w:t xml:space="preserve">Basili, V. R., &amp; Turner, A. J. (1975). Iterative enhancement: A practical technique for software development. </w:t>
      </w:r>
      <w:r>
        <w:rPr>
          <w:rFonts w:ascii="Times New Roman" w:hAnsi="Times New Roman"/>
          <w:i/>
          <w:sz w:val="24"/>
        </w:rPr>
        <w:t>IEEE Transactions on Software Engineering, SE-1</w:t>
      </w:r>
      <w:r>
        <w:rPr>
          <w:rFonts w:ascii="Times New Roman" w:hAnsi="Times New Roman"/>
          <w:sz w:val="24"/>
        </w:rPr>
        <w:t xml:space="preserve">(4), 390–396. </w:t>
      </w:r>
      <w:hyperlink r:id="rId18">
        <w:r>
          <w:rPr>
            <w:rFonts w:ascii="Times New Roman" w:hAnsi="Times New Roman"/>
            <w:color w:val="0563C1"/>
            <w:u w:val="single"/>
            <w:sz w:val="24"/>
          </w:rPr>
          <w:t>https://doi.org/10.1109/TSE.1975.6312870</w:t>
        </w:r>
      </w:hyperlink>
    </w:p>
    <w:p>
      <w:pPr>
        <w:spacing w:line="360" w:lineRule="auto" w:after="80"/>
        <w:ind w:hanging="720" w:left="720"/>
      </w:pPr>
      <w:r>
        <w:rPr>
          <w:rFonts w:ascii="Times New Roman" w:hAnsi="Times New Roman"/>
          <w:sz w:val="24"/>
        </w:rPr>
        <w:t xml:space="preserve">Comité Ejecutivo de la Universidad Boliviana. (s. f.). </w:t>
      </w:r>
      <w:r>
        <w:rPr>
          <w:rFonts w:ascii="Times New Roman" w:hAnsi="Times New Roman"/>
          <w:i/>
          <w:sz w:val="24"/>
        </w:rPr>
        <w:t>Reglamento general de tipos y modalidades de graduación</w:t>
      </w:r>
      <w:r>
        <w:rPr>
          <w:rFonts w:ascii="Times New Roman" w:hAnsi="Times New Roman"/>
          <w:sz w:val="24"/>
        </w:rPr>
        <w:t xml:space="preserve">. </w:t>
      </w:r>
      <w:hyperlink r:id="rId19">
        <w:r>
          <w:rPr>
            <w:rFonts w:ascii="Times New Roman" w:hAnsi="Times New Roman"/>
            <w:color w:val="0563C1"/>
            <w:u w:val="single"/>
            <w:sz w:val="24"/>
          </w:rPr>
          <w:t>https://www.umsa.bo/documents/1811251/1811998/5%2BREGLAMENTO%2BDE%2BTIPOS%2BY%2BMODALIDADES%2BDE%2BGRADUACI%C3%93N.pdf/e959340f-87f2-ef65-e2df-f52ef89a2a53</w:t>
        </w:r>
      </w:hyperlink>
    </w:p>
    <w:p>
      <w:pPr>
        <w:spacing w:line="360" w:lineRule="auto" w:after="80"/>
        <w:ind w:hanging="720" w:left="720"/>
      </w:pPr>
      <w:r>
        <w:rPr>
          <w:rFonts w:ascii="Times New Roman" w:hAnsi="Times New Roman"/>
          <w:sz w:val="24"/>
        </w:rPr>
        <w:t xml:space="preserve">Dabbene, F., Gay, P., &amp; Tortia, C. (2014). Traceability issues in food supply chain management: A review. </w:t>
      </w:r>
      <w:r>
        <w:rPr>
          <w:rFonts w:ascii="Times New Roman" w:hAnsi="Times New Roman"/>
          <w:i/>
          <w:sz w:val="24"/>
        </w:rPr>
        <w:t>Biosystems Engineering, 120</w:t>
      </w:r>
      <w:r>
        <w:rPr>
          <w:rFonts w:ascii="Times New Roman" w:hAnsi="Times New Roman"/>
          <w:sz w:val="24"/>
        </w:rPr>
        <w:t xml:space="preserve">, 65–80. </w:t>
      </w:r>
      <w:hyperlink r:id="rId20">
        <w:r>
          <w:rPr>
            <w:rFonts w:ascii="Times New Roman" w:hAnsi="Times New Roman"/>
            <w:color w:val="0563C1"/>
            <w:u w:val="single"/>
            <w:sz w:val="24"/>
          </w:rPr>
          <w:t>https://doi.org/10.1016/j.biosystemseng.2013.09.006</w:t>
        </w:r>
      </w:hyperlink>
    </w:p>
    <w:p>
      <w:pPr>
        <w:spacing w:line="360" w:lineRule="auto" w:after="80"/>
        <w:ind w:hanging="720" w:left="720"/>
      </w:pPr>
      <w:r>
        <w:rPr>
          <w:rFonts w:ascii="Times New Roman" w:hAnsi="Times New Roman"/>
          <w:sz w:val="24"/>
        </w:rPr>
        <w:t xml:space="preserve">Donnelly, K. A.-M., Karlsen, K. M., &amp; Dreyer, B. (2012). A simulated recall study in five major food sectors. </w:t>
      </w:r>
      <w:r>
        <w:rPr>
          <w:rFonts w:ascii="Times New Roman" w:hAnsi="Times New Roman"/>
          <w:i/>
          <w:sz w:val="24"/>
        </w:rPr>
        <w:t>British Food Journal, 114</w:t>
      </w:r>
      <w:r>
        <w:rPr>
          <w:rFonts w:ascii="Times New Roman" w:hAnsi="Times New Roman"/>
          <w:sz w:val="24"/>
        </w:rPr>
        <w:t xml:space="preserve">(7), 1016–1031. </w:t>
      </w:r>
      <w:hyperlink r:id="rId21">
        <w:r>
          <w:rPr>
            <w:rFonts w:ascii="Times New Roman" w:hAnsi="Times New Roman"/>
            <w:color w:val="0563C1"/>
            <w:u w:val="single"/>
            <w:sz w:val="24"/>
          </w:rPr>
          <w:t>https://doi.org/10.1108/00070701211241590</w:t>
        </w:r>
      </w:hyperlink>
    </w:p>
    <w:p>
      <w:pPr>
        <w:spacing w:line="360" w:lineRule="auto" w:after="80"/>
        <w:ind w:hanging="720" w:left="720"/>
      </w:pPr>
      <w:r>
        <w:rPr>
          <w:rFonts w:ascii="Times New Roman" w:hAnsi="Times New Roman"/>
          <w:sz w:val="24"/>
        </w:rPr>
        <w:t xml:space="preserve">Food and Agriculture Organization of the United Nations. (s. f.). </w:t>
      </w:r>
      <w:r>
        <w:rPr>
          <w:rFonts w:ascii="Times New Roman" w:hAnsi="Times New Roman"/>
          <w:i/>
          <w:sz w:val="24"/>
        </w:rPr>
        <w:t>Forest reproductive material</w:t>
      </w:r>
      <w:r>
        <w:rPr>
          <w:rFonts w:ascii="Times New Roman" w:hAnsi="Times New Roman"/>
          <w:sz w:val="24"/>
        </w:rPr>
        <w:t xml:space="preserve">. Sustainable Forest Management Toolbox. Recuperado el 19 de agosto de 2026, de </w:t>
      </w:r>
      <w:hyperlink r:id="rId22">
        <w:r>
          <w:rPr>
            <w:rFonts w:ascii="Times New Roman" w:hAnsi="Times New Roman"/>
            <w:color w:val="0563C1"/>
            <w:u w:val="single"/>
            <w:sz w:val="24"/>
          </w:rPr>
          <w:t>https://www.fao.org/sustainable-forest-management-toolbox/modules/forest-reproductive-material/en</w:t>
        </w:r>
      </w:hyperlink>
    </w:p>
    <w:p>
      <w:pPr>
        <w:spacing w:line="360" w:lineRule="auto" w:after="80"/>
        <w:ind w:hanging="720" w:left="720"/>
      </w:pPr>
      <w:r>
        <w:rPr>
          <w:rFonts w:ascii="Times New Roman" w:hAnsi="Times New Roman"/>
          <w:sz w:val="24"/>
        </w:rPr>
        <w:t xml:space="preserve">Gotel, O. C. Z., &amp; Finkelstein, A. C. W. (1994). An analysis of the requirements traceability problem. </w:t>
      </w:r>
      <w:r>
        <w:rPr>
          <w:rFonts w:ascii="Times New Roman" w:hAnsi="Times New Roman"/>
          <w:i/>
          <w:sz w:val="24"/>
        </w:rPr>
        <w:t>Proceedings of the 1st International Conference on Requirements Engineering</w:t>
      </w:r>
      <w:r>
        <w:rPr>
          <w:rFonts w:ascii="Times New Roman" w:hAnsi="Times New Roman"/>
          <w:sz w:val="24"/>
        </w:rPr>
        <w:t xml:space="preserve">, 94–101. </w:t>
      </w:r>
      <w:hyperlink r:id="rId23">
        <w:r>
          <w:rPr>
            <w:rFonts w:ascii="Times New Roman" w:hAnsi="Times New Roman"/>
            <w:color w:val="0563C1"/>
            <w:u w:val="single"/>
            <w:sz w:val="24"/>
          </w:rPr>
          <w:t>https://doi.org/10.1109/ICRE.1994.292398</w:t>
        </w:r>
      </w:hyperlink>
    </w:p>
    <w:p>
      <w:pPr>
        <w:spacing w:line="360" w:lineRule="auto" w:after="80"/>
        <w:ind w:hanging="720" w:left="720"/>
      </w:pPr>
      <w:r>
        <w:rPr>
          <w:rFonts w:ascii="Times New Roman" w:hAnsi="Times New Roman"/>
          <w:sz w:val="24"/>
        </w:rPr>
        <w:t xml:space="preserve">Härder, T., &amp; Reuter, A. (1983). Principles of transaction-oriented database recovery. </w:t>
      </w:r>
      <w:r>
        <w:rPr>
          <w:rFonts w:ascii="Times New Roman" w:hAnsi="Times New Roman"/>
          <w:i/>
          <w:sz w:val="24"/>
        </w:rPr>
        <w:t>ACM Computing Surveys, 15</w:t>
      </w:r>
      <w:r>
        <w:rPr>
          <w:rFonts w:ascii="Times New Roman" w:hAnsi="Times New Roman"/>
          <w:sz w:val="24"/>
        </w:rPr>
        <w:t xml:space="preserve">(4), 287–317. </w:t>
      </w:r>
      <w:hyperlink r:id="rId24">
        <w:r>
          <w:rPr>
            <w:rFonts w:ascii="Times New Roman" w:hAnsi="Times New Roman"/>
            <w:color w:val="0563C1"/>
            <w:u w:val="single"/>
            <w:sz w:val="24"/>
          </w:rPr>
          <w:t>https://doi.org/10.1145/289.291</w:t>
        </w:r>
      </w:hyperlink>
    </w:p>
    <w:p>
      <w:pPr>
        <w:spacing w:line="360" w:lineRule="auto" w:after="80"/>
        <w:ind w:hanging="720" w:left="720"/>
      </w:pPr>
      <w:r>
        <w:rPr>
          <w:rFonts w:ascii="Times New Roman" w:hAnsi="Times New Roman"/>
          <w:sz w:val="24"/>
        </w:rPr>
        <w:t xml:space="preserve">Hevner, A. R., March, S. T., Park, J., &amp; Ram, S. (2004). Design science in information systems research. </w:t>
      </w:r>
      <w:r>
        <w:rPr>
          <w:rFonts w:ascii="Times New Roman" w:hAnsi="Times New Roman"/>
          <w:i/>
          <w:sz w:val="24"/>
        </w:rPr>
        <w:t>MIS Quarterly, 28</w:t>
      </w:r>
      <w:r>
        <w:rPr>
          <w:rFonts w:ascii="Times New Roman" w:hAnsi="Times New Roman"/>
          <w:sz w:val="24"/>
        </w:rPr>
        <w:t xml:space="preserve">(1), 75–105. </w:t>
      </w:r>
      <w:hyperlink r:id="rId25">
        <w:r>
          <w:rPr>
            <w:rFonts w:ascii="Times New Roman" w:hAnsi="Times New Roman"/>
            <w:color w:val="0563C1"/>
            <w:u w:val="single"/>
            <w:sz w:val="24"/>
          </w:rPr>
          <w:t>https://doi.org/10.2307/25148625</w:t>
        </w:r>
      </w:hyperlink>
    </w:p>
    <w:p>
      <w:pPr>
        <w:spacing w:line="360" w:lineRule="auto" w:after="80"/>
        <w:ind w:hanging="720" w:left="720"/>
      </w:pPr>
      <w:r>
        <w:rPr>
          <w:rFonts w:ascii="Times New Roman" w:hAnsi="Times New Roman"/>
          <w:sz w:val="24"/>
        </w:rPr>
        <w:t xml:space="preserve">IEEE Computer Society. (2025). </w:t>
      </w:r>
      <w:r>
        <w:rPr>
          <w:rFonts w:ascii="Times New Roman" w:hAnsi="Times New Roman"/>
          <w:i/>
          <w:sz w:val="24"/>
        </w:rPr>
        <w:t>Guide to the Software Engineering Body of Knowledge (SWEBOK Guide), version 4.0a</w:t>
      </w:r>
      <w:r>
        <w:rPr>
          <w:rFonts w:ascii="Times New Roman" w:hAnsi="Times New Roman"/>
          <w:sz w:val="24"/>
        </w:rPr>
        <w:t xml:space="preserve">. </w:t>
      </w:r>
      <w:hyperlink r:id="rId26">
        <w:r>
          <w:rPr>
            <w:rFonts w:ascii="Times New Roman" w:hAnsi="Times New Roman"/>
            <w:color w:val="0563C1"/>
            <w:u w:val="single"/>
            <w:sz w:val="24"/>
          </w:rPr>
          <w:t>https://www.computer.org/education/bodies-of-knowledge/software-engineering/v4</w:t>
        </w:r>
      </w:hyperlink>
    </w:p>
    <w:p>
      <w:pPr>
        <w:spacing w:line="360" w:lineRule="auto" w:after="80"/>
        <w:ind w:hanging="720" w:left="720"/>
      </w:pPr>
      <w:r>
        <w:rPr>
          <w:rFonts w:ascii="Times New Roman" w:hAnsi="Times New Roman"/>
          <w:sz w:val="24"/>
        </w:rPr>
        <w:t xml:space="preserve">International Organization for Standardization. (2020). </w:t>
      </w:r>
      <w:r>
        <w:rPr>
          <w:rFonts w:ascii="Times New Roman" w:hAnsi="Times New Roman"/>
          <w:i/>
          <w:sz w:val="24"/>
        </w:rPr>
        <w:t>Chain of custody—General terminology and models</w:t>
      </w:r>
      <w:r>
        <w:rPr>
          <w:rFonts w:ascii="Times New Roman" w:hAnsi="Times New Roman"/>
          <w:sz w:val="24"/>
        </w:rPr>
        <w:t xml:space="preserve"> (ISO Standard No. 22095:2020). </w:t>
      </w:r>
      <w:hyperlink r:id="rId27">
        <w:r>
          <w:rPr>
            <w:rFonts w:ascii="Times New Roman" w:hAnsi="Times New Roman"/>
            <w:color w:val="0563C1"/>
            <w:u w:val="single"/>
            <w:sz w:val="24"/>
          </w:rPr>
          <w:t>https://www.iso.org/standard/72532.html</w:t>
        </w:r>
      </w:hyperlink>
    </w:p>
    <w:p>
      <w:pPr>
        <w:spacing w:line="360" w:lineRule="auto" w:after="80"/>
        <w:ind w:hanging="720" w:left="720"/>
      </w:pPr>
      <w:r>
        <w:rPr>
          <w:rFonts w:ascii="Times New Roman" w:hAnsi="Times New Roman"/>
          <w:sz w:val="24"/>
        </w:rPr>
        <w:t xml:space="preserve">International Organization for Standardization. (2023). </w:t>
      </w:r>
      <w:r>
        <w:rPr>
          <w:rFonts w:ascii="Times New Roman" w:hAnsi="Times New Roman"/>
          <w:i/>
          <w:sz w:val="24"/>
        </w:rPr>
        <w:t>Systems and software engineering—Systems and software Quality Requirements and Evaluation (SQuaRE)—Product quality model</w:t>
      </w:r>
      <w:r>
        <w:rPr>
          <w:rFonts w:ascii="Times New Roman" w:hAnsi="Times New Roman"/>
          <w:sz w:val="24"/>
        </w:rPr>
        <w:t xml:space="preserve"> (ISO/IEC Standard No. 25010:2023). </w:t>
      </w:r>
      <w:hyperlink r:id="rId28">
        <w:r>
          <w:rPr>
            <w:rFonts w:ascii="Times New Roman" w:hAnsi="Times New Roman"/>
            <w:color w:val="0563C1"/>
            <w:u w:val="single"/>
            <w:sz w:val="24"/>
          </w:rPr>
          <w:t>https://www.iso.org/standard/78176.html</w:t>
        </w:r>
      </w:hyperlink>
    </w:p>
    <w:p>
      <w:pPr>
        <w:spacing w:line="360" w:lineRule="auto" w:after="80"/>
        <w:ind w:hanging="720" w:left="720"/>
      </w:pPr>
      <w:r>
        <w:rPr>
          <w:rFonts w:ascii="Times New Roman" w:hAnsi="Times New Roman"/>
          <w:sz w:val="24"/>
        </w:rPr>
        <w:t xml:space="preserve">International Organization for Standardization, International Electrotechnical Commission, &amp; Institute of Electrical and Electronics Engineers. (2026). </w:t>
      </w:r>
      <w:r>
        <w:rPr>
          <w:rFonts w:ascii="Times New Roman" w:hAnsi="Times New Roman"/>
          <w:i/>
          <w:sz w:val="24"/>
        </w:rPr>
        <w:t>Systems and software engineering—Software life cycle processes</w:t>
      </w:r>
      <w:r>
        <w:rPr>
          <w:rFonts w:ascii="Times New Roman" w:hAnsi="Times New Roman"/>
          <w:sz w:val="24"/>
        </w:rPr>
        <w:t xml:space="preserve"> (ISO/IEC/IEEE Standard No. 12207:2026). </w:t>
      </w:r>
      <w:hyperlink r:id="rId29">
        <w:r>
          <w:rPr>
            <w:rFonts w:ascii="Times New Roman" w:hAnsi="Times New Roman"/>
            <w:color w:val="0563C1"/>
            <w:u w:val="single"/>
            <w:sz w:val="24"/>
          </w:rPr>
          <w:t>https://www.iso.org/standard/90219.html</w:t>
        </w:r>
      </w:hyperlink>
    </w:p>
    <w:p>
      <w:pPr>
        <w:spacing w:line="360" w:lineRule="auto" w:after="80"/>
        <w:ind w:hanging="720" w:left="720"/>
      </w:pPr>
      <w:r>
        <w:rPr>
          <w:rFonts w:ascii="Times New Roman" w:hAnsi="Times New Roman"/>
          <w:sz w:val="24"/>
        </w:rPr>
        <w:t xml:space="preserve">Larman, C., &amp; Basili, V. R. (2003). Iterative and incremental development: A brief history. </w:t>
      </w:r>
      <w:r>
        <w:rPr>
          <w:rFonts w:ascii="Times New Roman" w:hAnsi="Times New Roman"/>
          <w:i/>
          <w:sz w:val="24"/>
        </w:rPr>
        <w:t>Computer, 36</w:t>
      </w:r>
      <w:r>
        <w:rPr>
          <w:rFonts w:ascii="Times New Roman" w:hAnsi="Times New Roman"/>
          <w:sz w:val="24"/>
        </w:rPr>
        <w:t xml:space="preserve">(6), 47–56. </w:t>
      </w:r>
      <w:hyperlink r:id="rId30">
        <w:r>
          <w:rPr>
            <w:rFonts w:ascii="Times New Roman" w:hAnsi="Times New Roman"/>
            <w:color w:val="0563C1"/>
            <w:u w:val="single"/>
            <w:sz w:val="24"/>
          </w:rPr>
          <w:t>https://doi.org/10.1109/MC.2003.1204375</w:t>
        </w:r>
      </w:hyperlink>
    </w:p>
    <w:p>
      <w:pPr>
        <w:spacing w:line="360" w:lineRule="auto" w:after="80"/>
        <w:ind w:hanging="720" w:left="720"/>
      </w:pPr>
      <w:r>
        <w:rPr>
          <w:rFonts w:ascii="Times New Roman" w:hAnsi="Times New Roman"/>
          <w:sz w:val="24"/>
        </w:rPr>
        <w:t xml:space="preserve">Limachi Mamani, F. Z. (2020). </w:t>
      </w:r>
      <w:r>
        <w:rPr>
          <w:rFonts w:ascii="Times New Roman" w:hAnsi="Times New Roman"/>
          <w:i/>
          <w:sz w:val="24"/>
        </w:rPr>
        <w:t>Sistema de registro geolocalización de viveros en el departamento de La Paz. Caso ABT</w:t>
      </w:r>
      <w:r>
        <w:rPr>
          <w:rFonts w:ascii="Times New Roman" w:hAnsi="Times New Roman"/>
          <w:sz w:val="24"/>
        </w:rPr>
        <w:t xml:space="preserve"> [Proyecto de grado, Universidad Pública de El Alto]. </w:t>
      </w:r>
      <w:hyperlink r:id="rId31">
        <w:r>
          <w:rPr>
            <w:rFonts w:ascii="Times New Roman" w:hAnsi="Times New Roman"/>
            <w:color w:val="0563C1"/>
            <w:u w:val="single"/>
            <w:sz w:val="24"/>
          </w:rPr>
          <w:t>https://repositorio.upea.bo/jspui/handle/123456789/172</w:t>
        </w:r>
      </w:hyperlink>
    </w:p>
    <w:p>
      <w:pPr>
        <w:spacing w:line="360" w:lineRule="auto" w:after="80"/>
        <w:ind w:hanging="720" w:left="720"/>
      </w:pPr>
      <w:r>
        <w:rPr>
          <w:rFonts w:ascii="Times New Roman" w:hAnsi="Times New Roman"/>
          <w:sz w:val="24"/>
        </w:rPr>
        <w:t xml:space="preserve">Mayorga Vásquez, L. C., Riccardi Martillo, G. A., Bermeo Almeida, O. X., &amp; Guevara Arias, V. I. (2022). Sistema web para los procesos administrativos y de producción en viveros del cantón Milagro. </w:t>
      </w:r>
      <w:r>
        <w:rPr>
          <w:rFonts w:ascii="Times New Roman" w:hAnsi="Times New Roman"/>
          <w:i/>
          <w:sz w:val="24"/>
        </w:rPr>
        <w:t>Revista Ingeniería, 6</w:t>
      </w:r>
      <w:r>
        <w:rPr>
          <w:rFonts w:ascii="Times New Roman" w:hAnsi="Times New Roman"/>
          <w:sz w:val="24"/>
        </w:rPr>
        <w:t xml:space="preserve">(16), 200–213. </w:t>
      </w:r>
      <w:hyperlink r:id="rId32">
        <w:r>
          <w:rPr>
            <w:rFonts w:ascii="Times New Roman" w:hAnsi="Times New Roman"/>
            <w:color w:val="0563C1"/>
            <w:u w:val="single"/>
            <w:sz w:val="24"/>
          </w:rPr>
          <w:t>https://doi.org/10.33996/revistaingenieria.v6i16.100</w:t>
        </w:r>
      </w:hyperlink>
    </w:p>
    <w:p>
      <w:pPr>
        <w:spacing w:line="360" w:lineRule="auto" w:after="80"/>
        <w:ind w:hanging="720" w:left="720"/>
      </w:pPr>
      <w:r>
        <w:rPr>
          <w:rFonts w:ascii="Times New Roman" w:hAnsi="Times New Roman"/>
          <w:sz w:val="24"/>
        </w:rPr>
        <w:t xml:space="preserve">Meyer, B. (1992). Applying design by contract. </w:t>
      </w:r>
      <w:r>
        <w:rPr>
          <w:rFonts w:ascii="Times New Roman" w:hAnsi="Times New Roman"/>
          <w:i/>
          <w:sz w:val="24"/>
        </w:rPr>
        <w:t>Computer, 25</w:t>
      </w:r>
      <w:r>
        <w:rPr>
          <w:rFonts w:ascii="Times New Roman" w:hAnsi="Times New Roman"/>
          <w:sz w:val="24"/>
        </w:rPr>
        <w:t xml:space="preserve">(10), 40–51. </w:t>
      </w:r>
      <w:hyperlink r:id="rId33">
        <w:r>
          <w:rPr>
            <w:rFonts w:ascii="Times New Roman" w:hAnsi="Times New Roman"/>
            <w:color w:val="0563C1"/>
            <w:u w:val="single"/>
            <w:sz w:val="24"/>
          </w:rPr>
          <w:t>https://doi.org/10.1109/2.161279</w:t>
        </w:r>
      </w:hyperlink>
    </w:p>
    <w:p>
      <w:pPr>
        <w:spacing w:line="360" w:lineRule="auto" w:after="80"/>
        <w:ind w:hanging="720" w:left="720"/>
      </w:pPr>
      <w:r>
        <w:rPr>
          <w:rFonts w:ascii="Times New Roman" w:hAnsi="Times New Roman"/>
          <w:sz w:val="24"/>
        </w:rPr>
        <w:t xml:space="preserve">Moe, T. (1998). Perspectives on traceability in food manufacture. </w:t>
      </w:r>
      <w:r>
        <w:rPr>
          <w:rFonts w:ascii="Times New Roman" w:hAnsi="Times New Roman"/>
          <w:i/>
          <w:sz w:val="24"/>
        </w:rPr>
        <w:t>Trends in Food Science &amp; Technology, 9</w:t>
      </w:r>
      <w:r>
        <w:rPr>
          <w:rFonts w:ascii="Times New Roman" w:hAnsi="Times New Roman"/>
          <w:sz w:val="24"/>
        </w:rPr>
        <w:t xml:space="preserve">(5), 211–214. </w:t>
      </w:r>
      <w:hyperlink r:id="rId34">
        <w:r>
          <w:rPr>
            <w:rFonts w:ascii="Times New Roman" w:hAnsi="Times New Roman"/>
            <w:color w:val="0563C1"/>
            <w:u w:val="single"/>
            <w:sz w:val="24"/>
          </w:rPr>
          <w:t>https://doi.org/10.1016/S0924-2244(98</w:t>
        </w:r>
      </w:hyperlink>
      <w:r>
        <w:rPr>
          <w:rFonts w:ascii="Times New Roman" w:hAnsi="Times New Roman"/>
          <w:sz w:val="24"/>
        </w:rPr>
        <w:t>)00037-5</w:t>
      </w:r>
    </w:p>
    <w:p>
      <w:pPr>
        <w:spacing w:line="360" w:lineRule="auto" w:after="80"/>
        <w:ind w:hanging="720" w:left="720"/>
      </w:pPr>
      <w:r>
        <w:rPr>
          <w:rFonts w:ascii="Times New Roman" w:hAnsi="Times New Roman"/>
          <w:sz w:val="24"/>
        </w:rPr>
        <w:t xml:space="preserve">Olsen, P., &amp; Borit, M. (2013). How to define traceability. </w:t>
      </w:r>
      <w:r>
        <w:rPr>
          <w:rFonts w:ascii="Times New Roman" w:hAnsi="Times New Roman"/>
          <w:i/>
          <w:sz w:val="24"/>
        </w:rPr>
        <w:t>Trends in Food Science &amp; Technology, 29</w:t>
      </w:r>
      <w:r>
        <w:rPr>
          <w:rFonts w:ascii="Times New Roman" w:hAnsi="Times New Roman"/>
          <w:sz w:val="24"/>
        </w:rPr>
        <w:t xml:space="preserve">(2), 142–150. </w:t>
      </w:r>
      <w:hyperlink r:id="rId35">
        <w:r>
          <w:rPr>
            <w:rFonts w:ascii="Times New Roman" w:hAnsi="Times New Roman"/>
            <w:color w:val="0563C1"/>
            <w:u w:val="single"/>
            <w:sz w:val="24"/>
          </w:rPr>
          <w:t>https://doi.org/10.1016/j.tifs.2012.10.003</w:t>
        </w:r>
      </w:hyperlink>
    </w:p>
    <w:p>
      <w:pPr>
        <w:spacing w:line="360" w:lineRule="auto" w:after="80"/>
        <w:ind w:hanging="720" w:left="720"/>
      </w:pPr>
      <w:r>
        <w:rPr>
          <w:rFonts w:ascii="Times New Roman" w:hAnsi="Times New Roman"/>
          <w:sz w:val="24"/>
        </w:rPr>
        <w:t xml:space="preserve">Olsen, P., &amp; Borit, M. (2018). The components of a food traceability system. </w:t>
      </w:r>
      <w:r>
        <w:rPr>
          <w:rFonts w:ascii="Times New Roman" w:hAnsi="Times New Roman"/>
          <w:i/>
          <w:sz w:val="24"/>
        </w:rPr>
        <w:t>Trends in Food Science &amp; Technology, 77</w:t>
      </w:r>
      <w:r>
        <w:rPr>
          <w:rFonts w:ascii="Times New Roman" w:hAnsi="Times New Roman"/>
          <w:sz w:val="24"/>
        </w:rPr>
        <w:t xml:space="preserve">, 143–149. </w:t>
      </w:r>
      <w:hyperlink r:id="rId36">
        <w:r>
          <w:rPr>
            <w:rFonts w:ascii="Times New Roman" w:hAnsi="Times New Roman"/>
            <w:color w:val="0563C1"/>
            <w:u w:val="single"/>
            <w:sz w:val="24"/>
          </w:rPr>
          <w:t>https://doi.org/10.1016/j.tifs.2018.05.004</w:t>
        </w:r>
      </w:hyperlink>
    </w:p>
    <w:p>
      <w:pPr>
        <w:spacing w:line="360" w:lineRule="auto" w:after="80"/>
        <w:ind w:hanging="720" w:left="720"/>
      </w:pPr>
      <w:r>
        <w:rPr>
          <w:rFonts w:ascii="Times New Roman" w:hAnsi="Times New Roman"/>
          <w:sz w:val="24"/>
        </w:rPr>
        <w:t xml:space="preserve">Peffers, K., Tuunanen, T., Rothenberger, M. A., &amp; Chatterjee, S. (2007). A design science research methodology for information systems research. </w:t>
      </w:r>
      <w:r>
        <w:rPr>
          <w:rFonts w:ascii="Times New Roman" w:hAnsi="Times New Roman"/>
          <w:i/>
          <w:sz w:val="24"/>
        </w:rPr>
        <w:t>Journal of Management Information Systems, 24</w:t>
      </w:r>
      <w:r>
        <w:rPr>
          <w:rFonts w:ascii="Times New Roman" w:hAnsi="Times New Roman"/>
          <w:sz w:val="24"/>
        </w:rPr>
        <w:t xml:space="preserve">(3), 45–77. </w:t>
      </w:r>
      <w:hyperlink r:id="rId37">
        <w:r>
          <w:rPr>
            <w:rFonts w:ascii="Times New Roman" w:hAnsi="Times New Roman"/>
            <w:color w:val="0563C1"/>
            <w:u w:val="single"/>
            <w:sz w:val="24"/>
          </w:rPr>
          <w:t>https://doi.org/10.2753/MIS0742-1222240302</w:t>
        </w:r>
      </w:hyperlink>
    </w:p>
    <w:p>
      <w:pPr>
        <w:spacing w:line="360" w:lineRule="auto" w:after="80"/>
        <w:ind w:hanging="720" w:left="720"/>
      </w:pPr>
      <w:r>
        <w:rPr>
          <w:rFonts w:ascii="Times New Roman" w:hAnsi="Times New Roman"/>
          <w:sz w:val="24"/>
        </w:rPr>
        <w:t xml:space="preserve">Runeson, P., &amp; Höst, M. (2009). Guidelines for conducting and reporting case study research in software engineering. </w:t>
      </w:r>
      <w:r>
        <w:rPr>
          <w:rFonts w:ascii="Times New Roman" w:hAnsi="Times New Roman"/>
          <w:i/>
          <w:sz w:val="24"/>
        </w:rPr>
        <w:t>Empirical Software Engineering, 14</w:t>
      </w:r>
      <w:r>
        <w:rPr>
          <w:rFonts w:ascii="Times New Roman" w:hAnsi="Times New Roman"/>
          <w:sz w:val="24"/>
        </w:rPr>
        <w:t xml:space="preserve">, 131–164. </w:t>
      </w:r>
      <w:hyperlink r:id="rId38">
        <w:r>
          <w:rPr>
            <w:rFonts w:ascii="Times New Roman" w:hAnsi="Times New Roman"/>
            <w:color w:val="0563C1"/>
            <w:u w:val="single"/>
            <w:sz w:val="24"/>
          </w:rPr>
          <w:t>https://doi.org/10.1007/s10664-008-9102-8</w:t>
        </w:r>
      </w:hyperlink>
    </w:p>
    <w:p>
      <w:pPr>
        <w:spacing w:line="360" w:lineRule="auto" w:after="80"/>
        <w:ind w:hanging="720" w:left="720"/>
      </w:pPr>
      <w:r>
        <w:rPr>
          <w:rFonts w:ascii="Times New Roman" w:hAnsi="Times New Roman"/>
          <w:sz w:val="24"/>
        </w:rPr>
        <w:t xml:space="preserve">Salamanca Contreras, F. R. (2024). </w:t>
      </w:r>
      <w:r>
        <w:rPr>
          <w:rFonts w:ascii="Times New Roman" w:hAnsi="Times New Roman"/>
          <w:i/>
          <w:sz w:val="24"/>
        </w:rPr>
        <w:t>Influencia del sistema web con notificaciones en el proceso de control interno y seguimiento del inventario en el vivero Tu Semilla E.I.R.L. sede Tacna, 2022</w:t>
      </w:r>
      <w:r>
        <w:rPr>
          <w:rFonts w:ascii="Times New Roman" w:hAnsi="Times New Roman"/>
          <w:sz w:val="24"/>
        </w:rPr>
        <w:t xml:space="preserve"> [Tesis, Universidad Privada de Tacna]. </w:t>
      </w:r>
      <w:hyperlink r:id="rId39">
        <w:r>
          <w:rPr>
            <w:rFonts w:ascii="Times New Roman" w:hAnsi="Times New Roman"/>
            <w:color w:val="0563C1"/>
            <w:u w:val="single"/>
            <w:sz w:val="24"/>
          </w:rPr>
          <w:t>https://repositorio.upt.edu.pe/handle/20.500.12969/3690</w:t>
        </w:r>
      </w:hyperlink>
    </w:p>
    <w:p>
      <w:pPr>
        <w:spacing w:line="360" w:lineRule="auto" w:after="80"/>
        <w:ind w:hanging="720" w:left="720"/>
      </w:pPr>
      <w:r>
        <w:rPr>
          <w:rFonts w:ascii="Times New Roman" w:hAnsi="Times New Roman"/>
          <w:sz w:val="24"/>
        </w:rPr>
        <w:t xml:space="preserve">Solanki, M., &amp; Brewster, C. (2014). Modelling and linking transformations in EPCIS governing supply chain business processes. In M. Hepp &amp; Y. Hoffner (Eds.), </w:t>
      </w:r>
      <w:r>
        <w:rPr>
          <w:rFonts w:ascii="Times New Roman" w:hAnsi="Times New Roman"/>
          <w:i/>
          <w:sz w:val="24"/>
        </w:rPr>
        <w:t>E-Commerce and Web Technologies</w:t>
      </w:r>
      <w:r>
        <w:rPr>
          <w:rFonts w:ascii="Times New Roman" w:hAnsi="Times New Roman"/>
          <w:sz w:val="24"/>
        </w:rPr>
        <w:t xml:space="preserve"> (Lecture Notes in Business Information Processing, Vol. 188, pp. 46–57). Springer. </w:t>
      </w:r>
      <w:hyperlink r:id="rId40">
        <w:r>
          <w:rPr>
            <w:rFonts w:ascii="Times New Roman" w:hAnsi="Times New Roman"/>
            <w:color w:val="0563C1"/>
            <w:u w:val="single"/>
            <w:sz w:val="24"/>
          </w:rPr>
          <w:t>https://doi.org/10.1007/978-3-319-10491-1_5</w:t>
        </w:r>
      </w:hyperlink>
    </w:p>
    <w:p>
      <w:pPr>
        <w:spacing w:line="360" w:lineRule="auto" w:after="80"/>
        <w:ind w:hanging="720" w:left="720"/>
      </w:pPr>
      <w:r>
        <w:rPr>
          <w:rFonts w:ascii="Times New Roman" w:hAnsi="Times New Roman"/>
          <w:sz w:val="24"/>
        </w:rPr>
        <w:t xml:space="preserve">Thakur, M., Sørensen, C. F., Bjørnson, F. O., Forås, E., &amp; Hurburgh, C. R. (2011). Managing food traceability information using EPCIS framework. </w:t>
      </w:r>
      <w:r>
        <w:rPr>
          <w:rFonts w:ascii="Times New Roman" w:hAnsi="Times New Roman"/>
          <w:i/>
          <w:sz w:val="24"/>
        </w:rPr>
        <w:t>Journal of Food Engineering, 103</w:t>
      </w:r>
      <w:r>
        <w:rPr>
          <w:rFonts w:ascii="Times New Roman" w:hAnsi="Times New Roman"/>
          <w:sz w:val="24"/>
        </w:rPr>
        <w:t xml:space="preserve">(4), 417–433. </w:t>
      </w:r>
      <w:hyperlink r:id="rId41">
        <w:r>
          <w:rPr>
            <w:rFonts w:ascii="Times New Roman" w:hAnsi="Times New Roman"/>
            <w:color w:val="0563C1"/>
            <w:u w:val="single"/>
            <w:sz w:val="24"/>
          </w:rPr>
          <w:t>https://doi.org/10.1016/j.jfoodeng.2010.11.012</w:t>
        </w:r>
      </w:hyperlink>
    </w:p>
    <w:p>
      <w:pPr>
        <w:spacing w:line="360" w:lineRule="auto" w:after="80"/>
        <w:ind w:hanging="720" w:left="720"/>
      </w:pPr>
      <w:r>
        <w:rPr>
          <w:rFonts w:ascii="Times New Roman" w:hAnsi="Times New Roman"/>
          <w:sz w:val="24"/>
        </w:rPr>
        <w:t xml:space="preserve">World Wide Web Consortium. (2013). </w:t>
      </w:r>
      <w:r>
        <w:rPr>
          <w:rFonts w:ascii="Times New Roman" w:hAnsi="Times New Roman"/>
          <w:i/>
          <w:sz w:val="24"/>
        </w:rPr>
        <w:t>PROV-O: The PROV ontology</w:t>
      </w:r>
      <w:r>
        <w:rPr>
          <w:rFonts w:ascii="Times New Roman" w:hAnsi="Times New Roman"/>
          <w:sz w:val="24"/>
        </w:rPr>
        <w:t xml:space="preserve">. </w:t>
      </w:r>
      <w:hyperlink r:id="rId42">
        <w:r>
          <w:rPr>
            <w:rFonts w:ascii="Times New Roman" w:hAnsi="Times New Roman"/>
            <w:color w:val="0563C1"/>
            <w:u w:val="single"/>
            <w:sz w:val="24"/>
          </w:rPr>
          <w:t>https://www.w3.org/TR/prov-o/</w:t>
        </w:r>
      </w:hyperlink>
    </w:p>
    <w:p>
      <w:pPr>
        <w:pStyle w:val="Heading1"/>
      </w:pPr>
      <w:r>
        <w:rPr>
          <w:rFonts w:ascii="Times New Roman" w:hAnsi="Times New Roman"/>
          <w:sz w:val="28"/>
        </w:rPr>
        <w:t>Anexos previstos para el documento final</w:t>
      </w:r>
    </w:p>
    <w:p>
      <w:r>
        <w:rPr>
          <w:rFonts w:ascii="Times New Roman" w:hAnsi="Times New Roman"/>
          <w:sz w:val="24"/>
        </w:rPr>
        <w:t>Los anexos no se desarrollan en esta versión del perfil. Para el Proyecto de Grado se prevén:</w:t>
      </w:r>
    </w:p>
    <w:p>
      <w:pPr>
        <w:pStyle w:val="ListParagraph"/>
        <w:numPr>
          <w:ilvl w:val="0"/>
          <w:numId w:val="19"/>
        </w:numPr>
        <w:spacing w:line="360" w:lineRule="auto" w:after="0"/>
        <w:ind w:left="454" w:hanging="283"/>
      </w:pPr>
      <w:r>
        <w:rPr>
          <w:rFonts w:ascii="Times New Roman" w:hAnsi="Times New Roman"/>
          <w:sz w:val="24"/>
        </w:rPr>
        <w:t>guía de entrevista y cuestionario para comparar la situación actual con la propuesta;</w:t>
      </w:r>
    </w:p>
    <w:p>
      <w:pPr>
        <w:pStyle w:val="ListParagraph"/>
        <w:numPr>
          <w:ilvl w:val="0"/>
          <w:numId w:val="19"/>
        </w:numPr>
        <w:spacing w:line="360" w:lineRule="auto" w:after="0"/>
        <w:ind w:left="454" w:hanging="283"/>
      </w:pPr>
      <w:r>
        <w:rPr>
          <w:rFonts w:ascii="Times New Roman" w:hAnsi="Times New Roman"/>
          <w:sz w:val="24"/>
        </w:rPr>
        <w:t>consentimiento informado;</w:t>
      </w:r>
    </w:p>
    <w:p>
      <w:pPr>
        <w:pStyle w:val="ListParagraph"/>
        <w:numPr>
          <w:ilvl w:val="0"/>
          <w:numId w:val="19"/>
        </w:numPr>
        <w:spacing w:line="360" w:lineRule="auto" w:after="0"/>
        <w:ind w:left="454" w:hanging="283"/>
      </w:pPr>
      <w:r>
        <w:rPr>
          <w:rFonts w:ascii="Times New Roman" w:hAnsi="Times New Roman"/>
          <w:sz w:val="24"/>
        </w:rPr>
        <w:t>matriz requerimiento–regla–invariante–prueba;</w:t>
      </w:r>
    </w:p>
    <w:p>
      <w:pPr>
        <w:pStyle w:val="ListParagraph"/>
        <w:numPr>
          <w:ilvl w:val="0"/>
          <w:numId w:val="19"/>
        </w:numPr>
        <w:spacing w:line="360" w:lineRule="auto" w:after="0"/>
        <w:ind w:left="454" w:hanging="283"/>
      </w:pPr>
      <w:r>
        <w:rPr>
          <w:rFonts w:ascii="Times New Roman" w:hAnsi="Times New Roman"/>
          <w:sz w:val="24"/>
        </w:rPr>
        <w:t>diagramas técnicos consolidados;</w:t>
      </w:r>
    </w:p>
    <w:p>
      <w:pPr>
        <w:pStyle w:val="ListParagraph"/>
        <w:numPr>
          <w:ilvl w:val="0"/>
          <w:numId w:val="19"/>
        </w:numPr>
        <w:spacing w:line="360" w:lineRule="auto" w:after="0"/>
        <w:ind w:left="454" w:hanging="283"/>
      </w:pPr>
      <w:r>
        <w:rPr>
          <w:rFonts w:ascii="Times New Roman" w:hAnsi="Times New Roman"/>
          <w:sz w:val="24"/>
        </w:rPr>
        <w:t>evidencias y resultados del piloto;</w:t>
      </w:r>
    </w:p>
    <w:p>
      <w:pPr>
        <w:pStyle w:val="ListParagraph"/>
        <w:numPr>
          <w:ilvl w:val="0"/>
          <w:numId w:val="19"/>
        </w:numPr>
        <w:spacing w:line="360" w:lineRule="auto" w:after="0"/>
        <w:ind w:left="454" w:hanging="283"/>
      </w:pPr>
      <w:r>
        <w:rPr>
          <w:rFonts w:ascii="Times New Roman" w:hAnsi="Times New Roman"/>
          <w:sz w:val="24"/>
        </w:rPr>
        <w:t>resultados detallados de pruebas.</w:t>
      </w:r>
    </w:p>
    <w:sectPr w:rsidR="00FC693F" w:rsidRPr="0006063C" w:rsidSect="00034616">
      <w:headerReference w:type="default" r:id="rId12"/>
      <w:footerReference w:type="default" r:id="rId13"/>
      <w:pgSz w:w="12240" w:h="15840"/>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olor w:val="6B7280"/>
        <w:sz w:val="18"/>
      </w:rPr>
      <w:t>Perfil de Proyecto de Grado · R3Foresta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bullet"/>
      <w:lvlText w:val="•"/>
      <w:lvlJc w:val="left"/>
      <w:pPr>
        <w:tabs>
          <w:tab w:val="num" w:pos="720"/>
        </w:tabs>
        <w:ind w:left="720" w:hanging="360"/>
      </w:pPr>
      <w:rPr>
        <w:rFonts w:ascii="Times New Roman" w:hAnsi="Times New Roman"/>
      </w:rPr>
    </w:lvl>
  </w:abstractNum>
  <w:num w:numId="13">
    <w:abstractNumId w:val="12"/>
  </w:num>
  <w:abstractNum w:abstractNumId="13">
    <w:multiLevelType w:val="singleLevel"/>
    <w:lvl w:ilvl="0">
      <w:start w:val="1"/>
      <w:numFmt w:val="bullet"/>
      <w:lvlText w:val="•"/>
      <w:lvlJc w:val="left"/>
      <w:pPr>
        <w:tabs>
          <w:tab w:val="num" w:pos="720"/>
        </w:tabs>
        <w:ind w:left="720" w:hanging="360"/>
      </w:pPr>
      <w:rPr>
        <w:rFonts w:ascii="Times New Roman" w:hAnsi="Times New Roman"/>
      </w:rPr>
    </w:lvl>
  </w:abstractNum>
  <w:num w:numId="14">
    <w:abstractNumId w:val="13"/>
  </w:num>
  <w:abstractNum w:abstractNumId="14">
    <w:multiLevelType w:val="singleLevel"/>
    <w:lvl w:ilvl="0">
      <w:start w:val="1"/>
      <w:numFmt w:val="bullet"/>
      <w:lvlText w:val="•"/>
      <w:lvlJc w:val="left"/>
      <w:pPr>
        <w:tabs>
          <w:tab w:val="num" w:pos="720"/>
        </w:tabs>
        <w:ind w:left="720" w:hanging="360"/>
      </w:pPr>
      <w:rPr>
        <w:rFonts w:ascii="Times New Roman" w:hAnsi="Times New Roman"/>
      </w:rPr>
    </w:lvl>
  </w:abstractNum>
  <w:num w:numId="15">
    <w:abstractNumId w:val="14"/>
  </w:num>
  <w:abstractNum w:abstractNumId="15">
    <w:multiLevelType w:val="singleLevel"/>
    <w:lvl w:ilvl="0">
      <w:start w:val="1"/>
      <w:numFmt w:val="bullet"/>
      <w:lvlText w:val="•"/>
      <w:lvlJc w:val="left"/>
      <w:pPr>
        <w:tabs>
          <w:tab w:val="num" w:pos="720"/>
        </w:tabs>
        <w:ind w:left="720" w:hanging="360"/>
      </w:pPr>
      <w:rPr>
        <w:rFonts w:ascii="Times New Roman" w:hAnsi="Times New Roman"/>
      </w:rPr>
    </w:lvl>
  </w:abstractNum>
  <w:num w:numId="16">
    <w:abstractNumId w:val="15"/>
  </w:num>
  <w:abstractNum w:abstractNumId="16">
    <w:multiLevelType w:val="singleLevel"/>
    <w:lvl w:ilvl="0">
      <w:start w:val="1"/>
      <w:numFmt w:val="bullet"/>
      <w:lvlText w:val="•"/>
      <w:lvlJc w:val="left"/>
      <w:pPr>
        <w:tabs>
          <w:tab w:val="num" w:pos="720"/>
        </w:tabs>
        <w:ind w:left="720" w:hanging="360"/>
      </w:pPr>
      <w:rPr>
        <w:rFonts w:ascii="Times New Roman" w:hAnsi="Times New Roman"/>
      </w:rPr>
    </w:lvl>
  </w:abstractNum>
  <w:num w:numId="17">
    <w:abstractNumId w:val="16"/>
  </w:num>
  <w:abstractNum w:abstractNumId="17">
    <w:multiLevelType w:val="singleLevel"/>
    <w:lvl w:ilvl="0">
      <w:start w:val="1"/>
      <w:numFmt w:val="bullet"/>
      <w:lvlText w:val="•"/>
      <w:lvlJc w:val="left"/>
      <w:pPr>
        <w:tabs>
          <w:tab w:val="num" w:pos="720"/>
        </w:tabs>
        <w:ind w:left="720" w:hanging="360"/>
      </w:pPr>
      <w:rPr>
        <w:rFonts w:ascii="Times New Roman" w:hAnsi="Times New Roman"/>
      </w:rPr>
    </w:lvl>
  </w:abstractNum>
  <w:num w:numId="18">
    <w:abstractNumId w:val="17"/>
  </w:num>
  <w:abstractNum w:abstractNumId="18">
    <w:multiLevelType w:val="singleLevel"/>
    <w:lvl w:ilvl="0">
      <w:start w:val="1"/>
      <w:numFmt w:val="bullet"/>
      <w:lvlText w:val="•"/>
      <w:lvlJc w:val="left"/>
      <w:pPr>
        <w:tabs>
          <w:tab w:val="num" w:pos="720"/>
        </w:tabs>
        <w:ind w:left="720" w:hanging="360"/>
      </w:pPr>
      <w:rPr>
        <w:rFonts w:ascii="Times New Roman" w:hAnsi="Times New Roman"/>
      </w:rPr>
    </w:lvl>
  </w:abstract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line="276" w:lineRule="auto"/>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ind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jc w:val="center"/>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doi.org/10.1109/TSE.1975.6312870" TargetMode="External"/><Relationship Id="rId19" Type="http://schemas.openxmlformats.org/officeDocument/2006/relationships/hyperlink" Target="https://www.umsa.bo/documents/1811251/1811998/5%2BREGLAMENTO%2BDE%2BTIPOS%2BY%2BMODALIDADES%2BDE%2BGRADUACI%C3%93N.pdf/e959340f-87f2-ef65-e2df-f52ef89a2a53" TargetMode="External"/><Relationship Id="rId20" Type="http://schemas.openxmlformats.org/officeDocument/2006/relationships/hyperlink" Target="https://doi.org/10.1016/j.biosystemseng.2013.09.006" TargetMode="External"/><Relationship Id="rId21" Type="http://schemas.openxmlformats.org/officeDocument/2006/relationships/hyperlink" Target="https://doi.org/10.1108/00070701211241590" TargetMode="External"/><Relationship Id="rId22" Type="http://schemas.openxmlformats.org/officeDocument/2006/relationships/hyperlink" Target="https://www.fao.org/sustainable-forest-management-toolbox/modules/forest-reproductive-material/en" TargetMode="External"/><Relationship Id="rId23" Type="http://schemas.openxmlformats.org/officeDocument/2006/relationships/hyperlink" Target="https://doi.org/10.1109/ICRE.1994.292398" TargetMode="External"/><Relationship Id="rId24" Type="http://schemas.openxmlformats.org/officeDocument/2006/relationships/hyperlink" Target="https://doi.org/10.1145/289.291" TargetMode="External"/><Relationship Id="rId25" Type="http://schemas.openxmlformats.org/officeDocument/2006/relationships/hyperlink" Target="https://doi.org/10.2307/25148625" TargetMode="External"/><Relationship Id="rId26" Type="http://schemas.openxmlformats.org/officeDocument/2006/relationships/hyperlink" Target="https://www.computer.org/education/bodies-of-knowledge/software-engineering/v4" TargetMode="External"/><Relationship Id="rId27" Type="http://schemas.openxmlformats.org/officeDocument/2006/relationships/hyperlink" Target="https://www.iso.org/standard/72532.html" TargetMode="External"/><Relationship Id="rId28" Type="http://schemas.openxmlformats.org/officeDocument/2006/relationships/hyperlink" Target="https://www.iso.org/standard/78176.html" TargetMode="External"/><Relationship Id="rId29" Type="http://schemas.openxmlformats.org/officeDocument/2006/relationships/hyperlink" Target="https://www.iso.org/standard/90219.html" TargetMode="External"/><Relationship Id="rId30" Type="http://schemas.openxmlformats.org/officeDocument/2006/relationships/hyperlink" Target="https://doi.org/10.1109/MC.2003.1204375" TargetMode="External"/><Relationship Id="rId31" Type="http://schemas.openxmlformats.org/officeDocument/2006/relationships/hyperlink" Target="https://repositorio.upea.bo/jspui/handle/123456789/172" TargetMode="External"/><Relationship Id="rId32" Type="http://schemas.openxmlformats.org/officeDocument/2006/relationships/hyperlink" Target="https://doi.org/10.33996/revistaingenieria.v6i16.100" TargetMode="External"/><Relationship Id="rId33" Type="http://schemas.openxmlformats.org/officeDocument/2006/relationships/hyperlink" Target="https://doi.org/10.1109/2.161279" TargetMode="External"/><Relationship Id="rId34" Type="http://schemas.openxmlformats.org/officeDocument/2006/relationships/hyperlink" Target="https://doi.org/10.1016/S0924-2244(98" TargetMode="External"/><Relationship Id="rId35" Type="http://schemas.openxmlformats.org/officeDocument/2006/relationships/hyperlink" Target="https://doi.org/10.1016/j.tifs.2012.10.003" TargetMode="External"/><Relationship Id="rId36" Type="http://schemas.openxmlformats.org/officeDocument/2006/relationships/hyperlink" Target="https://doi.org/10.1016/j.tifs.2018.05.004" TargetMode="External"/><Relationship Id="rId37" Type="http://schemas.openxmlformats.org/officeDocument/2006/relationships/hyperlink" Target="https://doi.org/10.2753/MIS0742-1222240302" TargetMode="External"/><Relationship Id="rId38" Type="http://schemas.openxmlformats.org/officeDocument/2006/relationships/hyperlink" Target="https://doi.org/10.1007/s10664-008-9102-8" TargetMode="External"/><Relationship Id="rId39" Type="http://schemas.openxmlformats.org/officeDocument/2006/relationships/hyperlink" Target="https://repositorio.upt.edu.pe/handle/20.500.12969/3690" TargetMode="External"/><Relationship Id="rId40" Type="http://schemas.openxmlformats.org/officeDocument/2006/relationships/hyperlink" Target="https://doi.org/10.1007/978-3-319-10491-1_5" TargetMode="External"/><Relationship Id="rId41" Type="http://schemas.openxmlformats.org/officeDocument/2006/relationships/hyperlink" Target="https://doi.org/10.1016/j.jfoodeng.2010.11.012" TargetMode="External"/><Relationship Id="rId42" Type="http://schemas.openxmlformats.org/officeDocument/2006/relationships/hyperlink" Target="https://www.w3.org/TR/prov-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de Grado R3Foresta</dc:title>
  <dc:subject>Sistema de trazabilidad de material vegetal para reforestación: caso R3Foresta</dc:subject>
  <dc:creator>Pablo Andres Fernandez Cari</dc:creator>
  <cp:keywords>trazabilidad, cadena de custodia, material vegetal, reforestación, R3Foresta</cp:keywords>
  <dc:description>generated by python-docx</dc:description>
  <cp:lastModifiedBy/>
  <cp:revision>1</cp:revision>
  <dcterms:created xsi:type="dcterms:W3CDTF">2013-12-23T23:15:00Z</dcterms:created>
  <dcterms:modified xsi:type="dcterms:W3CDTF">2013-12-23T23:15:00Z</dcterms:modified>
  <cp:category/>
</cp:coreProperties>
</file>