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0"/>
        <w:ind w:firstLine="0"/>
        <w:jc w:val="center"/>
      </w:pPr>
      <w:r>
        <w:rPr>
          <w:rFonts w:ascii="Times New Roman" w:hAnsi="Times New Roman"/>
          <w:b/>
          <w:sz w:val="30"/>
        </w:rPr>
        <w:t>UNIVERSIDAD MAYOR DE SAN ANDRÉS</w:t>
      </w:r>
    </w:p>
    <w:p>
      <w:pPr>
        <w:spacing w:line="240" w:lineRule="auto" w:before="0" w:after="0"/>
        <w:ind w:firstLine="0"/>
        <w:jc w:val="center"/>
      </w:pPr>
      <w:r>
        <w:rPr>
          <w:rFonts w:ascii="Times New Roman" w:hAnsi="Times New Roman"/>
          <w:b/>
          <w:sz w:val="26"/>
        </w:rPr>
        <w:t>FACULTAD DE CIENCIAS PURAS Y NATURALES</w:t>
      </w:r>
    </w:p>
    <w:p>
      <w:pPr>
        <w:spacing w:line="240" w:lineRule="auto" w:before="0" w:after="100"/>
        <w:ind w:firstLine="0"/>
        <w:jc w:val="center"/>
      </w:pPr>
      <w:r>
        <w:rPr>
          <w:rFonts w:ascii="Times New Roman" w:hAnsi="Times New Roman"/>
          <w:b/>
          <w:sz w:val="26"/>
        </w:rPr>
        <w:t>CARRERA DE INFORMÁTICA</w:t>
      </w:r>
    </w:p>
    <w:p>
      <w:pPr>
        <w:spacing w:line="240" w:lineRule="auto" w:before="0" w:after="80"/>
        <w:ind w:firstLine="0"/>
        <w:jc w:val="center"/>
      </w:pPr>
      <w:r>
        <w:drawing>
          <wp:inline xmlns:a="http://schemas.openxmlformats.org/drawingml/2006/main" xmlns:pic="http://schemas.openxmlformats.org/drawingml/2006/picture">
            <wp:extent cx="1463040" cy="2600960"/>
            <wp:docPr id="1" name="Picture 1" title="Logotipo de R3Foresta" descr="Logotipo institucional de R3Foresta"/>
            <wp:cNvGraphicFramePr>
              <a:graphicFrameLocks noChangeAspect="1"/>
            </wp:cNvGraphicFramePr>
            <a:graphic>
              <a:graphicData uri="http://schemas.openxmlformats.org/drawingml/2006/picture">
                <pic:pic>
                  <pic:nvPicPr>
                    <pic:cNvPr id="0" name="image1.png"/>
                    <pic:cNvPicPr/>
                  </pic:nvPicPr>
                  <pic:blipFill>
                    <a:blip r:embed="rId9"/>
                    <a:stretch>
                      <a:fillRect/>
                    </a:stretch>
                  </pic:blipFill>
                  <pic:spPr>
                    <a:xfrm>
                      <a:off x="0" y="0"/>
                      <a:ext cx="1463040" cy="2600960"/>
                    </a:xfrm>
                    <a:prstGeom prst="rect"/>
                  </pic:spPr>
                </pic:pic>
              </a:graphicData>
            </a:graphic>
          </wp:inline>
        </w:drawing>
      </w:r>
    </w:p>
    <w:p>
      <w:pPr>
        <w:spacing w:line="240" w:lineRule="auto" w:before="0" w:after="160"/>
        <w:ind w:firstLine="0"/>
        <w:jc w:val="center"/>
      </w:pPr>
      <w:r>
        <w:rPr>
          <w:rFonts w:ascii="Times New Roman" w:hAnsi="Times New Roman"/>
          <w:b/>
          <w:sz w:val="26"/>
        </w:rPr>
        <w:t>PROYECTO DE GRADO</w:t>
      </w:r>
    </w:p>
    <w:p>
      <w:pPr>
        <w:spacing w:line="240" w:lineRule="auto" w:before="0" w:after="40"/>
        <w:ind w:firstLine="0"/>
        <w:jc w:val="center"/>
      </w:pPr>
      <w:r>
        <w:rPr>
          <w:rFonts w:ascii="Times New Roman" w:hAnsi="Times New Roman"/>
          <w:b/>
          <w:sz w:val="28"/>
        </w:rPr>
        <w:t>SISTEMA DE TRAZABILIDAD DEL MATERIAL VEGETAL PARA REFORESTACIÓN</w:t>
      </w:r>
    </w:p>
    <w:p>
      <w:pPr>
        <w:spacing w:line="240" w:lineRule="auto" w:before="0" w:after="60"/>
        <w:ind w:firstLine="0"/>
        <w:jc w:val="center"/>
      </w:pPr>
      <w:r>
        <w:rPr>
          <w:rFonts w:ascii="Times New Roman" w:hAnsi="Times New Roman"/>
          <w:b/>
          <w:sz w:val="26"/>
        </w:rPr>
        <w:t>CON PROYECCIÓN HACIA BONOS DE CARBONO</w:t>
      </w:r>
    </w:p>
    <w:p>
      <w:pPr>
        <w:spacing w:line="240" w:lineRule="auto" w:before="0" w:after="160"/>
        <w:ind w:firstLine="0"/>
        <w:jc w:val="center"/>
      </w:pPr>
      <w:r>
        <w:rPr>
          <w:rFonts w:ascii="Times New Roman" w:hAnsi="Times New Roman"/>
          <w:b/>
          <w:sz w:val="26"/>
        </w:rPr>
        <w:t>CASO: R3FORESTA</w:t>
      </w:r>
    </w:p>
    <w:p>
      <w:pPr>
        <w:spacing w:line="240" w:lineRule="auto" w:before="0" w:after="0"/>
        <w:ind w:firstLine="0"/>
        <w:jc w:val="center"/>
      </w:pPr>
      <w:r>
        <w:rPr>
          <w:rFonts w:ascii="Times New Roman" w:hAnsi="Times New Roman"/>
          <w:b w:val="0"/>
          <w:sz w:val="22"/>
        </w:rPr>
        <w:t>Proyecto de Grado para obtener el Título de Licenciatura en Informática</w:t>
      </w:r>
    </w:p>
    <w:p>
      <w:pPr>
        <w:spacing w:line="240" w:lineRule="auto" w:before="0" w:after="280"/>
        <w:ind w:firstLine="0"/>
        <w:jc w:val="center"/>
      </w:pPr>
      <w:r>
        <w:rPr>
          <w:rFonts w:ascii="Times New Roman" w:hAnsi="Times New Roman"/>
          <w:b w:val="0"/>
          <w:sz w:val="22"/>
        </w:rPr>
        <w:t>Mención Ingeniería de Sistemas Informáticos</w:t>
      </w:r>
    </w:p>
    <w:p>
      <w:pPr>
        <w:spacing w:line="240" w:lineRule="auto" w:before="0" w:after="80"/>
        <w:ind w:firstLine="0"/>
        <w:jc w:val="center"/>
      </w:pPr>
      <w:r>
        <w:rPr>
          <w:rFonts w:ascii="Times New Roman" w:hAnsi="Times New Roman"/>
          <w:b/>
          <w:sz w:val="24"/>
        </w:rPr>
        <w:t>POR: PABLO ANDRES FERNANDEZ CARI</w:t>
      </w:r>
    </w:p>
    <w:p>
      <w:pPr>
        <w:spacing w:line="240" w:lineRule="auto" w:before="0" w:after="360"/>
        <w:ind w:firstLine="0"/>
        <w:jc w:val="center"/>
      </w:pPr>
      <w:r>
        <w:rPr>
          <w:rFonts w:ascii="Times New Roman" w:hAnsi="Times New Roman"/>
          <w:b/>
          <w:sz w:val="24"/>
        </w:rPr>
        <w:t>TUTORA: Ph. D. MARISOL TÉLLEZ RAMÍREZ</w:t>
      </w:r>
    </w:p>
    <w:p>
      <w:pPr>
        <w:spacing w:line="240" w:lineRule="auto" w:before="0" w:after="0"/>
        <w:ind w:firstLine="0"/>
        <w:jc w:val="center"/>
      </w:pPr>
      <w:r>
        <w:rPr>
          <w:rFonts w:ascii="Times New Roman" w:hAnsi="Times New Roman"/>
          <w:b/>
          <w:sz w:val="24"/>
        </w:rPr>
        <w:t>LA PAZ – BOLIVIA</w:t>
      </w:r>
    </w:p>
    <w:p>
      <w:pPr>
        <w:spacing w:line="240" w:lineRule="auto" w:before="0" w:after="0"/>
        <w:ind w:firstLine="0"/>
        <w:jc w:val="center"/>
      </w:pPr>
      <w:r>
        <w:rPr>
          <w:rFonts w:ascii="Times New Roman" w:hAnsi="Times New Roman"/>
          <w:b/>
          <w:sz w:val="24"/>
        </w:rPr>
        <w:t>Agosto, 2026</w:t>
      </w:r>
    </w:p>
    <w:p>
      <w:pPr>
        <w:sectPr>
          <w:pgSz w:w="12240" w:h="15840"/>
          <w:pgMar w:top="1701" w:right="1701" w:bottom="1701" w:left="2268" w:header="720" w:footer="720" w:gutter="0"/>
          <w:cols w:space="720"/>
          <w:docGrid w:linePitch="360"/>
        </w:sectPr>
      </w:pPr>
    </w:p>
    <w:p>
      <w:pPr>
        <w:pageBreakBefore w:val="0"/>
        <w:spacing w:after="200"/>
        <w:ind w:firstLine="0"/>
        <w:jc w:val="center"/>
      </w:pPr>
      <w:r>
        <w:rPr>
          <w:rFonts w:ascii="Times New Roman" w:hAnsi="Times New Roman"/>
          <w:b/>
          <w:sz w:val="28"/>
        </w:rPr>
        <w:t>Índice general</w:t>
      </w:r>
    </w:p>
    <w:p>
      <w:pPr>
        <w:tabs>
          <w:tab w:pos="8107" w:val="right" w:leader="dot"/>
        </w:tabs>
        <w:spacing w:after="60" w:line="276" w:lineRule="auto"/>
        <w:ind w:firstLine="0" w:left="0"/>
      </w:pPr>
      <w:r>
        <w:rPr>
          <w:rFonts w:ascii="Times New Roman" w:hAnsi="Times New Roman"/>
          <w:sz w:val="22"/>
        </w:rPr>
        <w:t>1. Introducción</w:t>
      </w:r>
      <w:r>
        <w:tab/>
      </w:r>
      <w:r>
        <w:rPr>
          <w:rFonts w:ascii="Times New Roman" w:hAnsi="Times New Roman"/>
          <w:sz w:val="22"/>
        </w:rPr>
        <w:t>1</w:t>
      </w:r>
    </w:p>
    <w:p>
      <w:pPr>
        <w:tabs>
          <w:tab w:pos="8107" w:val="right" w:leader="dot"/>
        </w:tabs>
        <w:spacing w:after="60" w:line="276" w:lineRule="auto"/>
        <w:ind w:firstLine="0" w:left="0"/>
      </w:pPr>
      <w:r>
        <w:rPr>
          <w:rFonts w:ascii="Times New Roman" w:hAnsi="Times New Roman"/>
          <w:sz w:val="22"/>
        </w:rPr>
        <w:t>2. Antecedentes</w:t>
      </w:r>
      <w:r>
        <w:tab/>
      </w:r>
      <w:r>
        <w:rPr>
          <w:rFonts w:ascii="Times New Roman" w:hAnsi="Times New Roman"/>
          <w:sz w:val="22"/>
        </w:rPr>
        <w:t>3</w:t>
      </w:r>
    </w:p>
    <w:p>
      <w:pPr>
        <w:tabs>
          <w:tab w:pos="8107" w:val="right" w:leader="dot"/>
        </w:tabs>
        <w:spacing w:after="60" w:line="276" w:lineRule="auto"/>
        <w:ind w:firstLine="0" w:left="0"/>
      </w:pPr>
      <w:r>
        <w:rPr>
          <w:rFonts w:ascii="Times New Roman" w:hAnsi="Times New Roman"/>
          <w:sz w:val="22"/>
        </w:rPr>
        <w:t>3. Planteamiento del problema</w:t>
      </w:r>
      <w:r>
        <w:tab/>
      </w:r>
      <w:r>
        <w:rPr>
          <w:rFonts w:ascii="Times New Roman" w:hAnsi="Times New Roman"/>
          <w:sz w:val="22"/>
        </w:rPr>
        <w:t>6</w:t>
      </w:r>
    </w:p>
    <w:p>
      <w:pPr>
        <w:tabs>
          <w:tab w:pos="8107" w:val="right" w:leader="dot"/>
        </w:tabs>
        <w:spacing w:after="60" w:line="276" w:lineRule="auto"/>
        <w:ind w:firstLine="0" w:left="0"/>
      </w:pPr>
      <w:r>
        <w:rPr>
          <w:rFonts w:ascii="Times New Roman" w:hAnsi="Times New Roman"/>
          <w:sz w:val="22"/>
        </w:rPr>
        <w:t>4. Objetivos</w:t>
      </w:r>
      <w:r>
        <w:tab/>
      </w:r>
      <w:r>
        <w:rPr>
          <w:rFonts w:ascii="Times New Roman" w:hAnsi="Times New Roman"/>
          <w:sz w:val="22"/>
        </w:rPr>
        <w:t>9</w:t>
      </w:r>
    </w:p>
    <w:p>
      <w:pPr>
        <w:tabs>
          <w:tab w:pos="8107" w:val="right" w:leader="dot"/>
        </w:tabs>
        <w:spacing w:after="60" w:line="276" w:lineRule="auto"/>
        <w:ind w:firstLine="0" w:left="0"/>
      </w:pPr>
      <w:r>
        <w:rPr>
          <w:rFonts w:ascii="Times New Roman" w:hAnsi="Times New Roman"/>
          <w:sz w:val="22"/>
        </w:rPr>
        <w:t>5. Justificación</w:t>
      </w:r>
      <w:r>
        <w:tab/>
      </w:r>
      <w:r>
        <w:rPr>
          <w:rFonts w:ascii="Times New Roman" w:hAnsi="Times New Roman"/>
          <w:sz w:val="22"/>
        </w:rPr>
        <w:t>10</w:t>
      </w:r>
    </w:p>
    <w:p>
      <w:pPr>
        <w:tabs>
          <w:tab w:pos="8107" w:val="right" w:leader="dot"/>
        </w:tabs>
        <w:spacing w:after="60" w:line="276" w:lineRule="auto"/>
        <w:ind w:firstLine="0" w:left="0"/>
      </w:pPr>
      <w:r>
        <w:rPr>
          <w:rFonts w:ascii="Times New Roman" w:hAnsi="Times New Roman"/>
          <w:sz w:val="22"/>
        </w:rPr>
        <w:t>6. Alcances y límites</w:t>
      </w:r>
      <w:r>
        <w:tab/>
      </w:r>
      <w:r>
        <w:rPr>
          <w:rFonts w:ascii="Times New Roman" w:hAnsi="Times New Roman"/>
          <w:sz w:val="22"/>
        </w:rPr>
        <w:t>12</w:t>
      </w:r>
    </w:p>
    <w:p>
      <w:pPr>
        <w:tabs>
          <w:tab w:pos="8107" w:val="right" w:leader="dot"/>
        </w:tabs>
        <w:spacing w:after="60" w:line="276" w:lineRule="auto"/>
        <w:ind w:firstLine="0" w:left="0"/>
      </w:pPr>
      <w:r>
        <w:rPr>
          <w:rFonts w:ascii="Times New Roman" w:hAnsi="Times New Roman"/>
          <w:sz w:val="22"/>
        </w:rPr>
        <w:t>7. Marco teórico preliminar</w:t>
      </w:r>
      <w:r>
        <w:tab/>
      </w:r>
      <w:r>
        <w:rPr>
          <w:rFonts w:ascii="Times New Roman" w:hAnsi="Times New Roman"/>
          <w:sz w:val="22"/>
        </w:rPr>
        <w:t>14</w:t>
      </w:r>
    </w:p>
    <w:p>
      <w:pPr>
        <w:tabs>
          <w:tab w:pos="8107" w:val="right" w:leader="dot"/>
        </w:tabs>
        <w:spacing w:after="60" w:line="276" w:lineRule="auto"/>
        <w:ind w:firstLine="0" w:left="0"/>
      </w:pPr>
      <w:r>
        <w:rPr>
          <w:rFonts w:ascii="Times New Roman" w:hAnsi="Times New Roman"/>
          <w:sz w:val="22"/>
        </w:rPr>
        <w:t>8. Metodología de desarrollo</w:t>
      </w:r>
      <w:r>
        <w:tab/>
      </w:r>
      <w:r>
        <w:rPr>
          <w:rFonts w:ascii="Times New Roman" w:hAnsi="Times New Roman"/>
          <w:sz w:val="22"/>
        </w:rPr>
        <w:t>18</w:t>
      </w:r>
    </w:p>
    <w:p>
      <w:pPr>
        <w:tabs>
          <w:tab w:pos="8107" w:val="right" w:leader="dot"/>
        </w:tabs>
        <w:spacing w:after="60" w:line="276" w:lineRule="auto"/>
        <w:ind w:firstLine="0" w:left="0"/>
      </w:pPr>
      <w:r>
        <w:rPr>
          <w:rFonts w:ascii="Times New Roman" w:hAnsi="Times New Roman"/>
          <w:sz w:val="22"/>
        </w:rPr>
        <w:t>9. Índice propuesto del Proyecto de Grado</w:t>
      </w:r>
      <w:r>
        <w:tab/>
      </w:r>
      <w:r>
        <w:rPr>
          <w:rFonts w:ascii="Times New Roman" w:hAnsi="Times New Roman"/>
          <w:sz w:val="22"/>
        </w:rPr>
        <w:t>21</w:t>
      </w:r>
    </w:p>
    <w:p>
      <w:pPr>
        <w:tabs>
          <w:tab w:pos="8107" w:val="right" w:leader="dot"/>
        </w:tabs>
        <w:spacing w:after="60" w:line="276" w:lineRule="auto"/>
        <w:ind w:firstLine="0" w:left="0"/>
      </w:pPr>
      <w:r>
        <w:rPr>
          <w:rFonts w:ascii="Times New Roman" w:hAnsi="Times New Roman"/>
          <w:sz w:val="22"/>
        </w:rPr>
        <w:t>10. Cronograma de actividades</w:t>
      </w:r>
      <w:r>
        <w:tab/>
      </w:r>
      <w:r>
        <w:rPr>
          <w:rFonts w:ascii="Times New Roman" w:hAnsi="Times New Roman"/>
          <w:sz w:val="22"/>
        </w:rPr>
        <w:t>22</w:t>
      </w:r>
    </w:p>
    <w:p>
      <w:pPr>
        <w:tabs>
          <w:tab w:pos="8107" w:val="right" w:leader="dot"/>
        </w:tabs>
        <w:spacing w:after="60" w:line="276" w:lineRule="auto"/>
        <w:ind w:firstLine="0" w:left="0"/>
      </w:pPr>
      <w:r>
        <w:rPr>
          <w:rFonts w:ascii="Times New Roman" w:hAnsi="Times New Roman"/>
          <w:sz w:val="22"/>
        </w:rPr>
        <w:t>11. Referencias bibliográficas</w:t>
      </w:r>
      <w:r>
        <w:tab/>
      </w:r>
      <w:r>
        <w:rPr>
          <w:rFonts w:ascii="Times New Roman" w:hAnsi="Times New Roman"/>
          <w:sz w:val="22"/>
        </w:rPr>
        <w:t>24</w:t>
      </w:r>
    </w:p>
    <w:p>
      <w:pPr>
        <w:tabs>
          <w:tab w:pos="8107" w:val="right" w:leader="dot"/>
        </w:tabs>
        <w:spacing w:after="60" w:line="276" w:lineRule="auto"/>
        <w:ind w:firstLine="0" w:left="0"/>
      </w:pPr>
      <w:r>
        <w:rPr>
          <w:rFonts w:ascii="Times New Roman" w:hAnsi="Times New Roman"/>
          <w:sz w:val="22"/>
        </w:rPr>
        <w:t>12. Anexos</w:t>
      </w:r>
      <w:r>
        <w:tab/>
      </w:r>
      <w:r>
        <w:rPr>
          <w:rFonts w:ascii="Times New Roman" w:hAnsi="Times New Roman"/>
          <w:sz w:val="22"/>
        </w:rPr>
        <w:t>28</w:t>
      </w:r>
    </w:p>
    <w:p>
      <w:pPr>
        <w:pageBreakBefore/>
        <w:spacing w:after="200"/>
        <w:ind w:firstLine="0"/>
        <w:jc w:val="center"/>
      </w:pPr>
      <w:r>
        <w:rPr>
          <w:rFonts w:ascii="Times New Roman" w:hAnsi="Times New Roman"/>
          <w:b/>
          <w:sz w:val="28"/>
        </w:rPr>
        <w:t>Índice de tablas</w:t>
      </w:r>
    </w:p>
    <w:p>
      <w:pPr>
        <w:tabs>
          <w:tab w:pos="8107" w:val="right" w:leader="dot"/>
        </w:tabs>
        <w:spacing w:after="60" w:line="276" w:lineRule="auto"/>
        <w:ind w:firstLine="0" w:left="0"/>
      </w:pPr>
      <w:r>
        <w:rPr>
          <w:rFonts w:ascii="Times New Roman" w:hAnsi="Times New Roman"/>
          <w:sz w:val="22"/>
        </w:rPr>
        <w:t>Tabla 1. Aplicación de RUP adaptado</w:t>
      </w:r>
      <w:r>
        <w:tab/>
      </w:r>
      <w:r>
        <w:rPr>
          <w:rFonts w:ascii="Times New Roman" w:hAnsi="Times New Roman"/>
          <w:sz w:val="22"/>
        </w:rPr>
        <w:t>19</w:t>
      </w:r>
    </w:p>
    <w:p>
      <w:pPr>
        <w:tabs>
          <w:tab w:pos="8107" w:val="right" w:leader="dot"/>
        </w:tabs>
        <w:spacing w:after="60" w:line="276" w:lineRule="auto"/>
        <w:ind w:firstLine="0" w:left="0"/>
      </w:pPr>
      <w:r>
        <w:rPr>
          <w:rFonts w:ascii="Times New Roman" w:hAnsi="Times New Roman"/>
          <w:sz w:val="22"/>
        </w:rPr>
        <w:t>Tabla 2. Correspondencia entre objetivos y secciones del documento final</w:t>
      </w:r>
      <w:r>
        <w:tab/>
      </w:r>
      <w:r>
        <w:rPr>
          <w:rFonts w:ascii="Times New Roman" w:hAnsi="Times New Roman"/>
          <w:sz w:val="22"/>
        </w:rPr>
        <w:t>22</w:t>
      </w:r>
    </w:p>
    <w:p>
      <w:pPr>
        <w:tabs>
          <w:tab w:pos="8107" w:val="right" w:leader="dot"/>
        </w:tabs>
        <w:spacing w:after="60" w:line="276" w:lineRule="auto"/>
        <w:ind w:firstLine="0" w:left="0"/>
      </w:pPr>
      <w:r>
        <w:rPr>
          <w:rFonts w:ascii="Times New Roman" w:hAnsi="Times New Roman"/>
          <w:sz w:val="22"/>
        </w:rPr>
        <w:t>Tabla 3. Cronograma por objetivos, fases e iteraciones RUP</w:t>
      </w:r>
      <w:r>
        <w:tab/>
      </w:r>
      <w:r>
        <w:rPr>
          <w:rFonts w:ascii="Times New Roman" w:hAnsi="Times New Roman"/>
          <w:sz w:val="22"/>
        </w:rPr>
        <w:t>22</w:t>
      </w:r>
    </w:p>
    <w:p>
      <w:pPr>
        <w:spacing w:before="320" w:after="200"/>
        <w:ind w:firstLine="0"/>
        <w:jc w:val="center"/>
      </w:pPr>
      <w:r>
        <w:rPr>
          <w:rFonts w:ascii="Times New Roman" w:hAnsi="Times New Roman"/>
          <w:b/>
          <w:sz w:val="28"/>
        </w:rPr>
        <w:t>Índice de figuras</w:t>
      </w:r>
    </w:p>
    <w:p>
      <w:pPr>
        <w:tabs>
          <w:tab w:pos="8107" w:val="right" w:leader="dot"/>
        </w:tabs>
        <w:spacing w:after="60" w:line="276" w:lineRule="auto"/>
        <w:ind w:firstLine="0" w:left="0"/>
      </w:pPr>
      <w:r>
        <w:rPr>
          <w:rFonts w:ascii="Times New Roman" w:hAnsi="Times New Roman"/>
          <w:sz w:val="22"/>
        </w:rPr>
        <w:t>Figura 1. Estructura organizacional de R3Foresta</w:t>
      </w:r>
      <w:r>
        <w:tab/>
      </w:r>
      <w:r>
        <w:rPr>
          <w:rFonts w:ascii="Times New Roman" w:hAnsi="Times New Roman"/>
          <w:sz w:val="22"/>
        </w:rPr>
        <w:t>4</w:t>
      </w:r>
    </w:p>
    <w:p>
      <w:pPr>
        <w:tabs>
          <w:tab w:pos="8107" w:val="right" w:leader="dot"/>
        </w:tabs>
        <w:spacing w:after="60" w:line="276" w:lineRule="auto"/>
        <w:ind w:firstLine="0" w:left="0"/>
      </w:pPr>
      <w:r>
        <w:rPr>
          <w:rFonts w:ascii="Times New Roman" w:hAnsi="Times New Roman"/>
          <w:sz w:val="22"/>
        </w:rPr>
        <w:t>Figura 2. Diagrama de Gantt del proceso de desarrollo, julio–noviembre de 2026</w:t>
      </w:r>
      <w:r>
        <w:tab/>
      </w:r>
      <w:r>
        <w:rPr>
          <w:rFonts w:ascii="Times New Roman" w:hAnsi="Times New Roman"/>
          <w:sz w:val="22"/>
        </w:rPr>
        <w:t>24</w:t>
      </w:r>
    </w:p>
    <w:p>
      <w:pPr>
        <w:tabs>
          <w:tab w:pos="8107" w:val="right" w:leader="dot"/>
        </w:tabs>
        <w:spacing w:after="60" w:line="276" w:lineRule="auto"/>
        <w:ind w:firstLine="0" w:left="0"/>
      </w:pPr>
      <w:r>
        <w:rPr>
          <w:rFonts w:ascii="Times New Roman" w:hAnsi="Times New Roman"/>
          <w:sz w:val="22"/>
        </w:rPr>
        <w:t>Figura A1. Árbol de causas y efectos de la situación problemática</w:t>
      </w:r>
      <w:r>
        <w:tab/>
      </w:r>
      <w:r>
        <w:rPr>
          <w:rFonts w:ascii="Times New Roman" w:hAnsi="Times New Roman"/>
          <w:sz w:val="22"/>
        </w:rPr>
        <w:t>28</w:t>
      </w:r>
    </w:p>
    <w:p>
      <w:pPr>
        <w:sectPr>
          <w:headerReference w:type="default" r:id="rId10"/>
          <w:footerReference w:type="default" r:id="rId11"/>
          <w:pgSz w:w="12240" w:h="15840"/>
          <w:pgMar w:top="1701" w:right="1701" w:bottom="1701" w:left="2268" w:header="720" w:footer="720" w:gutter="0"/>
          <w:cols w:space="720"/>
          <w:docGrid w:linePitch="360"/>
          <w:pgNumType w:fmt="lowerRoman" w:start="1"/>
        </w:sectPr>
      </w:pPr>
    </w:p>
    <w:p>
      <w:pPr>
        <w:pStyle w:val="Heading1"/>
      </w:pPr>
      <w:r>
        <w:rPr>
          <w:rFonts w:ascii="Times New Roman" w:hAnsi="Times New Roman"/>
          <w:sz w:val="28"/>
        </w:rPr>
        <w:t>1. Introducción</w:t>
      </w:r>
    </w:p>
    <w:p>
      <w:r>
        <w:rPr>
          <w:rFonts w:ascii="Times New Roman" w:hAnsi="Times New Roman"/>
          <w:sz w:val="24"/>
        </w:rPr>
        <w:t xml:space="preserve">La reforestación moviliza material vegetal entre lugares, responsables y etapas con propósitos distintos. Una semilla o unidad de propagación puede ser recolectada, trasladada al vivero, atravesar procesos biológicos, integrarse en lotes de plantas y finalmente ser asignada a una actividad de plantación. R3Foresta también utiliza material vegetal adquirido o recibido de terceros, que puede ingresar al vivero o dirigirse directamente a una plantación. En cualquiera de estos recorridos es necesario conservar la relación entre la procedencia, las cantidades, los responsables, las fechas, las ubicaciones y las evidencias. En adelante, se utilizará </w:t>
      </w:r>
      <w:r>
        <w:rPr>
          <w:rFonts w:ascii="Times New Roman" w:hAnsi="Times New Roman"/>
          <w:i/>
          <w:sz w:val="24"/>
        </w:rPr>
        <w:t>material vegetal</w:t>
      </w:r>
      <w:r>
        <w:rPr>
          <w:rFonts w:ascii="Times New Roman" w:hAnsi="Times New Roman"/>
          <w:sz w:val="24"/>
        </w:rPr>
        <w:t xml:space="preserve"> como denominación general para las semillas, plantas y demás unidades de propagación comprendidas en estas etapas.</w:t>
      </w:r>
    </w:p>
    <w:p>
      <w:r>
        <w:rPr>
          <w:rFonts w:ascii="Times New Roman" w:hAnsi="Times New Roman"/>
          <w:sz w:val="24"/>
        </w:rPr>
        <w:t>La trazabilidad no consiste únicamente en almacenar inventarios, formularios o fotografías de forma aislada. Requiere conservar la información y las relaciones necesarias para reconstruir el recorrido de un objeto a través de las etapas de una cadena (Olsen &amp; Borit, 2013). En una cadena de custodia, además, los movimientos y cambios deben registrarse bajo reglas explícitas; sin embargo, la existencia de un sistema no demuestra por sí sola la veracidad de las declaraciones registradas (International Organization for Standardization, 2020). Por ello, el proyecto plantea registros reconstruibles con evidencia contrastable y no una certificación independiente de los hechos físicos.</w:t>
      </w:r>
    </w:p>
    <w:p>
      <w:r>
        <w:rPr>
          <w:rFonts w:ascii="Times New Roman" w:hAnsi="Times New Roman"/>
          <w:sz w:val="24"/>
        </w:rPr>
        <w:t xml:space="preserve">La expresión </w:t>
      </w:r>
      <w:r>
        <w:rPr>
          <w:rFonts w:ascii="Times New Roman" w:hAnsi="Times New Roman"/>
          <w:i/>
          <w:sz w:val="24"/>
        </w:rPr>
        <w:t>caso R3Foresta</w:t>
      </w:r>
      <w:r>
        <w:rPr>
          <w:rFonts w:ascii="Times New Roman" w:hAnsi="Times New Roman"/>
          <w:sz w:val="24"/>
        </w:rPr>
        <w:t xml:space="preserve"> del título delimita la organización y el contexto donde se aplicará el producto; no declara un diseño investigativo de estudio de caso. La </w:t>
      </w:r>
      <w:r>
        <w:rPr>
          <w:rFonts w:ascii="Times New Roman" w:hAnsi="Times New Roman"/>
          <w:b/>
          <w:sz w:val="24"/>
        </w:rPr>
        <w:t>Fundación R3Foresta para la Bioregeneración de Ecosistemas y la Economía Circular</w:t>
      </w:r>
      <w:r>
        <w:rPr>
          <w:rFonts w:ascii="Times New Roman" w:hAnsi="Times New Roman"/>
          <w:sz w:val="24"/>
        </w:rPr>
        <w:t xml:space="preserve"> desarrolla actividades de reforestación con comunidades, voluntarios y organizaciones patrocinadoras. Actualmente, la información y las evidencias de estas actividades se conservan en fotografías, publicaciones en redes sociales, conversaciones de mensajería, cuadernos, notas y el conocimiento de las personas involucradas. Aunque estas fuentes documentan las actividades realizadas, se encuentran dispersas y no comparten una estructura, identificadores ni relaciones comunes para reconstruir de extremo a extremo el recorrido del material vegetal, conciliar cantidades y saldos, identificar responsables y recuperar la evidencia asociada.</w:t>
      </w:r>
    </w:p>
    <w:p>
      <w:r>
        <w:rPr>
          <w:rFonts w:ascii="Times New Roman" w:hAnsi="Times New Roman"/>
          <w:sz w:val="24"/>
        </w:rPr>
        <w:t xml:space="preserve">Ante esta situación, el proyecto desarrollará un sistema de trazabilidad como componente operativo de </w:t>
      </w:r>
      <w:r>
        <w:rPr>
          <w:rFonts w:ascii="Times New Roman" w:hAnsi="Times New Roman"/>
          <w:b/>
          <w:sz w:val="24"/>
        </w:rPr>
        <w:t>R3foresta App</w:t>
      </w:r>
      <w:r>
        <w:rPr>
          <w:rFonts w:ascii="Times New Roman" w:hAnsi="Times New Roman"/>
          <w:sz w:val="24"/>
        </w:rPr>
        <w:t xml:space="preserve">, desde la recolección o recepción externa del material vegetal hasta el registro de su plantación. La solución comprenderá los módulos de </w:t>
      </w:r>
      <w:r>
        <w:rPr>
          <w:rFonts w:ascii="Times New Roman" w:hAnsi="Times New Roman"/>
          <w:b/>
          <w:sz w:val="24"/>
        </w:rPr>
        <w:t>Recolección, Vivero y Plantación</w:t>
      </w:r>
      <w:r>
        <w:rPr>
          <w:rFonts w:ascii="Times New Roman" w:hAnsi="Times New Roman"/>
          <w:sz w:val="24"/>
        </w:rPr>
        <w:t>. El material adquirido o recibido de terceros se tratará como una variante de ingreso en Vivero o Plantación y conservará sus datos de procedencia, sin constituir un módulo adicional.</w:t>
      </w:r>
    </w:p>
    <w:p>
      <w:r>
        <w:rPr>
          <w:rFonts w:ascii="Times New Roman" w:hAnsi="Times New Roman"/>
          <w:sz w:val="24"/>
        </w:rPr>
        <w:t>R3foresta App se plantea, ante todo, como un componente operativo para organizar la cadena que comienza con el origen del material vegetal y concluye con el registro de su plantación. La relación entre procedencia, especie, movimientos, cantidades, responsables, fechas, ubicaciones y evidencias busca facilitar la reconstrucción de la cadena de custodia, explicar los saldos, apoyar la toma de decisiones y presentar información consistente ante patrocinadores, aliados y otros actores. Estos beneficios justifican el desarrollo del sistema con independencia de cualquier iniciativa de carbono.</w:t>
      </w:r>
    </w:p>
    <w:p>
      <w:r>
        <w:rPr>
          <w:rFonts w:ascii="Times New Roman" w:hAnsi="Times New Roman"/>
          <w:sz w:val="24"/>
        </w:rPr>
        <w:t>Como valor estratégico secundario, la estructura producida por el sistema podrá conservar un historial reutilizable de actividades de reforestación. Los registros de procedencia, cantidades, transferencias y plantación podrían servir como insumo informativo para procesos institucionales o ambientales futuros que necesiten identificar qué material fue registrado, de dónde provino, cuándo y dónde se plantó y qué evidencia quedó asociada. Este vínculo es parcial: la FAO recomienda documentar la fuente, la cantidad, la distribución y los lugares de uso del material reproductivo forestal, mientras que una iniciativa de carbono exige además una metodología aplicable, escenario de línea base, adicionalidad, parámetros de monitoreo, cuantificación y verificación independiente (Food and Agriculture Organization of the United Nations, s. f.; International Organization for Standardization, 2019; Verra, s. f.). Por tanto, la proyección hacia bonos de carbono señalada en el título expresa una posible reutilización futura de la base documental y no una función del producto académico.</w:t>
      </w:r>
    </w:p>
    <w:p>
      <w:r>
        <w:rPr>
          <w:rFonts w:ascii="Times New Roman" w:hAnsi="Times New Roman"/>
          <w:sz w:val="24"/>
        </w:rPr>
        <w:t>El alcance concluye con el registro de la plantación. El sistema no realiza monitoreo posterior de supervivencia, no mide captura de dióxido de carbono, no implementa una metodología de monitoreo, reporte y verificación de carbono, no certifica plantaciones y no genera, emite ni comercializa bonos o créditos de carbono.</w:t>
      </w:r>
    </w:p>
    <w:p>
      <w:pPr>
        <w:pStyle w:val="Heading1"/>
      </w:pPr>
      <w:r>
        <w:rPr>
          <w:rFonts w:ascii="Times New Roman" w:hAnsi="Times New Roman"/>
          <w:sz w:val="28"/>
        </w:rPr>
        <w:t>2. Antecedentes</w:t>
      </w:r>
    </w:p>
    <w:p>
      <w:pPr>
        <w:pStyle w:val="Heading2"/>
      </w:pPr>
      <w:r>
        <w:rPr>
          <w:rFonts w:ascii="Times New Roman" w:hAnsi="Times New Roman"/>
          <w:sz w:val="24"/>
        </w:rPr>
        <w:t>2.1. Antecedentes institucionales</w:t>
      </w:r>
    </w:p>
    <w:p>
      <w:r>
        <w:rPr>
          <w:rFonts w:ascii="Times New Roman" w:hAnsi="Times New Roman"/>
          <w:sz w:val="24"/>
        </w:rPr>
        <w:t>R3Foresta fue creada en 2019 como una iniciativa y plataforma de acción socioambiental orientada a la bioregeneración de ecosistemas estratégicos y al fortalecimiento de las comunidades vinculadas con ellos. Su modelo evolucionó desde la acción ambiental directa hacia la integración de reforestación, agua, biodiversidad, residuos, alimentación, tecnología y comunidades. Actualmente articula las dimensiones ecológica, comunitaria, científico-tecnológica y económica mediante los componentes R3Carbon, R3Water, R3Bio y R3F10 — Reciclaje y Economía Circular (R3Foresta, 2026).</w:t>
      </w:r>
    </w:p>
    <w:p>
      <w:pPr>
        <w:pStyle w:val="Caption"/>
      </w:pPr>
      <w:r>
        <w:rPr>
          <w:rFonts w:ascii="Times New Roman" w:hAnsi="Times New Roman"/>
          <w:sz w:val="22"/>
        </w:rPr>
        <w:t>Figura 1</w:t>
      </w:r>
    </w:p>
    <w:p>
      <w:pPr>
        <w:keepNext/>
        <w:spacing w:after="80"/>
        <w:ind w:firstLine="0"/>
        <w:jc w:val="left"/>
      </w:pPr>
      <w:r>
        <w:rPr>
          <w:rFonts w:ascii="Times New Roman" w:hAnsi="Times New Roman"/>
          <w:i/>
          <w:sz w:val="24"/>
        </w:rPr>
        <w:t>Estructura organizacional de R3Foresta</w:t>
      </w:r>
    </w:p>
    <w:p>
      <w:pPr>
        <w:spacing w:after="120"/>
        <w:ind w:firstLine="0"/>
        <w:jc w:val="center"/>
      </w:pPr>
      <w:r>
        <w:drawing>
          <wp:inline xmlns:a="http://schemas.openxmlformats.org/drawingml/2006/main" xmlns:pic="http://schemas.openxmlformats.org/drawingml/2006/picture">
            <wp:extent cx="5230368" cy="3922776"/>
            <wp:docPr id="2" name="Picture 2" title="Organigrama institucional de R3Foresta" descr="Organigrama institucional de R3Foresta"/>
            <wp:cNvGraphicFramePr>
              <a:graphicFrameLocks noChangeAspect="1"/>
            </wp:cNvGraphicFramePr>
            <a:graphic>
              <a:graphicData uri="http://schemas.openxmlformats.org/drawingml/2006/picture">
                <pic:pic>
                  <pic:nvPicPr>
                    <pic:cNvPr id="0" name="organigrama_r3foresta.png"/>
                    <pic:cNvPicPr/>
                  </pic:nvPicPr>
                  <pic:blipFill>
                    <a:blip r:embed="rId14"/>
                    <a:stretch>
                      <a:fillRect/>
                    </a:stretch>
                  </pic:blipFill>
                  <pic:spPr>
                    <a:xfrm>
                      <a:off x="0" y="0"/>
                      <a:ext cx="5230368" cy="3922776"/>
                    </a:xfrm>
                    <a:prstGeom prst="rect"/>
                  </pic:spPr>
                </pic:pic>
              </a:graphicData>
            </a:graphic>
          </wp:inline>
        </w:drawing>
      </w:r>
    </w:p>
    <w:p>
      <w:r>
        <w:rPr>
          <w:rFonts w:ascii="Times New Roman" w:hAnsi="Times New Roman"/>
          <w:i/>
          <w:sz w:val="24"/>
        </w:rPr>
        <w:t>Nota.</w:t>
      </w:r>
      <w:r>
        <w:rPr>
          <w:rFonts w:ascii="Times New Roman" w:hAnsi="Times New Roman"/>
          <w:sz w:val="24"/>
        </w:rPr>
        <w:t xml:space="preserve"> Organigrama institucional proporcionado por la Fundación R3Foresta.</w:t>
      </w:r>
    </w:p>
    <w:p>
      <w:r>
        <w:rPr>
          <w:rFonts w:ascii="Times New Roman" w:hAnsi="Times New Roman"/>
          <w:sz w:val="24"/>
        </w:rPr>
        <w:t xml:space="preserve">En la dimensión científico-tecnológica, R3Foresta integra medición, monitoreo, trazabilidad, digitalización e innovación. Dentro de R3Carbon desarrolla </w:t>
      </w:r>
      <w:r>
        <w:rPr>
          <w:rFonts w:ascii="Times New Roman" w:hAnsi="Times New Roman"/>
          <w:b/>
          <w:sz w:val="24"/>
        </w:rPr>
        <w:t>R3foresta App</w:t>
      </w:r>
      <w:r>
        <w:rPr>
          <w:rFonts w:ascii="Times New Roman" w:hAnsi="Times New Roman"/>
          <w:sz w:val="24"/>
        </w:rPr>
        <w:t>, destinada a registrar y relacionar el recorrido del material vegetal desde la recolección de semillas o su recepción externa, pasando por el manejo en vivero, hasta el registro de su plantación. Esta función plantea la aplicación como base operativa de la cadena de custodia del material vegetal y como medio para organizar la información y las evidencias utilizadas por la Fundación en su gestión y rendición de cuentas.</w:t>
      </w:r>
    </w:p>
    <w:p>
      <w:pPr>
        <w:pStyle w:val="Heading2"/>
      </w:pPr>
      <w:r>
        <w:rPr>
          <w:rFonts w:ascii="Times New Roman" w:hAnsi="Times New Roman"/>
          <w:sz w:val="24"/>
        </w:rPr>
        <w:t>2.2. Antecedentes internacionales</w:t>
      </w:r>
    </w:p>
    <w:p>
      <w:r>
        <w:rPr>
          <w:rFonts w:ascii="Times New Roman" w:hAnsi="Times New Roman"/>
          <w:sz w:val="24"/>
        </w:rPr>
        <w:t>En Perú, Salamanca Contreras (2024) implementó un sistema web para el control interno y el seguimiento del inventario de un vivero comercial. El trabajo abordó la administración de existencias y despachos y reportó mejoras en la exactitud del inventario. Su resultado aporta evidencia sobre la centralización de los movimientos de un vivero, pero su alcance permanece en la gestión comercial interna y no reconstruye la procedencia del material ni su transferencia hacia actividades de reforestación.</w:t>
      </w:r>
    </w:p>
    <w:p>
      <w:r>
        <w:rPr>
          <w:rFonts w:ascii="Times New Roman" w:hAnsi="Times New Roman"/>
          <w:sz w:val="24"/>
        </w:rPr>
        <w:t>En Ecuador, Mayorga Vásquez et al. (2022) propusieron un sistema web para los procesos administrativos y productivos de viveros. La solución integró información de producción y administración, mostrando que estos procesos pueden gestionarse mediante una plataforma común. Su diferencia respecto de R3foresta App radica en que no relaciona de extremo a extremo la recolección o recepción externa, el manejo en vivero y la evidencia geográfica de la plantación.</w:t>
      </w:r>
    </w:p>
    <w:p>
      <w:r>
        <w:rPr>
          <w:rFonts w:ascii="Times New Roman" w:hAnsi="Times New Roman"/>
          <w:sz w:val="24"/>
        </w:rPr>
        <w:t>En el ámbito internacional de la trazabilidad, Thakur et al. (2011) utilizaron eventos para representar estados, movimientos y transformaciones dentro de una cadena y separar los datos maestros de los hechos ocurridos. Este antecedente aporta un mecanismo para conservar relaciones históricas y recuperar el recorrido de unidades identificadas. Su dominio es agroalimentario y no contempla los cambios biológicos, las unidades de medida ni las reglas operativas propias del material vegetal utilizado por R3Foresta.</w:t>
      </w:r>
    </w:p>
    <w:p>
      <w:pPr>
        <w:pStyle w:val="Heading2"/>
      </w:pPr>
      <w:r>
        <w:rPr>
          <w:rFonts w:ascii="Times New Roman" w:hAnsi="Times New Roman"/>
          <w:sz w:val="24"/>
        </w:rPr>
        <w:t>2.3. Antecedentes en Bolivia</w:t>
      </w:r>
    </w:p>
    <w:p>
      <w:r>
        <w:rPr>
          <w:rFonts w:ascii="Times New Roman" w:hAnsi="Times New Roman"/>
          <w:sz w:val="24"/>
        </w:rPr>
        <w:t>Quispe Tola y Condori Zapana (2020) desarrollaron para la Autoridad de Fiscalización y Control Social de Bosques y Tierra un sistema de inventario y registro de iniciativas de manejo integral sustentable de los bosques y la Madre Tierra. La solución centralizó el registro de iniciativas e incorporó consultas, mapas y reportes por niveles. Su unidad principal es la iniciativa o proyecto forestal, por lo que no registra la cadena operativa de semillas y plantas ni las relaciones entre recolección, vivero y plantación.</w:t>
      </w:r>
    </w:p>
    <w:p>
      <w:pPr>
        <w:pStyle w:val="Heading2"/>
      </w:pPr>
      <w:r>
        <w:rPr>
          <w:rFonts w:ascii="Times New Roman" w:hAnsi="Times New Roman"/>
          <w:sz w:val="24"/>
        </w:rPr>
        <w:t>2.4. Antecedentes cercanos a la ciudad de La Paz</w:t>
      </w:r>
    </w:p>
    <w:p>
      <w:r>
        <w:rPr>
          <w:rFonts w:ascii="Times New Roman" w:hAnsi="Times New Roman"/>
          <w:sz w:val="24"/>
        </w:rPr>
        <w:t>Dentro de las fuentes revisadas no se identificó un trabajo equivalente desarrollado específicamente en la ciudad de La Paz. Los antecedentes geográficamente más cercanos corresponden al departamento de La Paz y a la ciudad de El Alto.</w:t>
      </w:r>
    </w:p>
    <w:p>
      <w:r>
        <w:rPr>
          <w:rFonts w:ascii="Times New Roman" w:hAnsi="Times New Roman"/>
          <w:sz w:val="24"/>
        </w:rPr>
        <w:t>Limachi Mamani (2020) desarrolló un sistema de registro y geolocalización de viveros para la Autoridad de Fiscalización y Control Social de Bosques y Tierra en el departamento de La Paz. El sistema administra viveros, especies y volúmenes de producción y ofrece una vista espacial para apoyar decisiones. Su unidad principal es el vivero, de modo que no reconstruye el recorrido de cada conjunto de material vegetal desde su procedencia hasta la plantación.</w:t>
      </w:r>
    </w:p>
    <w:p>
      <w:r>
        <w:rPr>
          <w:rFonts w:ascii="Times New Roman" w:hAnsi="Times New Roman"/>
          <w:sz w:val="24"/>
        </w:rPr>
        <w:t>Valdez Alvarado (2023) desarrolló un sistema web para la gestión y control de viveros de la Unidad de Forestación del Gobierno Autónomo Municipal de El Alto. La solución centralizó información sobre plantines, responsables, solicitudes y plantaciones y permitió conocer el estado de los plantines durante su crecimiento. Este trabajo es el antecedente local más cercano al recorrido Vivero–Plantación; R3foresta App se diferencia al incorporar también la Recolección, la recepción externa, la cadena de custodia y las relaciones necesarias para reconstruir el origen, los movimientos, las cantidades y las evidencias.</w:t>
      </w:r>
    </w:p>
    <w:p>
      <w:r>
        <w:rPr>
          <w:rFonts w:ascii="Times New Roman" w:hAnsi="Times New Roman"/>
          <w:sz w:val="24"/>
        </w:rPr>
        <w:t>En conjunto, los trabajos revisados resuelven partes del problema: inventarios de vivero, geolocalización, producción, solicitudes, iniciativas forestales o representación de eventos. No se identificó, dentro del alcance de la búsqueda, una solución que integre la procedencia propia o externa del material vegetal, sus movimientos y cambios entre Recolección, Vivero y Plantación, la consistencia de cantidades y saldos y la evidencia vinculada con el destino. Esta conclusión se limita a las fuentes revisadas y no afirma la inexistencia absoluta de soluciones similares.</w:t>
      </w:r>
    </w:p>
    <w:p>
      <w:pPr>
        <w:pStyle w:val="Heading1"/>
      </w:pPr>
      <w:r>
        <w:rPr>
          <w:rFonts w:ascii="Times New Roman" w:hAnsi="Times New Roman"/>
          <w:sz w:val="28"/>
        </w:rPr>
        <w:t>3. Planteamiento del problema</w:t>
      </w:r>
    </w:p>
    <w:p>
      <w:pPr>
        <w:pStyle w:val="Heading2"/>
      </w:pPr>
      <w:r>
        <w:rPr>
          <w:rFonts w:ascii="Times New Roman" w:hAnsi="Times New Roman"/>
          <w:sz w:val="24"/>
        </w:rPr>
        <w:t>3.1. Situación problemática</w:t>
      </w:r>
    </w:p>
    <w:p>
      <w:r>
        <w:rPr>
          <w:rFonts w:ascii="Times New Roman" w:hAnsi="Times New Roman"/>
          <w:sz w:val="24"/>
        </w:rPr>
        <w:t>R3Foresta realiza actividades de reforestación con comunidades, voluntarios y organizaciones patrocinadoras. La información y las evidencias de estas actividades se conservan actualmente en fotografías, publicaciones en redes sociales, conversaciones de mensajería, cuadernos, notas y el conocimiento de las personas involucradas. Estos registros se encuentran dispersos y no comparten una estructura, identificadores ni relaciones comunes que permitan reconstruir de extremo a extremo la procedencia y el recorrido del material vegetal, las cantidades administradas, los responsables de cada etapa, las ubicaciones y las evidencias asociadas.</w:t>
      </w:r>
    </w:p>
    <w:p>
      <w:r>
        <w:rPr>
          <w:rFonts w:ascii="Times New Roman" w:hAnsi="Times New Roman"/>
          <w:sz w:val="24"/>
        </w:rPr>
        <w:t>El material vegetal utilizado por R3Foresta puede ser de origen propio o externo. En el primer caso, la organización recolecta semillas u otro material de propagación, lo traslada al vivero, registra los procesos biológicos y obtiene plantas destinadas a la plantación. En el segundo, adquiere o recibe plantas y otros materiales vegetales de proveedores o terceros, que pueden ingresar al vivero o dirigirse directamente a una plantación. En ambos casos, la cadena requiere relacionar la procedencia, la especie, las cantidades, las fechas, los responsables y las evidencias con los hechos posteriores hasta el destino del material.</w:t>
      </w:r>
    </w:p>
    <w:p>
      <w:r>
        <w:rPr>
          <w:rFonts w:ascii="Times New Roman" w:hAnsi="Times New Roman"/>
          <w:sz w:val="24"/>
        </w:rPr>
        <w:t>Durante este recorrido cambian la ubicación, el responsable, el estado, la agrupación y, en determinados procesos, la unidad de medida del material vegetal. Las semillas recolectadas pueden registrarse en gramos o unidades de propagación, mientras que el saldo vivo del vivero y la plantación se expresa en unidades de plantas. El paso de semillas a plantas no constituye una conversión aritmética automática, sino un resultado biológico observado. El proceso también comprende mermas, descartes, devoluciones, cierres, transferencias y asignaciones parciales.</w:t>
      </w:r>
    </w:p>
    <w:p>
      <w:r>
        <w:rPr>
          <w:rFonts w:ascii="Times New Roman" w:hAnsi="Times New Roman"/>
          <w:sz w:val="24"/>
        </w:rPr>
        <w:t>Actualmente, las entradas, salidas, transformaciones, transferencias y modificaciones de saldo se documentan en fuentes separadas y no conforman un historial común que explique cada cambio. Esta fragmentación dificulta conciliar las cantidades entre etapas, determinar la disponibilidad real del material y reconocer registros incompletos, asignaciones repetidas o consumos duplicados. De igual manera, las fotografías, fechas o coordenadas almacenadas fuera del hecho operativo quedan desvinculadas de la especie, la cantidad, el responsable y la actividad que deben respaldar.</w:t>
      </w:r>
    </w:p>
    <w:p>
      <w:r>
        <w:rPr>
          <w:rFonts w:ascii="Times New Roman" w:hAnsi="Times New Roman"/>
          <w:sz w:val="24"/>
        </w:rPr>
        <w:t>Como consecuencia, la reconstrucción de una cadena de custodia exige buscar y contrastar manualmente diferentes fuentes y recurrir a la memoria de las personas involucradas. Esto puede aumentar el tiempo necesario para responder consultas, favorece omisiones y contradicciones y dificulta determinar qué material se encontraba disponible, qué cantidades se perdieron o trasladaron, quién fue responsable de cada movimiento y cuál fue el destino registrado. La dispersión también limita la elaboración de reportes consistentes y la capacidad de explicar los saldos entre las etapas de Recolección, Vivero y Plantación.</w:t>
      </w:r>
    </w:p>
    <w:p>
      <w:r>
        <w:rPr>
          <w:rFonts w:ascii="Times New Roman" w:hAnsi="Times New Roman"/>
          <w:sz w:val="24"/>
        </w:rPr>
        <w:t>La misma situación afecta la rendición de cuentas. R3Foresta dispone de evidencias sobre sus actividades, pero no de una cadena informacional común que las vincule sistemáticamente con el origen, los responsables, las cantidades y el destino del material vegetal. En consecuencia, la Fundación tiene menor capacidad para presentar a patrocinadores, aliados y comunidades un recorrido transparente y contrastable, y carece de una base operativa consolidada para procesos institucionales o ambientales posteriores que exijan mayor consistencia documental e histórica. El proyecto no realizará esos procesos posteriores, pero atiende la información operativa que podría precederlos.</w:t>
      </w:r>
    </w:p>
    <w:p>
      <w:r>
        <w:rPr>
          <w:rFonts w:ascii="Times New Roman" w:hAnsi="Times New Roman"/>
          <w:sz w:val="24"/>
        </w:rPr>
        <w:t xml:space="preserve">El árbol de causas y efectos que sintetiza esta situación se presenta en el </w:t>
      </w:r>
      <w:r>
        <w:rPr>
          <w:rFonts w:ascii="Times New Roman" w:hAnsi="Times New Roman"/>
          <w:b/>
          <w:sz w:val="24"/>
        </w:rPr>
        <w:t>Anexo A</w:t>
      </w:r>
      <w:r>
        <w:rPr>
          <w:rFonts w:ascii="Times New Roman" w:hAnsi="Times New Roman"/>
          <w:sz w:val="24"/>
        </w:rPr>
        <w:t>.</w:t>
      </w:r>
    </w:p>
    <w:p>
      <w:pPr>
        <w:pStyle w:val="Heading2"/>
      </w:pPr>
      <w:r>
        <w:rPr>
          <w:rFonts w:ascii="Times New Roman" w:hAnsi="Times New Roman"/>
          <w:sz w:val="24"/>
        </w:rPr>
        <w:t>3.2. Problema central</w:t>
      </w:r>
    </w:p>
    <w:p>
      <w:pPr>
        <w:spacing w:before="100" w:after="100"/>
        <w:ind w:left="567" w:right="340" w:firstLine="0"/>
      </w:pPr>
      <w:r>
        <w:rPr>
          <w:rFonts w:ascii="Times New Roman" w:hAnsi="Times New Roman"/>
          <w:i/>
          <w:sz w:val="24"/>
        </w:rPr>
        <w:t>En la práctica actual de R3Foresta, la información sobre la procedencia, los movimientos, las transformaciones, las cantidades, los responsables, las evidencias y el destino del material vegetal de origen propio o externo se conserva en registros dispersos que no comparten una estructura, identificadores ni relaciones comunes; esta fragmentación limita la reconstrucción de la cadena de custodia, la consistencia de cantidades y saldos y la presentación de evidencia contrastable a los actores interesados.</w:t>
      </w:r>
    </w:p>
    <w:p>
      <w:pPr>
        <w:pStyle w:val="Heading2"/>
      </w:pPr>
      <w:r>
        <w:rPr>
          <w:rFonts w:ascii="Times New Roman" w:hAnsi="Times New Roman"/>
          <w:sz w:val="24"/>
        </w:rPr>
        <w:t>3.3. Formulación del problema</w:t>
      </w:r>
    </w:p>
    <w:p>
      <w:pPr>
        <w:pStyle w:val="Heading3"/>
      </w:pPr>
      <w:r>
        <w:rPr>
          <w:rFonts w:ascii="Times New Roman" w:hAnsi="Times New Roman"/>
          <w:sz w:val="24"/>
        </w:rPr>
        <w:t>Pregunta general</w:t>
      </w:r>
    </w:p>
    <w:p>
      <w:pPr>
        <w:spacing w:before="100" w:after="100"/>
        <w:ind w:left="567" w:right="340" w:firstLine="0"/>
      </w:pPr>
      <w:r>
        <w:rPr>
          <w:rFonts w:ascii="Times New Roman" w:hAnsi="Times New Roman"/>
          <w:i/>
          <w:sz w:val="24"/>
        </w:rPr>
        <w:t>¿Cómo asegurar, en el caso de R3Foresta, la trazabilidad de la cadena de custodia del material vegetal desde su recolección o recepción externa, pasando por el vivero, hasta el registro de su plantación, de manera que puedan reconstruirse su procedencia, movimientos, cantidades, responsables, evidencias y destino?</w:t>
      </w:r>
    </w:p>
    <w:p>
      <w:pPr>
        <w:pStyle w:val="Heading3"/>
      </w:pPr>
      <w:r>
        <w:rPr>
          <w:rFonts w:ascii="Times New Roman" w:hAnsi="Times New Roman"/>
          <w:sz w:val="24"/>
        </w:rPr>
        <w:t>Preguntas específicas</w:t>
      </w:r>
    </w:p>
    <w:p>
      <w:pPr>
        <w:pStyle w:val="ListParagraph"/>
        <w:numPr>
          <w:ilvl w:val="0"/>
          <w:numId w:val="10"/>
        </w:numPr>
        <w:spacing w:line="360" w:lineRule="auto" w:after="0"/>
        <w:ind w:left="454" w:hanging="283"/>
      </w:pPr>
      <w:r>
        <w:rPr>
          <w:rFonts w:ascii="Times New Roman" w:hAnsi="Times New Roman"/>
          <w:sz w:val="24"/>
        </w:rPr>
        <w:t>¿Qué procesos, actores, datos, estados, eventos, unidades de medida, requerimientos y reglas de negocio caracterizan Recolección, Vivero y Plantación, incluidas las variantes de ingreso de material vegetal adquirido o recibido de terceros?</w:t>
      </w:r>
    </w:p>
    <w:p>
      <w:pPr>
        <w:pStyle w:val="ListParagraph"/>
        <w:numPr>
          <w:ilvl w:val="0"/>
          <w:numId w:val="10"/>
        </w:numPr>
        <w:spacing w:line="360" w:lineRule="auto" w:after="0"/>
        <w:ind w:left="454" w:hanging="283"/>
      </w:pPr>
      <w:r>
        <w:rPr>
          <w:rFonts w:ascii="Times New Roman" w:hAnsi="Times New Roman"/>
          <w:sz w:val="24"/>
        </w:rPr>
        <w:t>¿Qué modelo de trazabilidad e integridad permite relacionar orígenes, entidades, eventos, transformaciones, cantidades, saldos, responsables y evidencias, y formalizar las reglas aplicables a las transferencias y transformaciones entre etapas?</w:t>
      </w:r>
    </w:p>
    <w:p>
      <w:pPr>
        <w:pStyle w:val="ListParagraph"/>
        <w:numPr>
          <w:ilvl w:val="0"/>
          <w:numId w:val="10"/>
        </w:numPr>
        <w:spacing w:line="360" w:lineRule="auto" w:after="0"/>
        <w:ind w:left="454" w:hanging="283"/>
      </w:pPr>
      <w:r>
        <w:rPr>
          <w:rFonts w:ascii="Times New Roman" w:hAnsi="Times New Roman"/>
          <w:sz w:val="24"/>
        </w:rPr>
        <w:t>¿Cómo implementar e integrar los módulos de Recolección, Vivero y Plantación, incorporando el ingreso de material vegetal adquirido o recibido de terceros directamente en Vivero o Plantación, con sus datos de procedencia y su registro en el historial?</w:t>
      </w:r>
    </w:p>
    <w:p>
      <w:pPr>
        <w:pStyle w:val="ListParagraph"/>
        <w:numPr>
          <w:ilvl w:val="0"/>
          <w:numId w:val="10"/>
        </w:numPr>
        <w:spacing w:line="360" w:lineRule="auto" w:after="0"/>
        <w:ind w:left="454" w:hanging="283"/>
      </w:pPr>
      <w:r>
        <w:rPr>
          <w:rFonts w:ascii="Times New Roman" w:hAnsi="Times New Roman"/>
          <w:sz w:val="24"/>
        </w:rPr>
        <w:t>¿En qué medida la solución cumple los requerimientos y preserva las invariantes definidas mediante pruebas funcionales y técnicas?</w:t>
      </w:r>
    </w:p>
    <w:p>
      <w:pPr>
        <w:pStyle w:val="ListParagraph"/>
        <w:numPr>
          <w:ilvl w:val="0"/>
          <w:numId w:val="10"/>
        </w:numPr>
        <w:spacing w:line="360" w:lineRule="auto" w:after="0"/>
        <w:ind w:left="454" w:hanging="283"/>
      </w:pPr>
      <w:r>
        <w:rPr>
          <w:rFonts w:ascii="Times New Roman" w:hAnsi="Times New Roman"/>
          <w:sz w:val="24"/>
        </w:rPr>
        <w:t>¿Cómo comprobar, mediante escenarios operativos y criterios de aceptación, la capacidad de la solución para reconstruir trazas con evidencia contrastable y la carga de los flujos implementados?</w:t>
      </w:r>
    </w:p>
    <w:p>
      <w:pPr>
        <w:pStyle w:val="Heading1"/>
      </w:pPr>
      <w:r>
        <w:rPr>
          <w:rFonts w:ascii="Times New Roman" w:hAnsi="Times New Roman"/>
          <w:sz w:val="28"/>
        </w:rPr>
        <w:t>4. Objetivos</w:t>
      </w:r>
    </w:p>
    <w:p>
      <w:pPr>
        <w:pStyle w:val="Heading2"/>
      </w:pPr>
      <w:r>
        <w:rPr>
          <w:rFonts w:ascii="Times New Roman" w:hAnsi="Times New Roman"/>
          <w:sz w:val="24"/>
        </w:rPr>
        <w:t>4.1. Objetivo general</w:t>
      </w:r>
    </w:p>
    <w:p>
      <w:r>
        <w:rPr>
          <w:rFonts w:ascii="Times New Roman" w:hAnsi="Times New Roman"/>
          <w:sz w:val="24"/>
        </w:rPr>
        <w:t>Desarrollar un sistema de trazabilidad para la cadena de custodia del material vegetal utilizado por R3Foresta, desde su recolección o recepción externa hasta el registro de la plantación, con información relacionada sobre procedencia, movimientos, cantidades, responsables, evidencias y destino.</w:t>
      </w:r>
    </w:p>
    <w:p>
      <w:pPr>
        <w:pStyle w:val="Heading2"/>
      </w:pPr>
      <w:r>
        <w:rPr>
          <w:rFonts w:ascii="Times New Roman" w:hAnsi="Times New Roman"/>
          <w:sz w:val="24"/>
        </w:rPr>
        <w:t>4.2. Objetivos específicos</w:t>
      </w:r>
    </w:p>
    <w:p>
      <w:pPr>
        <w:pStyle w:val="ListParagraph"/>
        <w:numPr>
          <w:ilvl w:val="0"/>
          <w:numId w:val="11"/>
        </w:numPr>
        <w:spacing w:line="360" w:lineRule="auto" w:after="0"/>
        <w:ind w:left="454" w:hanging="283"/>
      </w:pPr>
      <w:r>
        <w:rPr>
          <w:rFonts w:ascii="Times New Roman" w:hAnsi="Times New Roman"/>
          <w:b/>
          <w:sz w:val="24"/>
        </w:rPr>
        <w:t>Analizar</w:t>
      </w:r>
      <w:r>
        <w:rPr>
          <w:rFonts w:ascii="Times New Roman" w:hAnsi="Times New Roman"/>
          <w:sz w:val="24"/>
        </w:rPr>
        <w:t xml:space="preserve"> los procesos, actores, datos, estados, eventos, unidades de medida, requerimientos y reglas de negocio de Recolección, Vivero y Plantación, incluidas las variantes de ingreso de material vegetal adquirido o recibido de terceros.</w:t>
      </w:r>
    </w:p>
    <w:p>
      <w:pPr>
        <w:pStyle w:val="ListParagraph"/>
        <w:numPr>
          <w:ilvl w:val="0"/>
          <w:numId w:val="11"/>
        </w:numPr>
        <w:spacing w:line="360" w:lineRule="auto" w:after="0"/>
        <w:ind w:left="454" w:hanging="283"/>
      </w:pPr>
      <w:r>
        <w:rPr>
          <w:rFonts w:ascii="Times New Roman" w:hAnsi="Times New Roman"/>
          <w:b/>
          <w:sz w:val="24"/>
        </w:rPr>
        <w:t>Diseñar</w:t>
      </w:r>
      <w:r>
        <w:rPr>
          <w:rFonts w:ascii="Times New Roman" w:hAnsi="Times New Roman"/>
          <w:sz w:val="24"/>
        </w:rPr>
        <w:t xml:space="preserve"> un modelo de trazabilidad e integridad que relacione orígenes, entidades, eventos, transformaciones, cantidades, saldos, responsables y evidencias, y que formalice las reglas aplicables a las transferencias y transformaciones entre etapas.</w:t>
      </w:r>
    </w:p>
    <w:p>
      <w:pPr>
        <w:pStyle w:val="ListParagraph"/>
        <w:numPr>
          <w:ilvl w:val="0"/>
          <w:numId w:val="11"/>
        </w:numPr>
        <w:spacing w:line="360" w:lineRule="auto" w:after="0"/>
        <w:ind w:left="454" w:hanging="283"/>
      </w:pPr>
      <w:r>
        <w:rPr>
          <w:rFonts w:ascii="Times New Roman" w:hAnsi="Times New Roman"/>
          <w:b/>
          <w:sz w:val="24"/>
        </w:rPr>
        <w:t>Implementar</w:t>
      </w:r>
      <w:r>
        <w:rPr>
          <w:rFonts w:ascii="Times New Roman" w:hAnsi="Times New Roman"/>
          <w:sz w:val="24"/>
        </w:rPr>
        <w:t xml:space="preserve"> los módulos de Recolección, Vivero y Plantación, incorporando el ingreso de material vegetal adquirido o recibido de terceros directamente en Vivero o Plantación, con sus datos de procedencia y su registro en el historial.</w:t>
      </w:r>
    </w:p>
    <w:p>
      <w:pPr>
        <w:pStyle w:val="ListParagraph"/>
        <w:numPr>
          <w:ilvl w:val="0"/>
          <w:numId w:val="11"/>
        </w:numPr>
        <w:spacing w:line="360" w:lineRule="auto" w:after="0"/>
        <w:ind w:left="454" w:hanging="283"/>
      </w:pPr>
      <w:r>
        <w:rPr>
          <w:rFonts w:ascii="Times New Roman" w:hAnsi="Times New Roman"/>
          <w:b/>
          <w:sz w:val="24"/>
        </w:rPr>
        <w:t>Verificar</w:t>
      </w:r>
      <w:r>
        <w:rPr>
          <w:rFonts w:ascii="Times New Roman" w:hAnsi="Times New Roman"/>
          <w:sz w:val="24"/>
        </w:rPr>
        <w:t xml:space="preserve"> el cumplimiento de los requerimientos y de las invariantes de consistencia mediante pruebas funcionales y técnicas.</w:t>
      </w:r>
    </w:p>
    <w:p>
      <w:pPr>
        <w:pStyle w:val="ListParagraph"/>
        <w:numPr>
          <w:ilvl w:val="0"/>
          <w:numId w:val="11"/>
        </w:numPr>
        <w:spacing w:line="360" w:lineRule="auto" w:after="0"/>
        <w:ind w:left="454" w:hanging="283"/>
      </w:pPr>
      <w:r>
        <w:rPr>
          <w:rFonts w:ascii="Times New Roman" w:hAnsi="Times New Roman"/>
          <w:b/>
          <w:sz w:val="24"/>
        </w:rPr>
        <w:t>Evaluar</w:t>
      </w:r>
      <w:r>
        <w:rPr>
          <w:rFonts w:ascii="Times New Roman" w:hAnsi="Times New Roman"/>
          <w:sz w:val="24"/>
        </w:rPr>
        <w:t>, mediante escenarios operativos y criterios de aceptación, la capacidad de la solución para reconstruir trazas con evidencia contrastable y la carga de los flujos implementados.</w:t>
      </w:r>
    </w:p>
    <w:p>
      <w:pPr>
        <w:pStyle w:val="Heading1"/>
      </w:pPr>
      <w:r>
        <w:rPr>
          <w:rFonts w:ascii="Times New Roman" w:hAnsi="Times New Roman"/>
          <w:sz w:val="28"/>
        </w:rPr>
        <w:t>5. Justificación</w:t>
      </w:r>
    </w:p>
    <w:p>
      <w:r>
        <w:rPr>
          <w:rFonts w:ascii="Times New Roman" w:hAnsi="Times New Roman"/>
          <w:sz w:val="24"/>
        </w:rPr>
        <w:t>R3Foresta necesita reconstruir el recorrido del material vegetal que recibe o produce para conocer su procedencia, las cantidades disponibles, las pérdidas ocurridas, las asignaciones y transferencias realizadas y su destino final. Cuando esta información se conserva en registros y evidencias independientes, resulta difícil establecer posteriormente qué ocurrió con una cantidad o lote a medida que atravesó las etapas de Recolección, Vivero y Plantación. Por ello, la organización requiere una cadena informacional común que relacione el origen, los movimientos y el destino del material vegetal.</w:t>
      </w:r>
    </w:p>
    <w:p>
      <w:r>
        <w:rPr>
          <w:rFonts w:ascii="Times New Roman" w:hAnsi="Times New Roman"/>
          <w:sz w:val="24"/>
        </w:rPr>
        <w:t>La solución es necesaria desde el punto de vista operativo porque permitirá que los registros de cada módulo formen parte de un mismo recorrido. La procedencia, las cantidades, los responsables, las fechas, las ubicaciones y las evidencias podrán consultarse de forma relacionada, con el propósito de reducir la dependencia de búsquedas manuales y de la memoria de las personas y apoyar decisiones sobre disponibilidad, movimientos, pérdidas y destino del material.</w:t>
      </w:r>
    </w:p>
    <w:p>
      <w:r>
        <w:rPr>
          <w:rFonts w:ascii="Times New Roman" w:hAnsi="Times New Roman"/>
          <w:sz w:val="24"/>
        </w:rPr>
        <w:t>Desde la perspectiva institucional, R3foresta App permitirá organizar información para respaldar las actividades comunicadas a comunidades, voluntarios, patrocinadores y aliados. La procedencia y la especie podrán identificar el material declarado; las cantidades, fechas, responsables y transferencias permitirán reconstruir su manejo; y la ubicación, el evento de plantación y las evidencias documentales o fotográficas podrán respaldar que una actividad fue registrada bajo determinadas circunstancias. En conjunto, estos datos conformarán un historial operativo consultable y contrastable.</w:t>
      </w:r>
    </w:p>
    <w:p>
      <w:r>
        <w:rPr>
          <w:rFonts w:ascii="Times New Roman" w:hAnsi="Times New Roman"/>
          <w:sz w:val="24"/>
        </w:rPr>
        <w:t>Ese historial podría constituir una base documental parcial para futuras iniciativas de carbono, pues aportaría información de actividad y procedencia susceptible de ser revisada o reutilizada. No demostraría, por sí mismo, la supervivencia o el crecimiento de las plantas, la biomasa, las remociones de dióxido de carbono equivalente, la línea base, la adicionalidad, la permanencia o las fugas. Tampoco sustituiría el monitoreo definido por una metodología, la gestión de calidad de los datos, la validación, la verificación ni la emisión de créditos requeridos en un proyecto de gases de efecto invernadero (International Organization for Standardization, 2019; Verra, s. f.). De este modo, la proyección de carbono fortalece la utilidad estratégica de la información sin modificar el propósito, los objetivos ni la evaluación del sistema.</w:t>
      </w:r>
    </w:p>
    <w:p>
      <w:r>
        <w:rPr>
          <w:rFonts w:ascii="Times New Roman" w:hAnsi="Times New Roman"/>
          <w:sz w:val="24"/>
        </w:rPr>
        <w:t>Desde la perspectiva tecnológica y académica, el proyecto relacionará el análisis del dominio con un modelo de trazabilidad, reglas de integridad, tres módulos integrados y evidencia de verificación y validación. Su desarrollo permitirá aplicar principios de Ingeniería de Software a un contexto real en el que las unidades cambian de estado, cantidad, agrupación y responsabilidad. Los beneficios de tiempo, carga o calidad de información no se asumirán de antemano; cualquier resultado se limitará a los escenarios ejecutados y a la evidencia obtenida.</w:t>
      </w:r>
    </w:p>
    <w:p>
      <w:r>
        <w:rPr>
          <w:rFonts w:ascii="Times New Roman" w:hAnsi="Times New Roman"/>
          <w:sz w:val="24"/>
        </w:rPr>
        <w:t>La factibilidad técnica se apoya en la infraestructura de software, el repositorio y los equipos ya disponibles para R3foresta App, por lo que el alcance no exige adquirir hardware especializado. Desde una perspectiva social y ambiental indirecta, una mejor organización de la procedencia, las cantidades y las evidencias puede apoyar la rendición de cuentas de las actividades de reforestación; esta utilidad esperada no equivale a medir impacto ecológico ni a certificar resultados ambientales.</w:t>
      </w:r>
    </w:p>
    <w:p>
      <w:pPr>
        <w:pStyle w:val="Heading1"/>
      </w:pPr>
      <w:r>
        <w:rPr>
          <w:rFonts w:ascii="Times New Roman" w:hAnsi="Times New Roman"/>
          <w:sz w:val="28"/>
        </w:rPr>
        <w:t>6. Alcances y límites</w:t>
      </w:r>
    </w:p>
    <w:p>
      <w:pPr>
        <w:pStyle w:val="Heading2"/>
      </w:pPr>
      <w:r>
        <w:rPr>
          <w:rFonts w:ascii="Times New Roman" w:hAnsi="Times New Roman"/>
          <w:sz w:val="24"/>
        </w:rPr>
        <w:t>6.1. Alcance funcional</w:t>
      </w:r>
    </w:p>
    <w:p>
      <w:r>
        <w:rPr>
          <w:rFonts w:ascii="Times New Roman" w:hAnsi="Times New Roman"/>
          <w:sz w:val="24"/>
        </w:rPr>
        <w:t>El alcance funcional comprende exclusivamente los siguientes tres módulos:</w:t>
      </w:r>
    </w:p>
    <w:p>
      <w:pPr>
        <w:pStyle w:val="ListParagraph"/>
        <w:numPr>
          <w:ilvl w:val="0"/>
          <w:numId w:val="12"/>
        </w:numPr>
        <w:spacing w:line="360" w:lineRule="auto" w:after="0"/>
        <w:ind w:left="454" w:hanging="283"/>
      </w:pPr>
      <w:r>
        <w:rPr>
          <w:rFonts w:ascii="Times New Roman" w:hAnsi="Times New Roman"/>
          <w:b/>
          <w:sz w:val="24"/>
        </w:rPr>
        <w:t>Recolección.</w:t>
      </w:r>
      <w:r>
        <w:rPr>
          <w:rFonts w:ascii="Times New Roman" w:hAnsi="Times New Roman"/>
          <w:sz w:val="24"/>
        </w:rPr>
        <w:t xml:space="preserve"> Registrará el origen del material vegetal recolectado por R3Foresta. Incluirá la especie, la cantidad y unidad de medida, la fecha, el responsable, la ubicación y la evidencia disponible. Permitirá identificar el lote de origen y documentar su entrega o transferencia al vivero. El módulo comenzará con el registro de la actividad de recolección y concluirá con el cierre del lote o su vinculación con el material recibido en Vivero.</w:t>
      </w:r>
    </w:p>
    <w:p>
      <w:pPr>
        <w:pStyle w:val="ListParagraph"/>
        <w:numPr>
          <w:ilvl w:val="0"/>
          <w:numId w:val="12"/>
        </w:numPr>
        <w:spacing w:line="360" w:lineRule="auto" w:after="0"/>
        <w:ind w:left="454" w:hanging="283"/>
      </w:pPr>
      <w:r>
        <w:rPr>
          <w:rFonts w:ascii="Times New Roman" w:hAnsi="Times New Roman"/>
          <w:b/>
          <w:sz w:val="24"/>
        </w:rPr>
        <w:t>Vivero.</w:t>
      </w:r>
      <w:r>
        <w:rPr>
          <w:rFonts w:ascii="Times New Roman" w:hAnsi="Times New Roman"/>
          <w:sz w:val="24"/>
        </w:rPr>
        <w:t xml:space="preserve"> Registrará la recepción y el manejo del material vegetal procedente de Recolección o adquirido o recibido de terceros. Para los ingresos externos conservará el tipo de ingreso, el proveedor u organización de procedencia, la especie, la cantidad y unidad, la fecha, el responsable y la evidencia documental disponible. Durante el manejo registrará los hechos biológicos y operativos observados, las mermas, los descartes, los cambios de cantidad, el saldo vivo y la salida o asignación hacia Plantación. El módulo concluirá con el despacho, cierre o agotamiento explicado del material.</w:t>
      </w:r>
    </w:p>
    <w:p>
      <w:pPr>
        <w:pStyle w:val="ListParagraph"/>
        <w:numPr>
          <w:ilvl w:val="0"/>
          <w:numId w:val="12"/>
        </w:numPr>
        <w:spacing w:line="360" w:lineRule="auto" w:after="0"/>
        <w:ind w:left="454" w:hanging="283"/>
      </w:pPr>
      <w:r>
        <w:rPr>
          <w:rFonts w:ascii="Times New Roman" w:hAnsi="Times New Roman"/>
          <w:b/>
          <w:sz w:val="24"/>
        </w:rPr>
        <w:t>Plantación.</w:t>
      </w:r>
      <w:r>
        <w:rPr>
          <w:rFonts w:ascii="Times New Roman" w:hAnsi="Times New Roman"/>
          <w:sz w:val="24"/>
        </w:rPr>
        <w:t xml:space="preserve"> Registrará el material procedente de Vivero y el material externo que se dirija directamente a una actividad de plantación. Relacionará la asignación con la campaña o subcampaña correspondiente y conservará la cantidad recibida, plantada, devuelta o descartada, los responsables, la fecha, la ubicación y la evidencia disponible. El módulo concluirá con el registro de la plantación y permitirá consultar la procedencia y el recorrido relacionado del material utilizado.</w:t>
      </w:r>
    </w:p>
    <w:p>
      <w:r>
        <w:rPr>
          <w:rFonts w:ascii="Times New Roman" w:hAnsi="Times New Roman"/>
          <w:sz w:val="24"/>
        </w:rPr>
        <w:t>Los tres módulos compartirán identificadores y relaciones suficientes para reconstruir el recorrido del material vegetal. El historial distinguirá los movimientos entre responsables o etapas de los cambios biológicos u operativos que modifican cantidades o unidades, y permitirá explicar los saldos a partir de los registros relacionados. La recepción externa permanecerá como variante de Vivero o Plantación y no constituirá un cuarto módulo.</w:t>
      </w:r>
    </w:p>
    <w:p>
      <w:r>
        <w:rPr>
          <w:rFonts w:ascii="Times New Roman" w:hAnsi="Times New Roman"/>
          <w:sz w:val="24"/>
        </w:rPr>
        <w:t>Como controles transversales, el producto aplicará autenticación y autorización según responsabilidades, registro de operaciones críticas, protección de credenciales, respaldo y recuperación de la información y tratamiento restringido de fotografías, coordenadas y datos personales. Las credenciales, los secretos, las coordenadas sensibles y los datos personales o institucionales no autorizados no se proporcionarán a agentes de inteligencia artificial.</w:t>
      </w:r>
    </w:p>
    <w:p>
      <w:r>
        <w:rPr>
          <w:rFonts w:ascii="Times New Roman" w:hAnsi="Times New Roman"/>
          <w:sz w:val="24"/>
        </w:rPr>
        <w:t>En conjunto, el sistema proporcionará trazabilidad estructurada y evidencia operativa de la cadena del material vegetal hasta el registro de la plantación. Estos registros podrán reutilizarse como insumo informativo en procesos posteriores, pero su suficiencia deberá determinarse fuera de este proyecto según la metodología, las mediciones y los controles exigidos por cada iniciativa ambiental o de carbono.</w:t>
      </w:r>
    </w:p>
    <w:p>
      <w:pPr>
        <w:pStyle w:val="Heading2"/>
      </w:pPr>
      <w:r>
        <w:rPr>
          <w:rFonts w:ascii="Times New Roman" w:hAnsi="Times New Roman"/>
          <w:sz w:val="24"/>
        </w:rPr>
        <w:t>6.2. Límites</w:t>
      </w:r>
    </w:p>
    <w:p>
      <w:pPr>
        <w:pStyle w:val="ListParagraph"/>
        <w:numPr>
          <w:ilvl w:val="0"/>
          <w:numId w:val="13"/>
        </w:numPr>
        <w:spacing w:line="360" w:lineRule="auto" w:after="0"/>
        <w:ind w:left="454" w:hanging="283"/>
      </w:pPr>
      <w:r>
        <w:rPr>
          <w:rFonts w:ascii="Times New Roman" w:hAnsi="Times New Roman"/>
          <w:sz w:val="24"/>
        </w:rPr>
        <w:t>El alcance temporal del material vegetal concluye con el registro de la plantación. No comprende monitoreo posterior, mantenimiento, crecimiento, reposición ni seguimiento de supervivencia.</w:t>
      </w:r>
    </w:p>
    <w:p>
      <w:pPr>
        <w:pStyle w:val="ListParagraph"/>
        <w:numPr>
          <w:ilvl w:val="0"/>
          <w:numId w:val="13"/>
        </w:numPr>
        <w:spacing w:line="360" w:lineRule="auto" w:after="0"/>
        <w:ind w:left="454" w:hanging="283"/>
      </w:pPr>
      <w:r>
        <w:rPr>
          <w:rFonts w:ascii="Times New Roman" w:hAnsi="Times New Roman"/>
          <w:sz w:val="24"/>
        </w:rPr>
        <w:t>El sistema no calcula biomasa, dióxido de carbono equivalente, adicionalidad, permanencia ni líneas base de carbono y no implementa una metodología de monitoreo, reporte y verificación.</w:t>
      </w:r>
    </w:p>
    <w:p>
      <w:pPr>
        <w:pStyle w:val="ListParagraph"/>
        <w:numPr>
          <w:ilvl w:val="0"/>
          <w:numId w:val="13"/>
        </w:numPr>
        <w:spacing w:line="360" w:lineRule="auto" w:after="0"/>
        <w:ind w:left="454" w:hanging="283"/>
      </w:pPr>
      <w:r>
        <w:rPr>
          <w:rFonts w:ascii="Times New Roman" w:hAnsi="Times New Roman"/>
          <w:sz w:val="24"/>
        </w:rPr>
        <w:t>El proyecto no certifica plantaciones y no genera, emite, certifica ni comercializa bonos o créditos de carbono.</w:t>
      </w:r>
    </w:p>
    <w:p>
      <w:pPr>
        <w:pStyle w:val="ListParagraph"/>
        <w:numPr>
          <w:ilvl w:val="0"/>
          <w:numId w:val="13"/>
        </w:numPr>
        <w:spacing w:line="360" w:lineRule="auto" w:after="0"/>
        <w:ind w:left="454" w:hanging="283"/>
      </w:pPr>
      <w:r>
        <w:rPr>
          <w:rFonts w:ascii="Times New Roman" w:hAnsi="Times New Roman"/>
          <w:sz w:val="24"/>
        </w:rPr>
        <w:t>Las fotografías, coordenadas, fechas y documentos respaldan el registro con el que se relacionan, pero no constituyen autenticación forense ni certificación independiente del hecho físico.</w:t>
      </w:r>
    </w:p>
    <w:p>
      <w:pPr>
        <w:pStyle w:val="ListParagraph"/>
        <w:numPr>
          <w:ilvl w:val="0"/>
          <w:numId w:val="13"/>
        </w:numPr>
        <w:spacing w:line="360" w:lineRule="auto" w:after="0"/>
        <w:ind w:left="454" w:hanging="283"/>
      </w:pPr>
      <w:r>
        <w:rPr>
          <w:rFonts w:ascii="Times New Roman" w:hAnsi="Times New Roman"/>
          <w:sz w:val="24"/>
        </w:rPr>
        <w:t>Blockchain, NFT, contratos inteligentes, IPFS, anclajes criptográficos y componentes equivalentes quedan fuera del aporte académico, de la verificación y de los resultados.</w:t>
      </w:r>
    </w:p>
    <w:p>
      <w:pPr>
        <w:pStyle w:val="ListParagraph"/>
        <w:numPr>
          <w:ilvl w:val="0"/>
          <w:numId w:val="13"/>
        </w:numPr>
        <w:spacing w:line="360" w:lineRule="auto" w:after="0"/>
        <w:ind w:left="454" w:hanging="283"/>
      </w:pPr>
      <w:r>
        <w:rPr>
          <w:rFonts w:ascii="Times New Roman" w:hAnsi="Times New Roman"/>
          <w:sz w:val="24"/>
        </w:rPr>
        <w:t>No se implementarán integraciones con mercados de carbono, certificadoras o plataformas externas de intercambio de créditos.</w:t>
      </w:r>
    </w:p>
    <w:p>
      <w:pPr>
        <w:pStyle w:val="ListParagraph"/>
        <w:numPr>
          <w:ilvl w:val="0"/>
          <w:numId w:val="13"/>
        </w:numPr>
        <w:spacing w:line="360" w:lineRule="auto" w:after="0"/>
        <w:ind w:left="454" w:hanging="283"/>
      </w:pPr>
      <w:r>
        <w:rPr>
          <w:rFonts w:ascii="Times New Roman" w:hAnsi="Times New Roman"/>
          <w:sz w:val="24"/>
        </w:rPr>
        <w:t>El producto se desarrollará para el caso y los procesos de R3Foresta; no incluye una operación nacional, un despliegue masivo ni la generalización automática a otras organizaciones.</w:t>
      </w:r>
    </w:p>
    <w:p>
      <w:pPr>
        <w:pStyle w:val="Heading1"/>
      </w:pPr>
      <w:r>
        <w:rPr>
          <w:rFonts w:ascii="Times New Roman" w:hAnsi="Times New Roman"/>
          <w:sz w:val="28"/>
        </w:rPr>
        <w:t>7. Marco teórico preliminar</w:t>
      </w:r>
    </w:p>
    <w:p>
      <w:pPr>
        <w:pStyle w:val="Heading2"/>
      </w:pPr>
      <w:r>
        <w:rPr>
          <w:rFonts w:ascii="Times New Roman" w:hAnsi="Times New Roman"/>
          <w:sz w:val="24"/>
        </w:rPr>
        <w:t>7.1. Sistema de información</w:t>
      </w:r>
    </w:p>
    <w:p>
      <w:r>
        <w:rPr>
          <w:rFonts w:ascii="Times New Roman" w:hAnsi="Times New Roman"/>
          <w:sz w:val="24"/>
        </w:rPr>
        <w:t>Un sistema es un conjunto de elementos interrelacionados o que interactúan entre sí (International Organization for Standardization, 2026). En este proyecto se trata específicamente de un sistema de información: una solución cuyos usuarios, módulos, datos, reglas y controles actúan de forma coordinada para capturar, procesar, almacenar y consultar el recorrido del material vegetal. Su utilidad no depende únicamente de cada módulo por separado, sino de las relaciones que permiten explicar el paso de la información entre Recolección, Vivero y Plantación.</w:t>
      </w:r>
    </w:p>
    <w:p>
      <w:pPr>
        <w:pStyle w:val="Heading2"/>
      </w:pPr>
      <w:r>
        <w:rPr>
          <w:rFonts w:ascii="Times New Roman" w:hAnsi="Times New Roman"/>
          <w:sz w:val="24"/>
        </w:rPr>
        <w:t>7.2. Trazabilidad</w:t>
      </w:r>
    </w:p>
    <w:p>
      <w:r>
        <w:rPr>
          <w:rFonts w:ascii="Times New Roman" w:hAnsi="Times New Roman"/>
          <w:sz w:val="24"/>
        </w:rPr>
        <w:t>La trazabilidad es la capacidad de acceder a información relacionada con un objeto a lo largo de su ciclo de vida o de las etapas definidas para su seguimiento (Olsen &amp; Borit, 2013). Moe (1998) diferencia la trazabilidad interna de aquella que enlaza diferentes etapas de una cadena, mientras que Dabbene et al. (2014) destacan la importancia de la identificación, la granularidad y la recuperación de las relaciones históricas. En R3Foresta, la trazabilidad abarcará desde la recolección o recepción externa hasta el registro de la plantación.</w:t>
      </w:r>
    </w:p>
    <w:p>
      <w:pPr>
        <w:pStyle w:val="Heading2"/>
      </w:pPr>
      <w:r>
        <w:rPr>
          <w:rFonts w:ascii="Times New Roman" w:hAnsi="Times New Roman"/>
          <w:sz w:val="24"/>
        </w:rPr>
        <w:t>7.3. Material vegetal</w:t>
      </w:r>
    </w:p>
    <w:p>
      <w:r>
        <w:rPr>
          <w:rFonts w:ascii="Times New Roman" w:hAnsi="Times New Roman"/>
          <w:sz w:val="24"/>
        </w:rPr>
        <w:t xml:space="preserve">La Organización de las Naciones Unidas para la Alimentación y la Agricultura incluye dentro del material reproductivo forestal las semillas, las partes de plantas y las plantas producidas a partir de ellas. Para iniciativas forestales recomienda documentar la fuente, la cantidad, los tratamientos, la distribución y los lugares donde el material se utiliza, además de conservar información del proveedor cuando es adquirido (Food and Agriculture Organization of the United Nations, s. f.). En este proyecto, </w:t>
      </w:r>
      <w:r>
        <w:rPr>
          <w:rFonts w:ascii="Times New Roman" w:hAnsi="Times New Roman"/>
          <w:i/>
          <w:sz w:val="24"/>
        </w:rPr>
        <w:t>material vegetal</w:t>
      </w:r>
      <w:r>
        <w:rPr>
          <w:rFonts w:ascii="Times New Roman" w:hAnsi="Times New Roman"/>
          <w:sz w:val="24"/>
        </w:rPr>
        <w:t xml:space="preserve"> comprende esas unidades durante el periodo definido por el alcance.</w:t>
      </w:r>
    </w:p>
    <w:p>
      <w:pPr>
        <w:pStyle w:val="Heading2"/>
      </w:pPr>
      <w:r>
        <w:rPr>
          <w:rFonts w:ascii="Times New Roman" w:hAnsi="Times New Roman"/>
          <w:sz w:val="24"/>
        </w:rPr>
        <w:t>7.4. Reforestación</w:t>
      </w:r>
    </w:p>
    <w:p>
      <w:r>
        <w:rPr>
          <w:rFonts w:ascii="Times New Roman" w:hAnsi="Times New Roman"/>
          <w:sz w:val="24"/>
        </w:rPr>
        <w:t>La reforestación corresponde al restablecimiento de bosque mediante plantación o siembra deliberada en terrenos clasificados como bosque (Food and Agriculture Organization of the United Nations, 2023). Para este proyecto, el término delimita el propósito de las actividades en las que se utiliza el material vegetal, pero no implica que el sistema mida recuperación ecológica, supervivencia o captura de carbono. El producto registra la plantación como último hecho de la cadena operativa considerada.</w:t>
      </w:r>
    </w:p>
    <w:p>
      <w:pPr>
        <w:pStyle w:val="Heading2"/>
      </w:pPr>
      <w:r>
        <w:rPr>
          <w:rFonts w:ascii="Times New Roman" w:hAnsi="Times New Roman"/>
          <w:sz w:val="24"/>
        </w:rPr>
        <w:t>7.5. Bonos de carbono</w:t>
      </w:r>
    </w:p>
    <w:p>
      <w:r>
        <w:rPr>
          <w:rFonts w:ascii="Times New Roman" w:hAnsi="Times New Roman"/>
          <w:sz w:val="24"/>
        </w:rPr>
        <w:t xml:space="preserve">En el título, la expresión </w:t>
      </w:r>
      <w:r>
        <w:rPr>
          <w:rFonts w:ascii="Times New Roman" w:hAnsi="Times New Roman"/>
          <w:i/>
          <w:sz w:val="24"/>
        </w:rPr>
        <w:t>bonos de carbono</w:t>
      </w:r>
      <w:r>
        <w:rPr>
          <w:rFonts w:ascii="Times New Roman" w:hAnsi="Times New Roman"/>
          <w:sz w:val="24"/>
        </w:rPr>
        <w:t xml:space="preserve"> se emplea como denominación usual de los créditos asociados con reducciones o remociones cuantificadas de gases de efecto invernadero. La proyección indicada es institucional, secundaria y futura. La trazabilidad del material vegetal puede aportar una base documental parcial sobre procedencia, cantidades, responsables, ubicación y registro de la plantación; sin embargo, esta información solo describe la cadena operativa cubierta por el sistema.</w:t>
      </w:r>
    </w:p>
    <w:p>
      <w:r>
        <w:rPr>
          <w:rFonts w:ascii="Times New Roman" w:hAnsi="Times New Roman"/>
          <w:sz w:val="24"/>
        </w:rPr>
        <w:t>Un proyecto de gases de efecto invernadero requiere, entre otros elementos, una línea base, la identificación de fuentes, sumideros y reservorios, el monitoreo, la cuantificación, el reporte y la gestión de la calidad de los datos (International Organization for Standardization, 2019). En el ciclo del Verified Carbon Standard también intervienen una metodología aplicable, la validación del proyecto, la medición de reducciones o remociones, la verificación independiente, la revisión y una solicitud posterior de emisión de unidades (Verra, s. f.). Por ello, la cadena de custodia y la evidencia de plantación no equivalen a monitoreo de carbono ni permiten afirmar captura, certificación o generación de créditos.</w:t>
      </w:r>
    </w:p>
    <w:p>
      <w:pPr>
        <w:pStyle w:val="Heading2"/>
      </w:pPr>
      <w:r>
        <w:rPr>
          <w:rFonts w:ascii="Times New Roman" w:hAnsi="Times New Roman"/>
          <w:sz w:val="24"/>
        </w:rPr>
        <w:t>7.6. Cadena de custodia</w:t>
      </w:r>
    </w:p>
    <w:p>
      <w:r>
        <w:rPr>
          <w:rFonts w:ascii="Times New Roman" w:hAnsi="Times New Roman"/>
          <w:sz w:val="24"/>
        </w:rPr>
        <w:t>La cadena de custodia conserva la relación entre el material, los actores responsables y los movimientos o cambios registrados durante un recorrido. ISO 22095:2020 proporciona terminología y modelos generales para representar cadenas de custodia y advierte que un sistema de este tipo no demuestra por sí solo la veracidad de las declaraciones incorporadas (International Organization for Standardization, 2020). En R3Foresta, la cadena de custodia se utilizará para relacionar la procedencia, las cantidades, los responsables, las evidencias y el destino del material vegetal, sin atribuir al sistema funciones de certificación.</w:t>
      </w:r>
    </w:p>
    <w:p>
      <w:pPr>
        <w:pStyle w:val="Heading2"/>
      </w:pPr>
      <w:r>
        <w:rPr>
          <w:rFonts w:ascii="Times New Roman" w:hAnsi="Times New Roman"/>
          <w:sz w:val="24"/>
        </w:rPr>
        <w:t>7.7. Rational Unified Process</w:t>
      </w:r>
    </w:p>
    <w:p>
      <w:r>
        <w:rPr>
          <w:rFonts w:ascii="Times New Roman" w:hAnsi="Times New Roman"/>
          <w:sz w:val="24"/>
        </w:rPr>
        <w:t>El Rational Unified Process es un proceso de desarrollo de software dirigido por casos de uso, centrado en la arquitectura e iterativo e incremental. Organiza el ciclo de vida en las fases de Inicio, Elaboración, Construcción y Transición; en ellas se ejecutan con diferente intensidad actividades de requisitos, análisis y diseño, implementación, pruebas, despliegue, gestión del proyecto y gestión de configuración y cambios. Los riesgos prioritarios orientan el contenido de las iteraciones y cada fase concluye con un hito que revisa el grado de madurez alcanzado (Kruchten, 2004; IBM, s. f.).</w:t>
      </w:r>
    </w:p>
    <w:p>
      <w:r>
        <w:rPr>
          <w:rFonts w:ascii="Times New Roman" w:hAnsi="Times New Roman"/>
          <w:sz w:val="24"/>
        </w:rPr>
        <w:t>Una iteración es un intervalo de trabajo que recorre las disciplinas pertinentes y termina en una revisión; un incremento es la versión ejecutable que resulta de la iteración. Por ello, las fases describen la evolución del proyecto completo, mientras que los módulos y sus integraciones se incorporan progresivamente como incrementos de Construcción.</w:t>
      </w:r>
    </w:p>
    <w:p>
      <w:pPr>
        <w:pStyle w:val="Heading2"/>
      </w:pPr>
      <w:r>
        <w:rPr>
          <w:rFonts w:ascii="Times New Roman" w:hAnsi="Times New Roman"/>
          <w:sz w:val="24"/>
        </w:rPr>
        <w:t>7.8. Spec-Driven Development</w:t>
      </w:r>
    </w:p>
    <w:p>
      <w:r>
        <w:rPr>
          <w:rFonts w:ascii="Times New Roman" w:hAnsi="Times New Roman"/>
          <w:sz w:val="24"/>
        </w:rPr>
        <w:t>Spec-Driven Development, o desarrollo guiado por especificaciones, utiliza la especificación como fuente principal para definir el comportamiento que debe implementarse. No se adopta como estándar ni como una segunda metodología de ciclo de vida, sino como una práctica operativa dentro de RUP. El proyecto utilizará un protocolo propio basado en el flujo central de GitHub Spec Kit —especificar, planificar, descomponer en tareas e implementar— sin declarar adopción completa de la herramienta (GitHub, 2026).</w:t>
      </w:r>
    </w:p>
    <w:p>
      <w:r>
        <w:rPr>
          <w:rFonts w:ascii="Times New Roman" w:hAnsi="Times New Roman"/>
          <w:sz w:val="24"/>
        </w:rPr>
        <w:t>La especificación deberá expresar escenarios, reglas, datos, casos límite y criterios de aceptación antes de implementar una capacidad. Cuando cambie un comportamiento aprobado, se actualizarán la especificación y los productos afectados —plan, tareas y pruebas— y se conservará el historial de la decisión. Los artefactos SDD cubrirán el detalle de requisitos, diseño y planificación de capacidades, pero no sustituirán la visión, la arquitectura, los riesgos, los hitos ni el despliegue de RUP.</w:t>
      </w:r>
    </w:p>
    <w:p>
      <w:pPr>
        <w:pStyle w:val="Heading2"/>
      </w:pPr>
      <w:r>
        <w:rPr>
          <w:rFonts w:ascii="Times New Roman" w:hAnsi="Times New Roman"/>
          <w:sz w:val="24"/>
        </w:rPr>
        <w:t>7.9. Desarrollo de software asistido por inteligencia artificial</w:t>
      </w:r>
    </w:p>
    <w:p>
      <w:r>
        <w:rPr>
          <w:rFonts w:ascii="Times New Roman" w:hAnsi="Times New Roman"/>
          <w:sz w:val="24"/>
        </w:rPr>
        <w:t xml:space="preserve">La asistencia de inteligencia artificial permite apoyar tareas de análisis, diseño, generación y revisión de código, pruebas y documentación. No sustituye la aprobación de requisitos, las decisiones del dominio, la revisión del código, la validación de resultados ni la responsabilidad autoral. SDD no posee una definición normativa única; el referente adoptado, GitHub Spec Kit, sí utiliza agentes de IA de manera explícita. El proyecto conserva la expresión </w:t>
      </w:r>
      <w:r>
        <w:rPr>
          <w:rFonts w:ascii="Times New Roman" w:hAnsi="Times New Roman"/>
          <w:i/>
          <w:sz w:val="24"/>
        </w:rPr>
        <w:t>asistido por inteligencia artificial</w:t>
      </w:r>
      <w:r>
        <w:rPr>
          <w:rFonts w:ascii="Times New Roman" w:hAnsi="Times New Roman"/>
          <w:sz w:val="24"/>
        </w:rPr>
        <w:t xml:space="preserve"> para declarar esa variante y exigir que sus cambios se sometan a control humano (GitHub, 2026).</w:t>
      </w:r>
    </w:p>
    <w:p>
      <w:r>
        <w:rPr>
          <w:rFonts w:ascii="Times New Roman" w:hAnsi="Times New Roman"/>
          <w:sz w:val="24"/>
        </w:rPr>
        <w:t>La supervisión requiere diferenciar las funciones humanas de las herramientas, revisar las salidas y documentar las decisiones que influyan materialmente en el producto, en consonancia con la recomendación de definir responsabilidades en las configuraciones humano–IA (Tabassi, 2023). El registro mínimo identificará fecha, herramienta y modelo o versión disponible, tarea apoyada, artefacto afectado, salida adoptada, modificada o rechazada, revisión humana, prueba ejecutada y referencia al cambio o evidencia.</w:t>
      </w:r>
    </w:p>
    <w:p>
      <w:pPr>
        <w:pStyle w:val="Heading1"/>
      </w:pPr>
      <w:r>
        <w:rPr>
          <w:rFonts w:ascii="Times New Roman" w:hAnsi="Times New Roman"/>
          <w:sz w:val="28"/>
        </w:rPr>
        <w:t>8. Metodología de desarrollo</w:t>
      </w:r>
    </w:p>
    <w:p>
      <w:pPr>
        <w:pStyle w:val="Heading2"/>
      </w:pPr>
      <w:r>
        <w:rPr>
          <w:rFonts w:ascii="Times New Roman" w:hAnsi="Times New Roman"/>
          <w:sz w:val="24"/>
        </w:rPr>
        <w:t>8.1. RUP adaptado</w:t>
      </w:r>
    </w:p>
    <w:p>
      <w:r>
        <w:rPr>
          <w:rFonts w:ascii="Times New Roman" w:hAnsi="Times New Roman"/>
          <w:sz w:val="24"/>
        </w:rPr>
        <w:t xml:space="preserve">El desarrollo utilizará el </w:t>
      </w:r>
      <w:r>
        <w:rPr>
          <w:rFonts w:ascii="Times New Roman" w:hAnsi="Times New Roman"/>
          <w:b/>
          <w:sz w:val="24"/>
        </w:rPr>
        <w:t>Rational Unified Process (RUP) adaptado</w:t>
      </w:r>
      <w:r>
        <w:rPr>
          <w:rFonts w:ascii="Times New Roman" w:hAnsi="Times New Roman"/>
          <w:sz w:val="24"/>
        </w:rPr>
        <w:t xml:space="preserve">, complementado con </w:t>
      </w:r>
      <w:r>
        <w:rPr>
          <w:rFonts w:ascii="Times New Roman" w:hAnsi="Times New Roman"/>
          <w:b/>
          <w:sz w:val="24"/>
        </w:rPr>
        <w:t>Spec-Driven Development asistido por inteligencia artificial</w:t>
      </w:r>
      <w:r>
        <w:rPr>
          <w:rFonts w:ascii="Times New Roman" w:hAnsi="Times New Roman"/>
          <w:sz w:val="24"/>
        </w:rPr>
        <w:t>. RUP constituye el proceso rector y ya es iterativo e incremental por naturaleza; SDD define el flujo concreto para transformar especificaciones en planes, tareas, código y pruebas; y la IA funciona como herramienta de apoyo bajo revisión humana.</w:t>
      </w:r>
    </w:p>
    <w:p>
      <w:r>
        <w:rPr>
          <w:rFonts w:ascii="Times New Roman" w:hAnsi="Times New Roman"/>
          <w:sz w:val="24"/>
        </w:rPr>
        <w:t>RUP se selecciona por su ajuste a los criterios del proyecto: orientación temprana a riesgos, arquitectura compartida, requisitos trazables, integración progresiva, productos verificables e hitos de decisión dentro de un ciclo de vida completo. Estos criterios son pertinentes para controlar identidad, procedencia, cantidades, saldos, transferencias y transformaciones entre tres módulos dependientes. Scrum deja abiertas las prácticas técnicas y los artefactos; un ciclo secuencial de una sola pasada ofrece menos oportunidades de revisar tempranamente las integraciones; ISO/IEC 29110 aporta lineamientos de gestión e implementación para un solo equipo pequeño, pero adoptarla como proceso rector exigiría delimitar el perfil y el grado de conformidad pretendido; y OpenUP o AUP ofrecerían una estructura más ligera. RUP no se considera universalmente superior: se adopta porque permite conservar explícitamente arquitectura, riesgos, iteraciones, integración, pruebas y evidencia académica, simplificando los roles y documentos que no aporten a una ejecución individual (IBM, s. f.; International Organization for Standardization, 2025; Kruchten, 2004; Schwaber &amp; Sutherland, 2020).</w:t>
      </w:r>
    </w:p>
    <w:p>
      <w:pPr>
        <w:pStyle w:val="Heading2"/>
      </w:pPr>
      <w:r>
        <w:rPr>
          <w:rFonts w:ascii="Times New Roman" w:hAnsi="Times New Roman"/>
          <w:sz w:val="24"/>
        </w:rPr>
        <w:t>8.2. Aplicación al proyecto</w:t>
      </w:r>
    </w:p>
    <w:p>
      <w:pPr>
        <w:pStyle w:val="Caption"/>
      </w:pPr>
      <w:r>
        <w:rPr>
          <w:rFonts w:ascii="Times New Roman" w:hAnsi="Times New Roman"/>
          <w:sz w:val="22"/>
        </w:rPr>
        <w:t>Tabla 1</w:t>
      </w:r>
    </w:p>
    <w:p>
      <w:pPr>
        <w:keepNext/>
        <w:spacing w:after="80"/>
        <w:ind w:firstLine="0"/>
        <w:jc w:val="left"/>
      </w:pPr>
      <w:r>
        <w:rPr>
          <w:rFonts w:ascii="Times New Roman" w:hAnsi="Times New Roman"/>
          <w:i/>
          <w:sz w:val="24"/>
        </w:rPr>
        <w:t>Aplicación de RUP adaptado</w:t>
      </w:r>
    </w:p>
    <w:tbl>
      <w:tblPr>
        <w:tblW w:type="dxa" w:w="8270"/>
        <w:jc w:val="center"/>
        <w:tblLayout w:type="fixed"/>
        <w:tblLook w:firstColumn="1" w:firstRow="1" w:lastColumn="0" w:lastRow="0" w:noHBand="0" w:noVBand="1" w:val="04A0"/>
        <w:tblBorders>
          <w:top w:val="single" w:sz="4" w:color="94A3B8"/>
          <w:left w:val="single" w:sz="4" w:color="94A3B8"/>
          <w:bottom w:val="single" w:sz="4" w:color="94A3B8"/>
          <w:right w:val="single" w:sz="4" w:color="94A3B8"/>
          <w:insideH w:val="single" w:sz="4" w:color="94A3B8"/>
          <w:insideV w:val="single" w:sz="4" w:color="94A3B8"/>
        </w:tblBorders>
      </w:tblPr>
      <w:tblGrid>
        <w:gridCol w:w="1450"/>
        <w:gridCol w:w="1100"/>
        <w:gridCol w:w="3000"/>
        <w:gridCol w:w="2720"/>
      </w:tblGrid>
      <w:tr>
        <w:trPr>
          <w:tblHeader w:val="true"/>
        </w:trPr>
        <w:tc>
          <w:tcPr>
            <w:tcW w:type="dxa" w:w="1450"/>
            <w:vAlign w:val="center"/>
            <w:tcMar>
              <w:top w:w="100" w:type="dxa"/>
              <w:start w:w="110" w:type="dxa"/>
              <w:bottom w:w="100" w:type="dxa"/>
              <w:end w:w="110" w:type="dxa"/>
            </w:tcMar>
            <w:shd w:fill="DCE6F1"/>
          </w:tcPr>
          <w:p>
            <w:pPr>
              <w:spacing w:after="0" w:line="240" w:lineRule="auto"/>
              <w:ind w:firstLine="0" w:left="0" w:right="0"/>
              <w:jc w:val="left"/>
            </w:pPr>
            <w:r>
              <w:rPr>
                <w:rFonts w:ascii="Times New Roman" w:hAnsi="Times New Roman"/>
                <w:b/>
                <w:sz w:val="18"/>
              </w:rPr>
              <w:t>Fase</w:t>
            </w:r>
          </w:p>
        </w:tc>
        <w:tc>
          <w:tcPr>
            <w:tcW w:type="dxa" w:w="1100"/>
            <w:vAlign w:val="center"/>
            <w:tcMar>
              <w:top w:w="100" w:type="dxa"/>
              <w:start w:w="110" w:type="dxa"/>
              <w:bottom w:w="100" w:type="dxa"/>
              <w:end w:w="110" w:type="dxa"/>
            </w:tcMar>
            <w:shd w:fill="DCE6F1"/>
          </w:tcPr>
          <w:p>
            <w:pPr>
              <w:spacing w:after="0" w:line="240" w:lineRule="auto"/>
              <w:ind w:firstLine="0" w:left="0" w:right="0"/>
              <w:jc w:val="left"/>
            </w:pPr>
            <w:r>
              <w:rPr>
                <w:rFonts w:ascii="Times New Roman" w:hAnsi="Times New Roman"/>
                <w:b/>
                <w:sz w:val="18"/>
              </w:rPr>
              <w:t>Iteración</w:t>
            </w:r>
          </w:p>
        </w:tc>
        <w:tc>
          <w:tcPr>
            <w:tcW w:type="dxa" w:w="3000"/>
            <w:vAlign w:val="center"/>
            <w:tcMar>
              <w:top w:w="100" w:type="dxa"/>
              <w:start w:w="110" w:type="dxa"/>
              <w:bottom w:w="100" w:type="dxa"/>
              <w:end w:w="110" w:type="dxa"/>
            </w:tcMar>
            <w:shd w:fill="DCE6F1"/>
          </w:tcPr>
          <w:p>
            <w:pPr>
              <w:spacing w:after="0" w:line="240" w:lineRule="auto"/>
              <w:ind w:firstLine="0" w:left="0" w:right="0"/>
              <w:jc w:val="left"/>
            </w:pPr>
            <w:r>
              <w:rPr>
                <w:rFonts w:ascii="Times New Roman" w:hAnsi="Times New Roman"/>
                <w:b/>
                <w:sz w:val="18"/>
              </w:rPr>
              <w:t>Actividades principales</w:t>
            </w:r>
          </w:p>
        </w:tc>
        <w:tc>
          <w:tcPr>
            <w:tcW w:type="dxa" w:w="2720"/>
            <w:vAlign w:val="center"/>
            <w:tcMar>
              <w:top w:w="100" w:type="dxa"/>
              <w:start w:w="110" w:type="dxa"/>
              <w:bottom w:w="100" w:type="dxa"/>
              <w:end w:w="110" w:type="dxa"/>
            </w:tcMar>
            <w:shd w:fill="DCE6F1"/>
          </w:tcPr>
          <w:p>
            <w:pPr>
              <w:spacing w:after="0" w:line="240" w:lineRule="auto"/>
              <w:ind w:firstLine="0" w:left="0" w:right="0"/>
              <w:jc w:val="left"/>
            </w:pPr>
            <w:r>
              <w:rPr>
                <w:rFonts w:ascii="Times New Roman" w:hAnsi="Times New Roman"/>
                <w:b/>
                <w:sz w:val="18"/>
              </w:rPr>
              <w:t>Productos e hito de cierre</w:t>
            </w:r>
          </w:p>
        </w:tc>
      </w:tr>
      <w:tr>
        <w:tc>
          <w:tcPr>
            <w:tcW w:type="dxa" w:w="1450"/>
            <w:vAlign w:val="center"/>
            <w:tcMar>
              <w:top w:w="100" w:type="dxa"/>
              <w:start w:w="110" w:type="dxa"/>
              <w:bottom w:w="100" w:type="dxa"/>
              <w:end w:w="110" w:type="dxa"/>
            </w:tcMar>
          </w:tcPr>
          <w:p>
            <w:pPr>
              <w:spacing w:after="0" w:line="240" w:lineRule="auto"/>
              <w:ind w:firstLine="0" w:left="0" w:right="0"/>
              <w:jc w:val="left"/>
            </w:pPr>
            <w:r>
              <w:rPr>
                <w:rFonts w:ascii="Times New Roman" w:hAnsi="Times New Roman"/>
                <w:sz w:val="18"/>
              </w:rPr>
              <w:t>Inicio</w:t>
            </w:r>
          </w:p>
        </w:tc>
        <w:tc>
          <w:tcPr>
            <w:tcW w:type="dxa" w:w="1100"/>
            <w:vAlign w:val="center"/>
            <w:tcMar>
              <w:top w:w="100" w:type="dxa"/>
              <w:start w:w="110" w:type="dxa"/>
              <w:bottom w:w="100" w:type="dxa"/>
              <w:end w:w="110" w:type="dxa"/>
            </w:tcMar>
          </w:tcPr>
          <w:p>
            <w:pPr>
              <w:spacing w:after="0" w:line="240" w:lineRule="auto"/>
              <w:ind w:firstLine="0" w:left="0" w:right="0"/>
              <w:jc w:val="left"/>
            </w:pPr>
            <w:r>
              <w:rPr>
                <w:rFonts w:ascii="Times New Roman" w:hAnsi="Times New Roman"/>
                <w:sz w:val="18"/>
              </w:rPr>
              <w:t>IN-1</w:t>
            </w:r>
          </w:p>
        </w:tc>
        <w:tc>
          <w:tcPr>
            <w:tcW w:type="dxa" w:w="3000"/>
            <w:vAlign w:val="center"/>
            <w:tcMar>
              <w:top w:w="100" w:type="dxa"/>
              <w:start w:w="110" w:type="dxa"/>
              <w:bottom w:w="100" w:type="dxa"/>
              <w:end w:w="110" w:type="dxa"/>
            </w:tcMar>
          </w:tcPr>
          <w:p>
            <w:pPr>
              <w:spacing w:after="0" w:line="240" w:lineRule="auto"/>
              <w:ind w:firstLine="0" w:left="0" w:right="0"/>
              <w:jc w:val="left"/>
            </w:pPr>
            <w:r>
              <w:rPr>
                <w:rFonts w:ascii="Times New Roman" w:hAnsi="Times New Roman"/>
                <w:sz w:val="18"/>
              </w:rPr>
              <w:t>Delimitar el problema, los actores, los tres módulos, los ingresos externos, los requisitos iniciales, los riesgos y la referencia académica</w:t>
            </w:r>
          </w:p>
        </w:tc>
        <w:tc>
          <w:tcPr>
            <w:tcW w:type="dxa" w:w="2720"/>
            <w:vAlign w:val="center"/>
            <w:tcMar>
              <w:top w:w="100" w:type="dxa"/>
              <w:start w:w="110" w:type="dxa"/>
              <w:bottom w:w="100" w:type="dxa"/>
              <w:end w:w="110" w:type="dxa"/>
            </w:tcMar>
          </w:tcPr>
          <w:p>
            <w:pPr>
              <w:spacing w:after="0" w:line="240" w:lineRule="auto"/>
              <w:ind w:firstLine="0" w:left="0" w:right="0"/>
              <w:jc w:val="left"/>
            </w:pPr>
            <w:r>
              <w:rPr>
                <w:rFonts w:ascii="Times New Roman" w:hAnsi="Times New Roman"/>
                <w:sz w:val="18"/>
              </w:rPr>
              <w:t>Visión, alcance, glosario, casos de uso iniciales, plan y revisión del hito LCO</w:t>
            </w:r>
          </w:p>
        </w:tc>
      </w:tr>
      <w:tr>
        <w:tc>
          <w:tcPr>
            <w:tcW w:type="dxa" w:w="1450"/>
            <w:vAlign w:val="center"/>
            <w:tcMar>
              <w:top w:w="100" w:type="dxa"/>
              <w:start w:w="110" w:type="dxa"/>
              <w:bottom w:w="100" w:type="dxa"/>
              <w:end w:w="110" w:type="dxa"/>
            </w:tcMar>
            <w:shd w:fill="F8FAFC"/>
          </w:tcPr>
          <w:p>
            <w:pPr>
              <w:spacing w:after="0" w:line="240" w:lineRule="auto"/>
              <w:ind w:firstLine="0" w:left="0" w:right="0"/>
              <w:jc w:val="left"/>
            </w:pPr>
            <w:r>
              <w:rPr>
                <w:rFonts w:ascii="Times New Roman" w:hAnsi="Times New Roman"/>
                <w:sz w:val="18"/>
              </w:rPr>
              <w:t>Elaboración</w:t>
            </w:r>
          </w:p>
        </w:tc>
        <w:tc>
          <w:tcPr>
            <w:tcW w:type="dxa" w:w="1100"/>
            <w:vAlign w:val="center"/>
            <w:tcMar>
              <w:top w:w="100" w:type="dxa"/>
              <w:start w:w="110" w:type="dxa"/>
              <w:bottom w:w="100" w:type="dxa"/>
              <w:end w:w="110" w:type="dxa"/>
            </w:tcMar>
            <w:shd w:fill="F8FAFC"/>
          </w:tcPr>
          <w:p>
            <w:pPr>
              <w:spacing w:after="0" w:line="240" w:lineRule="auto"/>
              <w:ind w:firstLine="0" w:left="0" w:right="0"/>
              <w:jc w:val="left"/>
            </w:pPr>
            <w:r>
              <w:rPr>
                <w:rFonts w:ascii="Times New Roman" w:hAnsi="Times New Roman"/>
                <w:sz w:val="18"/>
              </w:rPr>
              <w:t>EL-1</w:t>
            </w:r>
          </w:p>
        </w:tc>
        <w:tc>
          <w:tcPr>
            <w:tcW w:type="dxa" w:w="3000"/>
            <w:vAlign w:val="center"/>
            <w:tcMar>
              <w:top w:w="100" w:type="dxa"/>
              <w:start w:w="110" w:type="dxa"/>
              <w:bottom w:w="100" w:type="dxa"/>
              <w:end w:w="110" w:type="dxa"/>
            </w:tcMar>
            <w:shd w:fill="F8FAFC"/>
          </w:tcPr>
          <w:p>
            <w:pPr>
              <w:spacing w:after="0" w:line="240" w:lineRule="auto"/>
              <w:ind w:firstLine="0" w:left="0" w:right="0"/>
              <w:jc w:val="left"/>
            </w:pPr>
            <w:r>
              <w:rPr>
                <w:rFonts w:ascii="Times New Roman" w:hAnsi="Times New Roman"/>
                <w:sz w:val="18"/>
              </w:rPr>
              <w:t>Detallar reglas críticas; diseñar el modelo de trazabilidad, la arquitectura, los datos y los contratos entre módulos; comprobar una línea vertical arquitectónica mínima M1→M2→M3 y los riesgos técnicos principales</w:t>
            </w:r>
          </w:p>
        </w:tc>
        <w:tc>
          <w:tcPr>
            <w:tcW w:type="dxa" w:w="2720"/>
            <w:vAlign w:val="center"/>
            <w:tcMar>
              <w:top w:w="100" w:type="dxa"/>
              <w:start w:w="110" w:type="dxa"/>
              <w:bottom w:w="100" w:type="dxa"/>
              <w:end w:w="110" w:type="dxa"/>
            </w:tcMar>
            <w:shd w:fill="F8FAFC"/>
          </w:tcPr>
          <w:p>
            <w:pPr>
              <w:spacing w:after="0" w:line="240" w:lineRule="auto"/>
              <w:ind w:firstLine="0" w:left="0" w:right="0"/>
              <w:jc w:val="left"/>
            </w:pPr>
            <w:r>
              <w:rPr>
                <w:rFonts w:ascii="Times New Roman" w:hAnsi="Times New Roman"/>
                <w:sz w:val="18"/>
              </w:rPr>
              <w:t>Arquitectura base ejecutable, modelo de dominio y datos, especificaciones priorizadas y revisión del hito LCA</w:t>
            </w:r>
          </w:p>
        </w:tc>
      </w:tr>
      <w:tr>
        <w:tc>
          <w:tcPr>
            <w:tcW w:type="dxa" w:w="1450"/>
            <w:vAlign w:val="center"/>
            <w:tcMar>
              <w:top w:w="100" w:type="dxa"/>
              <w:start w:w="110" w:type="dxa"/>
              <w:bottom w:w="100" w:type="dxa"/>
              <w:end w:w="110" w:type="dxa"/>
            </w:tcMar>
          </w:tcPr>
          <w:p>
            <w:pPr>
              <w:spacing w:after="0" w:line="240" w:lineRule="auto"/>
              <w:ind w:firstLine="0" w:left="0" w:right="0"/>
              <w:jc w:val="left"/>
            </w:pPr>
            <w:r>
              <w:rPr>
                <w:rFonts w:ascii="Times New Roman" w:hAnsi="Times New Roman"/>
                <w:sz w:val="18"/>
              </w:rPr>
              <w:t>Construcción</w:t>
            </w:r>
          </w:p>
        </w:tc>
        <w:tc>
          <w:tcPr>
            <w:tcW w:type="dxa" w:w="1100"/>
            <w:vAlign w:val="center"/>
            <w:tcMar>
              <w:top w:w="100" w:type="dxa"/>
              <w:start w:w="110" w:type="dxa"/>
              <w:bottom w:w="100" w:type="dxa"/>
              <w:end w:w="110" w:type="dxa"/>
            </w:tcMar>
          </w:tcPr>
          <w:p>
            <w:pPr>
              <w:spacing w:after="0" w:line="240" w:lineRule="auto"/>
              <w:ind w:firstLine="0" w:left="0" w:right="0"/>
              <w:jc w:val="left"/>
            </w:pPr>
            <w:r>
              <w:rPr>
                <w:rFonts w:ascii="Times New Roman" w:hAnsi="Times New Roman"/>
                <w:sz w:val="18"/>
              </w:rPr>
              <w:t>CO-1 a CO-4</w:t>
            </w:r>
          </w:p>
        </w:tc>
        <w:tc>
          <w:tcPr>
            <w:tcW w:type="dxa" w:w="3000"/>
            <w:vAlign w:val="center"/>
            <w:tcMar>
              <w:top w:w="100" w:type="dxa"/>
              <w:start w:w="110" w:type="dxa"/>
              <w:bottom w:w="100" w:type="dxa"/>
              <w:end w:w="110" w:type="dxa"/>
            </w:tcMar>
          </w:tcPr>
          <w:p>
            <w:pPr>
              <w:spacing w:after="0" w:line="240" w:lineRule="auto"/>
              <w:ind w:firstLine="0" w:left="0" w:right="0"/>
              <w:jc w:val="left"/>
            </w:pPr>
            <w:r>
              <w:rPr>
                <w:rFonts w:ascii="Times New Roman" w:hAnsi="Times New Roman"/>
                <w:sz w:val="18"/>
              </w:rPr>
              <w:t>Desarrollar M1 Recolección; agregar M2 Vivero e integrar M1→M2; agregar M3 Plantación e integrar M2→M3; completar la trazabilidad transversal y las pruebas</w:t>
            </w:r>
          </w:p>
        </w:tc>
        <w:tc>
          <w:tcPr>
            <w:tcW w:type="dxa" w:w="2720"/>
            <w:vAlign w:val="center"/>
            <w:tcMar>
              <w:top w:w="100" w:type="dxa"/>
              <w:start w:w="110" w:type="dxa"/>
              <w:bottom w:w="100" w:type="dxa"/>
              <w:end w:w="110" w:type="dxa"/>
            </w:tcMar>
          </w:tcPr>
          <w:p>
            <w:pPr>
              <w:spacing w:after="0" w:line="240" w:lineRule="auto"/>
              <w:ind w:firstLine="0" w:left="0" w:right="0"/>
              <w:jc w:val="left"/>
            </w:pPr>
            <w:r>
              <w:rPr>
                <w:rFonts w:ascii="Times New Roman" w:hAnsi="Times New Roman"/>
                <w:sz w:val="18"/>
              </w:rPr>
              <w:t>Cuatro incrementos ejecutables, migraciones, pruebas, evidencia de integración, versión candidata e hito IOC</w:t>
            </w:r>
          </w:p>
        </w:tc>
      </w:tr>
      <w:tr>
        <w:tc>
          <w:tcPr>
            <w:tcW w:type="dxa" w:w="1450"/>
            <w:vAlign w:val="center"/>
            <w:tcMar>
              <w:top w:w="100" w:type="dxa"/>
              <w:start w:w="110" w:type="dxa"/>
              <w:bottom w:w="100" w:type="dxa"/>
              <w:end w:w="110" w:type="dxa"/>
            </w:tcMar>
            <w:shd w:fill="F8FAFC"/>
          </w:tcPr>
          <w:p>
            <w:pPr>
              <w:spacing w:after="0" w:line="240" w:lineRule="auto"/>
              <w:ind w:firstLine="0" w:left="0" w:right="0"/>
              <w:jc w:val="left"/>
            </w:pPr>
            <w:r>
              <w:rPr>
                <w:rFonts w:ascii="Times New Roman" w:hAnsi="Times New Roman"/>
                <w:sz w:val="18"/>
              </w:rPr>
              <w:t>Transición</w:t>
            </w:r>
          </w:p>
        </w:tc>
        <w:tc>
          <w:tcPr>
            <w:tcW w:type="dxa" w:w="1100"/>
            <w:vAlign w:val="center"/>
            <w:tcMar>
              <w:top w:w="100" w:type="dxa"/>
              <w:start w:w="110" w:type="dxa"/>
              <w:bottom w:w="100" w:type="dxa"/>
              <w:end w:w="110" w:type="dxa"/>
            </w:tcMar>
            <w:shd w:fill="F8FAFC"/>
          </w:tcPr>
          <w:p>
            <w:pPr>
              <w:spacing w:after="0" w:line="240" w:lineRule="auto"/>
              <w:ind w:firstLine="0" w:left="0" w:right="0"/>
              <w:jc w:val="left"/>
            </w:pPr>
            <w:r>
              <w:rPr>
                <w:rFonts w:ascii="Times New Roman" w:hAnsi="Times New Roman"/>
                <w:sz w:val="18"/>
              </w:rPr>
              <w:t>TR-1</w:t>
            </w:r>
          </w:p>
        </w:tc>
        <w:tc>
          <w:tcPr>
            <w:tcW w:type="dxa" w:w="3000"/>
            <w:vAlign w:val="center"/>
            <w:tcMar>
              <w:top w:w="100" w:type="dxa"/>
              <w:start w:w="110" w:type="dxa"/>
              <w:bottom w:w="100" w:type="dxa"/>
              <w:end w:w="110" w:type="dxa"/>
            </w:tcMar>
            <w:shd w:fill="F8FAFC"/>
          </w:tcPr>
          <w:p>
            <w:pPr>
              <w:spacing w:after="0" w:line="240" w:lineRule="auto"/>
              <w:ind w:firstLine="0" w:left="0" w:right="0"/>
              <w:jc w:val="left"/>
            </w:pPr>
            <w:r>
              <w:rPr>
                <w:rFonts w:ascii="Times New Roman" w:hAnsi="Times New Roman"/>
                <w:sz w:val="18"/>
              </w:rPr>
              <w:t>Ejecutar pruebas del sistema, escenarios de validación, correcciones, despliegue, manuales, aceptación y cierre</w:t>
            </w:r>
          </w:p>
        </w:tc>
        <w:tc>
          <w:tcPr>
            <w:tcW w:type="dxa" w:w="2720"/>
            <w:vAlign w:val="center"/>
            <w:tcMar>
              <w:top w:w="100" w:type="dxa"/>
              <w:start w:w="110" w:type="dxa"/>
              <w:bottom w:w="100" w:type="dxa"/>
              <w:end w:w="110" w:type="dxa"/>
            </w:tcMar>
            <w:shd w:fill="F8FAFC"/>
          </w:tcPr>
          <w:p>
            <w:pPr>
              <w:spacing w:after="0" w:line="240" w:lineRule="auto"/>
              <w:ind w:firstLine="0" w:left="0" w:right="0"/>
              <w:jc w:val="left"/>
            </w:pPr>
            <w:r>
              <w:rPr>
                <w:rFonts w:ascii="Times New Roman" w:hAnsi="Times New Roman"/>
                <w:sz w:val="18"/>
              </w:rPr>
              <w:t>Versión final, informe de resultados, registro de aceptación e hito PR</w:t>
            </w:r>
          </w:p>
        </w:tc>
      </w:tr>
    </w:tbl>
    <w:p>
      <w:pPr>
        <w:spacing w:after="0"/>
      </w:pPr>
    </w:p>
    <w:p>
      <w:r>
        <w:rPr>
          <w:rFonts w:ascii="Times New Roman" w:hAnsi="Times New Roman"/>
          <w:sz w:val="24"/>
        </w:rPr>
        <w:t>En cada fase se aplicarán, según corresponda, las disciplinas de requisitos, análisis y diseño, implementación, pruebas, despliegue, gestión del proyecto y gestión de configuración y cambios.</w:t>
      </w:r>
    </w:p>
    <w:p>
      <w:r>
        <w:rPr>
          <w:rFonts w:ascii="Times New Roman" w:hAnsi="Times New Roman"/>
          <w:sz w:val="24"/>
        </w:rPr>
        <w:t xml:space="preserve">Los hitos de cierre serán </w:t>
      </w:r>
      <w:r>
        <w:rPr>
          <w:rFonts w:ascii="Times New Roman" w:hAnsi="Times New Roman"/>
          <w:b/>
          <w:sz w:val="24"/>
        </w:rPr>
        <w:t>LCO</w:t>
      </w:r>
      <w:r>
        <w:rPr>
          <w:rFonts w:ascii="Times New Roman" w:hAnsi="Times New Roman"/>
          <w:sz w:val="24"/>
        </w:rPr>
        <w:t xml:space="preserve"> (</w:t>
      </w:r>
      <w:r>
        <w:rPr>
          <w:rFonts w:ascii="Times New Roman" w:hAnsi="Times New Roman"/>
          <w:i/>
          <w:sz w:val="24"/>
        </w:rPr>
        <w:t>Lifecycle Objectives</w:t>
      </w:r>
      <w:r>
        <w:rPr>
          <w:rFonts w:ascii="Times New Roman" w:hAnsi="Times New Roman"/>
          <w:sz w:val="24"/>
        </w:rPr>
        <w:t xml:space="preserve">, objetivos del ciclo de vida), </w:t>
      </w:r>
      <w:r>
        <w:rPr>
          <w:rFonts w:ascii="Times New Roman" w:hAnsi="Times New Roman"/>
          <w:b/>
          <w:sz w:val="24"/>
        </w:rPr>
        <w:t>LCA</w:t>
      </w:r>
      <w:r>
        <w:rPr>
          <w:rFonts w:ascii="Times New Roman" w:hAnsi="Times New Roman"/>
          <w:sz w:val="24"/>
        </w:rPr>
        <w:t xml:space="preserve"> (</w:t>
      </w:r>
      <w:r>
        <w:rPr>
          <w:rFonts w:ascii="Times New Roman" w:hAnsi="Times New Roman"/>
          <w:i/>
          <w:sz w:val="24"/>
        </w:rPr>
        <w:t>Lifecycle Architecture</w:t>
      </w:r>
      <w:r>
        <w:rPr>
          <w:rFonts w:ascii="Times New Roman" w:hAnsi="Times New Roman"/>
          <w:sz w:val="24"/>
        </w:rPr>
        <w:t xml:space="preserve">, arquitectura del ciclo de vida), </w:t>
      </w:r>
      <w:r>
        <w:rPr>
          <w:rFonts w:ascii="Times New Roman" w:hAnsi="Times New Roman"/>
          <w:b/>
          <w:sz w:val="24"/>
        </w:rPr>
        <w:t>IOC</w:t>
      </w:r>
      <w:r>
        <w:rPr>
          <w:rFonts w:ascii="Times New Roman" w:hAnsi="Times New Roman"/>
          <w:sz w:val="24"/>
        </w:rPr>
        <w:t xml:space="preserve"> (</w:t>
      </w:r>
      <w:r>
        <w:rPr>
          <w:rFonts w:ascii="Times New Roman" w:hAnsi="Times New Roman"/>
          <w:i/>
          <w:sz w:val="24"/>
        </w:rPr>
        <w:t>Initial Operational Capability</w:t>
      </w:r>
      <w:r>
        <w:rPr>
          <w:rFonts w:ascii="Times New Roman" w:hAnsi="Times New Roman"/>
          <w:sz w:val="24"/>
        </w:rPr>
        <w:t xml:space="preserve">, capacidad operativa inicial) y </w:t>
      </w:r>
      <w:r>
        <w:rPr>
          <w:rFonts w:ascii="Times New Roman" w:hAnsi="Times New Roman"/>
          <w:b/>
          <w:sz w:val="24"/>
        </w:rPr>
        <w:t>PR</w:t>
      </w:r>
      <w:r>
        <w:rPr>
          <w:rFonts w:ascii="Times New Roman" w:hAnsi="Times New Roman"/>
          <w:sz w:val="24"/>
        </w:rPr>
        <w:t xml:space="preserve"> (</w:t>
      </w:r>
      <w:r>
        <w:rPr>
          <w:rFonts w:ascii="Times New Roman" w:hAnsi="Times New Roman"/>
          <w:i/>
          <w:sz w:val="24"/>
        </w:rPr>
        <w:t>Product Release</w:t>
      </w:r>
      <w:r>
        <w:rPr>
          <w:rFonts w:ascii="Times New Roman" w:hAnsi="Times New Roman"/>
          <w:sz w:val="24"/>
        </w:rPr>
        <w:t>, liberación del producto).</w:t>
      </w:r>
    </w:p>
    <w:p>
      <w:pPr>
        <w:pStyle w:val="Heading2"/>
      </w:pPr>
      <w:r>
        <w:rPr>
          <w:rFonts w:ascii="Times New Roman" w:hAnsi="Times New Roman"/>
          <w:sz w:val="24"/>
        </w:rPr>
        <w:t>8.3. Flujo SDD asistido por IA</w:t>
      </w:r>
    </w:p>
    <w:p>
      <w:r>
        <w:rPr>
          <w:rFonts w:ascii="Times New Roman" w:hAnsi="Times New Roman"/>
          <w:sz w:val="24"/>
        </w:rPr>
        <w:t>Dentro de cada iteración se seleccionarán los requisitos y riesgos priorizados; para cada capacidad se elaborará y revisará una especificación con escenarios, reglas, invariantes y criterios de aceptación; se preparará el plan técnico; se descompondrá el trabajo en tareas; se implementará con asistencia de IA cuando corresponda; y se integrará, probará y demostrará el resultado. Las especificaciones, planes y tareas materializarán el detalle de requisitos, diseño y planificación, mientras que la visión, la arquitectura, los riesgos, la evaluación de iteraciones, los hitos y el despliegue se conservarán como productos transversales de RUP.</w:t>
      </w:r>
    </w:p>
    <w:p>
      <w:r>
        <w:rPr>
          <w:rFonts w:ascii="Times New Roman" w:hAnsi="Times New Roman"/>
          <w:sz w:val="24"/>
        </w:rPr>
        <w:t>Durante las iteraciones de Construcción, los requisitos, las reglas y las decisiones de diseño continuarán refinándose. Los hallazgos obtenidos al implementar, integrar, probar o demostrar un módulo podrán originar cambios controlados en los módulos e incrementos anteriores. En ese caso, se actualizarán las especificaciones y los productos afectados, se ejecutarán pruebas de regresión y se conservará la trazabilidad de la decisión.</w:t>
      </w:r>
    </w:p>
    <w:p>
      <w:r>
        <w:rPr>
          <w:rFonts w:ascii="Times New Roman" w:hAnsi="Times New Roman"/>
          <w:sz w:val="24"/>
        </w:rPr>
        <w:t>Los agentes de IA podrán apoyar la detección de ambigüedades, la comparación de alternativas, la implementación, la generación de pruebas, la revisión de cambios y la documentación. No aprobarán requisitos, no modificarán por sí solos las reglas del dominio, no declararán aceptado un resultado y no sustituirán la autoría ni la responsabilidad humana.</w:t>
      </w:r>
    </w:p>
    <w:p>
      <w:pPr>
        <w:pStyle w:val="Heading2"/>
      </w:pPr>
      <w:r>
        <w:rPr>
          <w:rFonts w:ascii="Times New Roman" w:hAnsi="Times New Roman"/>
          <w:sz w:val="24"/>
        </w:rPr>
        <w:t>8.4. Seguimiento y evidencia</w:t>
      </w:r>
    </w:p>
    <w:p>
      <w:r>
        <w:rPr>
          <w:rFonts w:ascii="Times New Roman" w:hAnsi="Times New Roman"/>
          <w:sz w:val="24"/>
        </w:rPr>
        <w:t>El trabajo se organizará mediante una lista priorizada vinculada con los objetivos específicos, las iteraciones y los incrementos de Construcción. Cada elemento deberá identificar la necesidad, el requisito o regla, la especificación, la decisión de diseño, la tarea, el cambio, la prueba, el resultado y la aceptación correspondiente. Al cierre de cada iteración se revisarán los productos previstos y se registrarán decisiones, riesgos, desviaciones, ajustes al plan y riesgos residuales.</w:t>
      </w:r>
    </w:p>
    <w:p>
      <w:r>
        <w:rPr>
          <w:rFonts w:ascii="Times New Roman" w:hAnsi="Times New Roman"/>
          <w:sz w:val="24"/>
        </w:rPr>
        <w:t>La formulación metodológica se consolidó documentalmente el 25 de agosto de 2026, dentro de la ventana académica autorizada. La construcción formal se documentará a partir de una referencia inicial identificable del repositorio y de un inventario del software preexistente. Los artefactos que describan actividades anteriores conservarán su fecha real y se marcarán como reconstrucción documental; no se retrofecharán commits, pruebas, resultados ni aprobaciones. Únicamente las actividades ejecutadas o reproducidas de forma controlada y las evidencias trazables dentro de la ventana definida sustentarán el cumplimiento de los objetivos.</w:t>
      </w:r>
    </w:p>
    <w:p>
      <w:r>
        <w:rPr>
          <w:rFonts w:ascii="Times New Roman" w:hAnsi="Times New Roman"/>
          <w:sz w:val="24"/>
        </w:rPr>
        <w:t>La responsabilidad técnica y autoral permanecerá bajo control humano. Los agentes de inteligencia artificial brindarán apoyo delimitado y no constituirán roles RUP: cada contribución material registrará herramienta y versión disponible, tarea, artefacto afectado, salida adoptada, modificada o rechazada, revisión humana, prueba y referencia al cambio.</w:t>
      </w:r>
    </w:p>
    <w:p>
      <w:pPr>
        <w:pStyle w:val="Heading1"/>
      </w:pPr>
      <w:r>
        <w:rPr>
          <w:rFonts w:ascii="Times New Roman" w:hAnsi="Times New Roman"/>
          <w:sz w:val="28"/>
        </w:rPr>
        <w:t>9. Índice propuesto del Proyecto de Grado</w:t>
      </w:r>
    </w:p>
    <w:p>
      <w:pPr>
        <w:spacing w:after="20" w:line="240" w:lineRule="auto"/>
        <w:ind w:firstLine="0" w:left="0"/>
      </w:pPr>
      <w:r>
        <w:rPr>
          <w:rFonts w:ascii="Times New Roman" w:hAnsi="Times New Roman"/>
          <w:b/>
          <w:sz w:val="20"/>
        </w:rPr>
        <w:t>Resumen</w:t>
      </w:r>
    </w:p>
    <w:p>
      <w:pPr>
        <w:spacing w:after="20" w:line="240" w:lineRule="auto"/>
        <w:ind w:firstLine="0" w:left="0"/>
      </w:pPr>
      <w:r>
        <w:rPr>
          <w:rFonts w:ascii="Times New Roman" w:hAnsi="Times New Roman"/>
          <w:b/>
          <w:sz w:val="20"/>
        </w:rPr>
        <w:t>Palabras clave</w:t>
      </w:r>
    </w:p>
    <w:p>
      <w:pPr>
        <w:spacing w:after="40"/>
      </w:pPr>
    </w:p>
    <w:p>
      <w:pPr>
        <w:spacing w:after="20" w:line="240" w:lineRule="auto"/>
        <w:ind w:firstLine="0" w:left="0"/>
      </w:pPr>
      <w:r>
        <w:rPr>
          <w:rFonts w:ascii="Times New Roman" w:hAnsi="Times New Roman"/>
          <w:b/>
          <w:sz w:val="20"/>
        </w:rPr>
        <w:t>Introducción</w:t>
      </w:r>
    </w:p>
    <w:p>
      <w:pPr>
        <w:spacing w:after="40"/>
      </w:pPr>
    </w:p>
    <w:p>
      <w:pPr>
        <w:spacing w:after="20" w:line="240" w:lineRule="auto"/>
        <w:ind w:firstLine="0" w:left="0"/>
      </w:pPr>
      <w:r>
        <w:rPr>
          <w:rFonts w:ascii="Times New Roman" w:hAnsi="Times New Roman"/>
          <w:b/>
          <w:sz w:val="20"/>
        </w:rPr>
        <w:t>Capítulo I — Marco introductorio</w:t>
      </w:r>
    </w:p>
    <w:p>
      <w:pPr>
        <w:spacing w:after="20" w:line="240" w:lineRule="auto"/>
        <w:ind w:firstLine="0" w:left="136"/>
      </w:pPr>
      <w:r>
        <w:rPr>
          <w:rFonts w:ascii="Times New Roman" w:hAnsi="Times New Roman"/>
          <w:b w:val="0"/>
          <w:sz w:val="20"/>
        </w:rPr>
        <w:t>1.1 Antecedentes institucionales y trabajos similares</w:t>
      </w:r>
    </w:p>
    <w:p>
      <w:pPr>
        <w:spacing w:after="20" w:line="240" w:lineRule="auto"/>
        <w:ind w:firstLine="0" w:left="136"/>
      </w:pPr>
      <w:r>
        <w:rPr>
          <w:rFonts w:ascii="Times New Roman" w:hAnsi="Times New Roman"/>
          <w:b w:val="0"/>
          <w:sz w:val="20"/>
        </w:rPr>
        <w:t>1.2 Planteamiento del problema</w:t>
      </w:r>
    </w:p>
    <w:p>
      <w:pPr>
        <w:spacing w:after="20" w:line="240" w:lineRule="auto"/>
        <w:ind w:firstLine="0" w:left="136"/>
      </w:pPr>
      <w:r>
        <w:rPr>
          <w:rFonts w:ascii="Times New Roman" w:hAnsi="Times New Roman"/>
          <w:b w:val="0"/>
          <w:sz w:val="20"/>
        </w:rPr>
        <w:t>1.3 Objetivos</w:t>
      </w:r>
    </w:p>
    <w:p>
      <w:pPr>
        <w:spacing w:after="20" w:line="240" w:lineRule="auto"/>
        <w:ind w:firstLine="0" w:left="136"/>
      </w:pPr>
      <w:r>
        <w:rPr>
          <w:rFonts w:ascii="Times New Roman" w:hAnsi="Times New Roman"/>
          <w:b w:val="0"/>
          <w:sz w:val="20"/>
        </w:rPr>
        <w:t>1.4 Justificación</w:t>
      </w:r>
    </w:p>
    <w:p>
      <w:pPr>
        <w:spacing w:after="20" w:line="240" w:lineRule="auto"/>
        <w:ind w:firstLine="0" w:left="136"/>
      </w:pPr>
      <w:r>
        <w:rPr>
          <w:rFonts w:ascii="Times New Roman" w:hAnsi="Times New Roman"/>
          <w:b w:val="0"/>
          <w:sz w:val="20"/>
        </w:rPr>
        <w:t>1.5 Alcances y límites</w:t>
      </w:r>
    </w:p>
    <w:p>
      <w:pPr>
        <w:spacing w:after="20" w:line="240" w:lineRule="auto"/>
        <w:ind w:firstLine="0" w:left="136"/>
      </w:pPr>
      <w:r>
        <w:rPr>
          <w:rFonts w:ascii="Times New Roman" w:hAnsi="Times New Roman"/>
          <w:b w:val="0"/>
          <w:sz w:val="20"/>
        </w:rPr>
        <w:t>1.6 Metodología de desarrollo</w:t>
      </w:r>
    </w:p>
    <w:p>
      <w:pPr>
        <w:spacing w:after="20" w:line="240" w:lineRule="auto"/>
        <w:ind w:firstLine="0" w:left="136"/>
      </w:pPr>
      <w:r>
        <w:rPr>
          <w:rFonts w:ascii="Times New Roman" w:hAnsi="Times New Roman"/>
          <w:b w:val="0"/>
          <w:sz w:val="20"/>
        </w:rPr>
        <w:t>1.7 Organización del documento</w:t>
      </w:r>
    </w:p>
    <w:p>
      <w:pPr>
        <w:spacing w:after="40"/>
      </w:pPr>
    </w:p>
    <w:p>
      <w:pPr>
        <w:spacing w:after="20" w:line="240" w:lineRule="auto"/>
        <w:ind w:firstLine="0" w:left="0"/>
      </w:pPr>
      <w:r>
        <w:rPr>
          <w:rFonts w:ascii="Times New Roman" w:hAnsi="Times New Roman"/>
          <w:b/>
          <w:sz w:val="20"/>
        </w:rPr>
        <w:t>Capítulo II — Marco teórico y conceptual</w:t>
      </w:r>
    </w:p>
    <w:p>
      <w:pPr>
        <w:spacing w:after="20" w:line="240" w:lineRule="auto"/>
        <w:ind w:firstLine="0" w:left="136"/>
      </w:pPr>
      <w:r>
        <w:rPr>
          <w:rFonts w:ascii="Times New Roman" w:hAnsi="Times New Roman"/>
          <w:b w:val="0"/>
          <w:sz w:val="20"/>
        </w:rPr>
        <w:t>2.1 Material vegetal y procesos de reforestación</w:t>
      </w:r>
    </w:p>
    <w:p>
      <w:pPr>
        <w:spacing w:after="20" w:line="240" w:lineRule="auto"/>
        <w:ind w:firstLine="0" w:left="136"/>
      </w:pPr>
      <w:r>
        <w:rPr>
          <w:rFonts w:ascii="Times New Roman" w:hAnsi="Times New Roman"/>
          <w:b w:val="0"/>
          <w:sz w:val="20"/>
        </w:rPr>
        <w:t>2.2 Trazabilidad y cadena de custodia</w:t>
      </w:r>
    </w:p>
    <w:p>
      <w:pPr>
        <w:spacing w:after="20" w:line="240" w:lineRule="auto"/>
        <w:ind w:firstLine="0" w:left="136"/>
      </w:pPr>
      <w:r>
        <w:rPr>
          <w:rFonts w:ascii="Times New Roman" w:hAnsi="Times New Roman"/>
          <w:b w:val="0"/>
          <w:sz w:val="20"/>
        </w:rPr>
        <w:t>2.3 Eventos, transformaciones y procedencia</w:t>
      </w:r>
    </w:p>
    <w:p>
      <w:pPr>
        <w:spacing w:after="20" w:line="240" w:lineRule="auto"/>
        <w:ind w:firstLine="0" w:left="136"/>
      </w:pPr>
      <w:r>
        <w:rPr>
          <w:rFonts w:ascii="Times New Roman" w:hAnsi="Times New Roman"/>
          <w:b w:val="0"/>
          <w:sz w:val="20"/>
        </w:rPr>
        <w:t>2.4 Integridad de cantidades y saldos</w:t>
      </w:r>
    </w:p>
    <w:p>
      <w:pPr>
        <w:spacing w:after="20" w:line="240" w:lineRule="auto"/>
        <w:ind w:firstLine="0" w:left="136"/>
      </w:pPr>
      <w:r>
        <w:rPr>
          <w:rFonts w:ascii="Times New Roman" w:hAnsi="Times New Roman"/>
          <w:b w:val="0"/>
          <w:sz w:val="20"/>
        </w:rPr>
        <w:t>2.5 Evidencia e información geográfica</w:t>
      </w:r>
    </w:p>
    <w:p>
      <w:pPr>
        <w:spacing w:after="20" w:line="240" w:lineRule="auto"/>
        <w:ind w:firstLine="0" w:left="136"/>
      </w:pPr>
      <w:r>
        <w:rPr>
          <w:rFonts w:ascii="Times New Roman" w:hAnsi="Times New Roman"/>
          <w:b w:val="0"/>
          <w:sz w:val="20"/>
        </w:rPr>
        <w:t>2.6 Reconstrucción y comprobación de la trazabilidad</w:t>
      </w:r>
    </w:p>
    <w:p>
      <w:pPr>
        <w:spacing w:after="20" w:line="240" w:lineRule="auto"/>
        <w:ind w:firstLine="0" w:left="136"/>
      </w:pPr>
      <w:r>
        <w:rPr>
          <w:rFonts w:ascii="Times New Roman" w:hAnsi="Times New Roman"/>
          <w:b w:val="0"/>
          <w:sz w:val="20"/>
        </w:rPr>
        <w:t>2.7 Bonos de carbono y alcance de la proyección</w:t>
      </w:r>
    </w:p>
    <w:p>
      <w:pPr>
        <w:spacing w:after="20" w:line="240" w:lineRule="auto"/>
        <w:ind w:firstLine="0" w:left="136"/>
      </w:pPr>
      <w:r>
        <w:rPr>
          <w:rFonts w:ascii="Times New Roman" w:hAnsi="Times New Roman"/>
          <w:b w:val="0"/>
          <w:sz w:val="20"/>
        </w:rPr>
        <w:t>2.8 Rational Unified Process</w:t>
      </w:r>
    </w:p>
    <w:p>
      <w:pPr>
        <w:spacing w:after="20" w:line="240" w:lineRule="auto"/>
        <w:ind w:firstLine="0" w:left="136"/>
      </w:pPr>
      <w:r>
        <w:rPr>
          <w:rFonts w:ascii="Times New Roman" w:hAnsi="Times New Roman"/>
          <w:b w:val="0"/>
          <w:sz w:val="20"/>
        </w:rPr>
        <w:t>2.9 Spec-Driven Development y asistencia de inteligencia artificial</w:t>
      </w:r>
    </w:p>
    <w:p>
      <w:pPr>
        <w:spacing w:after="20" w:line="240" w:lineRule="auto"/>
        <w:ind w:firstLine="0" w:left="136"/>
      </w:pPr>
      <w:r>
        <w:rPr>
          <w:rFonts w:ascii="Times New Roman" w:hAnsi="Times New Roman"/>
          <w:b w:val="0"/>
          <w:sz w:val="20"/>
        </w:rPr>
        <w:t>2.10 Síntesis conceptual adoptada</w:t>
      </w:r>
    </w:p>
    <w:p>
      <w:pPr>
        <w:spacing w:after="40"/>
      </w:pPr>
    </w:p>
    <w:p>
      <w:pPr>
        <w:spacing w:after="20" w:line="240" w:lineRule="auto"/>
        <w:ind w:firstLine="0" w:left="0"/>
      </w:pPr>
      <w:r>
        <w:rPr>
          <w:rFonts w:ascii="Times New Roman" w:hAnsi="Times New Roman"/>
          <w:b/>
          <w:sz w:val="20"/>
        </w:rPr>
        <w:t>Capítulo III — Marco aplicativo</w:t>
      </w:r>
    </w:p>
    <w:p>
      <w:pPr>
        <w:spacing w:after="20" w:line="240" w:lineRule="auto"/>
        <w:ind w:firstLine="0" w:left="136"/>
      </w:pPr>
      <w:r>
        <w:rPr>
          <w:rFonts w:ascii="Times New Roman" w:hAnsi="Times New Roman"/>
          <w:b w:val="0"/>
          <w:sz w:val="20"/>
        </w:rPr>
        <w:t>3.1 Análisis de procesos, actores y requisitos</w:t>
      </w:r>
    </w:p>
    <w:p>
      <w:pPr>
        <w:spacing w:after="20" w:line="240" w:lineRule="auto"/>
        <w:ind w:firstLine="0" w:left="136"/>
      </w:pPr>
      <w:r>
        <w:rPr>
          <w:rFonts w:ascii="Times New Roman" w:hAnsi="Times New Roman"/>
          <w:b w:val="0"/>
          <w:sz w:val="20"/>
        </w:rPr>
        <w:t>3.2 Diseño del modelo de trazabilidad e integridad</w:t>
      </w:r>
    </w:p>
    <w:p>
      <w:pPr>
        <w:spacing w:after="20" w:line="240" w:lineRule="auto"/>
        <w:ind w:firstLine="0" w:left="136"/>
      </w:pPr>
      <w:r>
        <w:rPr>
          <w:rFonts w:ascii="Times New Roman" w:hAnsi="Times New Roman"/>
          <w:b w:val="0"/>
          <w:sz w:val="20"/>
        </w:rPr>
        <w:t>3.3 Implementación e integración de los tres módulos</w:t>
      </w:r>
    </w:p>
    <w:p>
      <w:pPr>
        <w:spacing w:after="20" w:line="240" w:lineRule="auto"/>
        <w:ind w:firstLine="0" w:left="272"/>
      </w:pPr>
      <w:r>
        <w:rPr>
          <w:rFonts w:ascii="Times New Roman" w:hAnsi="Times New Roman"/>
          <w:b w:val="0"/>
          <w:sz w:val="20"/>
        </w:rPr>
        <w:t>3.3.1 Iteración CO-1: M1 Recolección</w:t>
      </w:r>
    </w:p>
    <w:p>
      <w:pPr>
        <w:spacing w:after="20" w:line="240" w:lineRule="auto"/>
        <w:ind w:firstLine="0" w:left="272"/>
      </w:pPr>
      <w:r>
        <w:rPr>
          <w:rFonts w:ascii="Times New Roman" w:hAnsi="Times New Roman"/>
          <w:b w:val="0"/>
          <w:sz w:val="20"/>
        </w:rPr>
        <w:t>3.3.2 Iteración CO-2: M2 Vivero e integración M1→M2</w:t>
      </w:r>
    </w:p>
    <w:p>
      <w:pPr>
        <w:spacing w:after="20" w:line="240" w:lineRule="auto"/>
        <w:ind w:firstLine="0" w:left="272"/>
      </w:pPr>
      <w:r>
        <w:rPr>
          <w:rFonts w:ascii="Times New Roman" w:hAnsi="Times New Roman"/>
          <w:b w:val="0"/>
          <w:sz w:val="20"/>
        </w:rPr>
        <w:t>3.3.3 Iteración CO-3: M3 Plantación e integración M2→M3</w:t>
      </w:r>
    </w:p>
    <w:p>
      <w:pPr>
        <w:spacing w:after="20" w:line="240" w:lineRule="auto"/>
        <w:ind w:firstLine="0" w:left="272"/>
      </w:pPr>
      <w:r>
        <w:rPr>
          <w:rFonts w:ascii="Times New Roman" w:hAnsi="Times New Roman"/>
          <w:b w:val="0"/>
          <w:sz w:val="20"/>
        </w:rPr>
        <w:t>3.3.4 Iteración CO-4: trazabilidad transversal e integración total</w:t>
      </w:r>
    </w:p>
    <w:p>
      <w:pPr>
        <w:spacing w:after="20" w:line="240" w:lineRule="auto"/>
        <w:ind w:firstLine="0" w:left="136"/>
      </w:pPr>
      <w:r>
        <w:rPr>
          <w:rFonts w:ascii="Times New Roman" w:hAnsi="Times New Roman"/>
          <w:b w:val="0"/>
          <w:sz w:val="20"/>
        </w:rPr>
        <w:t>3.4 Verificación funcional y técnica</w:t>
      </w:r>
    </w:p>
    <w:p>
      <w:pPr>
        <w:spacing w:after="20" w:line="240" w:lineRule="auto"/>
        <w:ind w:firstLine="0" w:left="136"/>
      </w:pPr>
      <w:r>
        <w:rPr>
          <w:rFonts w:ascii="Times New Roman" w:hAnsi="Times New Roman"/>
          <w:b w:val="0"/>
          <w:sz w:val="20"/>
        </w:rPr>
        <w:t>3.5 Validación operativa y aceptación</w:t>
      </w:r>
    </w:p>
    <w:p>
      <w:pPr>
        <w:spacing w:after="20" w:line="240" w:lineRule="auto"/>
        <w:ind w:firstLine="0" w:left="136"/>
      </w:pPr>
      <w:r>
        <w:rPr>
          <w:rFonts w:ascii="Times New Roman" w:hAnsi="Times New Roman"/>
          <w:b w:val="0"/>
          <w:sz w:val="20"/>
        </w:rPr>
        <w:t>3.6 Presentación y discusión de resultados</w:t>
      </w:r>
    </w:p>
    <w:p>
      <w:pPr>
        <w:spacing w:after="40"/>
      </w:pPr>
    </w:p>
    <w:p>
      <w:pPr>
        <w:spacing w:after="20" w:line="240" w:lineRule="auto"/>
        <w:ind w:firstLine="0" w:left="0"/>
      </w:pPr>
      <w:r>
        <w:rPr>
          <w:rFonts w:ascii="Times New Roman" w:hAnsi="Times New Roman"/>
          <w:b/>
          <w:sz w:val="20"/>
        </w:rPr>
        <w:t>Conclusiones</w:t>
      </w:r>
    </w:p>
    <w:p>
      <w:pPr>
        <w:spacing w:after="20" w:line="240" w:lineRule="auto"/>
        <w:ind w:firstLine="0" w:left="0"/>
      </w:pPr>
      <w:r>
        <w:rPr>
          <w:rFonts w:ascii="Times New Roman" w:hAnsi="Times New Roman"/>
          <w:b/>
          <w:sz w:val="20"/>
        </w:rPr>
        <w:t>Recomendaciones</w:t>
      </w:r>
    </w:p>
    <w:p>
      <w:pPr>
        <w:spacing w:after="20" w:line="240" w:lineRule="auto"/>
        <w:ind w:firstLine="0" w:left="0"/>
      </w:pPr>
      <w:r>
        <w:rPr>
          <w:rFonts w:ascii="Times New Roman" w:hAnsi="Times New Roman"/>
          <w:b/>
          <w:sz w:val="20"/>
        </w:rPr>
        <w:t>Referencias bibliográficas</w:t>
      </w:r>
    </w:p>
    <w:p>
      <w:pPr>
        <w:spacing w:after="20" w:line="240" w:lineRule="auto"/>
        <w:ind w:firstLine="0" w:left="0"/>
      </w:pPr>
      <w:r>
        <w:rPr>
          <w:rFonts w:ascii="Times New Roman" w:hAnsi="Times New Roman"/>
          <w:b/>
          <w:sz w:val="20"/>
        </w:rPr>
        <w:t>Anexos</w:t>
      </w:r>
    </w:p>
    <w:p>
      <w:pPr>
        <w:pStyle w:val="Caption"/>
      </w:pPr>
      <w:r>
        <w:rPr>
          <w:rFonts w:ascii="Times New Roman" w:hAnsi="Times New Roman"/>
          <w:sz w:val="22"/>
        </w:rPr>
        <w:t>Tabla 2</w:t>
      </w:r>
    </w:p>
    <w:p>
      <w:pPr>
        <w:keepNext/>
        <w:spacing w:after="80"/>
        <w:ind w:firstLine="0"/>
        <w:jc w:val="left"/>
      </w:pPr>
      <w:r>
        <w:rPr>
          <w:rFonts w:ascii="Times New Roman" w:hAnsi="Times New Roman"/>
          <w:i/>
          <w:sz w:val="24"/>
        </w:rPr>
        <w:t>Correspondencia entre objetivos y secciones del documento final</w:t>
      </w:r>
    </w:p>
    <w:tbl>
      <w:tblPr>
        <w:tblW w:type="dxa" w:w="8270"/>
        <w:jc w:val="center"/>
        <w:tblLayout w:type="fixed"/>
        <w:tblLook w:firstColumn="1" w:firstRow="1" w:lastColumn="0" w:lastRow="0" w:noHBand="0" w:noVBand="1" w:val="04A0"/>
        <w:tblBorders>
          <w:top w:val="single" w:sz="4" w:color="94A3B8"/>
          <w:left w:val="single" w:sz="4" w:color="94A3B8"/>
          <w:bottom w:val="single" w:sz="4" w:color="94A3B8"/>
          <w:right w:val="single" w:sz="4" w:color="94A3B8"/>
          <w:insideH w:val="single" w:sz="4" w:color="94A3B8"/>
          <w:insideV w:val="single" w:sz="4" w:color="94A3B8"/>
        </w:tblBorders>
      </w:tblPr>
      <w:tblGrid>
        <w:gridCol w:w="1800"/>
        <w:gridCol w:w="3000"/>
        <w:gridCol w:w="3470"/>
      </w:tblGrid>
      <w:tr>
        <w:trPr>
          <w:tblHeader w:val="true"/>
        </w:trPr>
        <w:tc>
          <w:tcPr>
            <w:tcW w:type="dxa" w:w="1800"/>
            <w:vAlign w:val="center"/>
            <w:tcMar>
              <w:top w:w="100" w:type="dxa"/>
              <w:start w:w="110" w:type="dxa"/>
              <w:bottom w:w="100" w:type="dxa"/>
              <w:end w:w="110" w:type="dxa"/>
            </w:tcMar>
            <w:shd w:fill="DCE6F1"/>
          </w:tcPr>
          <w:p>
            <w:pPr>
              <w:spacing w:after="0" w:line="240" w:lineRule="auto"/>
              <w:ind w:firstLine="0" w:left="0" w:right="0"/>
              <w:jc w:val="left"/>
            </w:pPr>
            <w:r>
              <w:rPr>
                <w:rFonts w:ascii="Times New Roman" w:hAnsi="Times New Roman"/>
                <w:b/>
                <w:sz w:val="18"/>
              </w:rPr>
              <w:t>Objetivo específico</w:t>
            </w:r>
          </w:p>
        </w:tc>
        <w:tc>
          <w:tcPr>
            <w:tcW w:type="dxa" w:w="3000"/>
            <w:vAlign w:val="center"/>
            <w:tcMar>
              <w:top w:w="100" w:type="dxa"/>
              <w:start w:w="110" w:type="dxa"/>
              <w:bottom w:w="100" w:type="dxa"/>
              <w:end w:w="110" w:type="dxa"/>
            </w:tcMar>
            <w:shd w:fill="DCE6F1"/>
          </w:tcPr>
          <w:p>
            <w:pPr>
              <w:spacing w:after="0" w:line="240" w:lineRule="auto"/>
              <w:ind w:firstLine="0" w:left="0" w:right="0"/>
              <w:jc w:val="left"/>
            </w:pPr>
            <w:r>
              <w:rPr>
                <w:rFonts w:ascii="Times New Roman" w:hAnsi="Times New Roman"/>
                <w:b/>
                <w:sz w:val="18"/>
              </w:rPr>
              <w:t>Resultado principal</w:t>
            </w:r>
          </w:p>
        </w:tc>
        <w:tc>
          <w:tcPr>
            <w:tcW w:type="dxa" w:w="3470"/>
            <w:vAlign w:val="center"/>
            <w:tcMar>
              <w:top w:w="100" w:type="dxa"/>
              <w:start w:w="110" w:type="dxa"/>
              <w:bottom w:w="100" w:type="dxa"/>
              <w:end w:w="110" w:type="dxa"/>
            </w:tcMar>
            <w:shd w:fill="DCE6F1"/>
          </w:tcPr>
          <w:p>
            <w:pPr>
              <w:spacing w:after="0" w:line="240" w:lineRule="auto"/>
              <w:ind w:firstLine="0" w:left="0" w:right="0"/>
              <w:jc w:val="left"/>
            </w:pPr>
            <w:r>
              <w:rPr>
                <w:rFonts w:ascii="Times New Roman" w:hAnsi="Times New Roman"/>
                <w:b/>
                <w:sz w:val="18"/>
              </w:rPr>
              <w:t>Ubicación prevista</w:t>
            </w:r>
          </w:p>
        </w:tc>
      </w:tr>
      <w:tr>
        <w:tc>
          <w:tcPr>
            <w:tcW w:type="dxa" w:w="1800"/>
            <w:vAlign w:val="center"/>
            <w:tcMar>
              <w:top w:w="100" w:type="dxa"/>
              <w:start w:w="110" w:type="dxa"/>
              <w:bottom w:w="100" w:type="dxa"/>
              <w:end w:w="110" w:type="dxa"/>
            </w:tcMar>
          </w:tcPr>
          <w:p>
            <w:pPr>
              <w:spacing w:after="0" w:line="240" w:lineRule="auto"/>
              <w:ind w:firstLine="0" w:left="0" w:right="0"/>
              <w:jc w:val="left"/>
            </w:pPr>
            <w:r>
              <w:rPr>
                <w:rFonts w:ascii="Times New Roman" w:hAnsi="Times New Roman"/>
                <w:sz w:val="18"/>
              </w:rPr>
              <w:t>1. Analizar</w:t>
            </w:r>
          </w:p>
        </w:tc>
        <w:tc>
          <w:tcPr>
            <w:tcW w:type="dxa" w:w="3000"/>
            <w:vAlign w:val="center"/>
            <w:tcMar>
              <w:top w:w="100" w:type="dxa"/>
              <w:start w:w="110" w:type="dxa"/>
              <w:bottom w:w="100" w:type="dxa"/>
              <w:end w:w="110" w:type="dxa"/>
            </w:tcMar>
          </w:tcPr>
          <w:p>
            <w:pPr>
              <w:spacing w:after="0" w:line="240" w:lineRule="auto"/>
              <w:ind w:firstLine="0" w:left="0" w:right="0"/>
              <w:jc w:val="left"/>
            </w:pPr>
            <w:r>
              <w:rPr>
                <w:rFonts w:ascii="Times New Roman" w:hAnsi="Times New Roman"/>
                <w:sz w:val="18"/>
              </w:rPr>
              <w:t>Procesos, actores, requisitos y reglas definidos</w:t>
            </w:r>
          </w:p>
        </w:tc>
        <w:tc>
          <w:tcPr>
            <w:tcW w:type="dxa" w:w="3470"/>
            <w:vAlign w:val="center"/>
            <w:tcMar>
              <w:top w:w="100" w:type="dxa"/>
              <w:start w:w="110" w:type="dxa"/>
              <w:bottom w:w="100" w:type="dxa"/>
              <w:end w:w="110" w:type="dxa"/>
            </w:tcMar>
          </w:tcPr>
          <w:p>
            <w:pPr>
              <w:spacing w:after="0" w:line="240" w:lineRule="auto"/>
              <w:ind w:firstLine="0" w:left="0" w:right="0"/>
              <w:jc w:val="left"/>
            </w:pPr>
            <w:r>
              <w:rPr>
                <w:rFonts w:ascii="Times New Roman" w:hAnsi="Times New Roman"/>
                <w:sz w:val="18"/>
              </w:rPr>
              <w:t>Capítulo III, sección 3.1</w:t>
            </w:r>
          </w:p>
        </w:tc>
      </w:tr>
      <w:tr>
        <w:tc>
          <w:tcPr>
            <w:tcW w:type="dxa" w:w="1800"/>
            <w:vAlign w:val="center"/>
            <w:tcMar>
              <w:top w:w="100" w:type="dxa"/>
              <w:start w:w="110" w:type="dxa"/>
              <w:bottom w:w="100" w:type="dxa"/>
              <w:end w:w="110" w:type="dxa"/>
            </w:tcMar>
            <w:shd w:fill="F8FAFC"/>
          </w:tcPr>
          <w:p>
            <w:pPr>
              <w:spacing w:after="0" w:line="240" w:lineRule="auto"/>
              <w:ind w:firstLine="0" w:left="0" w:right="0"/>
              <w:jc w:val="left"/>
            </w:pPr>
            <w:r>
              <w:rPr>
                <w:rFonts w:ascii="Times New Roman" w:hAnsi="Times New Roman"/>
                <w:sz w:val="18"/>
              </w:rPr>
              <w:t>2. Diseñar</w:t>
            </w:r>
          </w:p>
        </w:tc>
        <w:tc>
          <w:tcPr>
            <w:tcW w:type="dxa" w:w="3000"/>
            <w:vAlign w:val="center"/>
            <w:tcMar>
              <w:top w:w="100" w:type="dxa"/>
              <w:start w:w="110" w:type="dxa"/>
              <w:bottom w:w="100" w:type="dxa"/>
              <w:end w:w="110" w:type="dxa"/>
            </w:tcMar>
            <w:shd w:fill="F8FAFC"/>
          </w:tcPr>
          <w:p>
            <w:pPr>
              <w:spacing w:after="0" w:line="240" w:lineRule="auto"/>
              <w:ind w:firstLine="0" w:left="0" w:right="0"/>
              <w:jc w:val="left"/>
            </w:pPr>
            <w:r>
              <w:rPr>
                <w:rFonts w:ascii="Times New Roman" w:hAnsi="Times New Roman"/>
                <w:sz w:val="18"/>
              </w:rPr>
              <w:t>Modelo de trazabilidad, relaciones e invariantes</w:t>
            </w:r>
          </w:p>
        </w:tc>
        <w:tc>
          <w:tcPr>
            <w:tcW w:type="dxa" w:w="3470"/>
            <w:vAlign w:val="center"/>
            <w:tcMar>
              <w:top w:w="100" w:type="dxa"/>
              <w:start w:w="110" w:type="dxa"/>
              <w:bottom w:w="100" w:type="dxa"/>
              <w:end w:w="110" w:type="dxa"/>
            </w:tcMar>
            <w:shd w:fill="F8FAFC"/>
          </w:tcPr>
          <w:p>
            <w:pPr>
              <w:spacing w:after="0" w:line="240" w:lineRule="auto"/>
              <w:ind w:firstLine="0" w:left="0" w:right="0"/>
              <w:jc w:val="left"/>
            </w:pPr>
            <w:r>
              <w:rPr>
                <w:rFonts w:ascii="Times New Roman" w:hAnsi="Times New Roman"/>
                <w:sz w:val="18"/>
              </w:rPr>
              <w:t>Capítulo III, sección 3.2</w:t>
            </w:r>
          </w:p>
        </w:tc>
      </w:tr>
      <w:tr>
        <w:tc>
          <w:tcPr>
            <w:tcW w:type="dxa" w:w="1800"/>
            <w:vAlign w:val="center"/>
            <w:tcMar>
              <w:top w:w="100" w:type="dxa"/>
              <w:start w:w="110" w:type="dxa"/>
              <w:bottom w:w="100" w:type="dxa"/>
              <w:end w:w="110" w:type="dxa"/>
            </w:tcMar>
          </w:tcPr>
          <w:p>
            <w:pPr>
              <w:spacing w:after="0" w:line="240" w:lineRule="auto"/>
              <w:ind w:firstLine="0" w:left="0" w:right="0"/>
              <w:jc w:val="left"/>
            </w:pPr>
            <w:r>
              <w:rPr>
                <w:rFonts w:ascii="Times New Roman" w:hAnsi="Times New Roman"/>
                <w:sz w:val="18"/>
              </w:rPr>
              <w:t>3. Implementar</w:t>
            </w:r>
          </w:p>
        </w:tc>
        <w:tc>
          <w:tcPr>
            <w:tcW w:type="dxa" w:w="3000"/>
            <w:vAlign w:val="center"/>
            <w:tcMar>
              <w:top w:w="100" w:type="dxa"/>
              <w:start w:w="110" w:type="dxa"/>
              <w:bottom w:w="100" w:type="dxa"/>
              <w:end w:w="110" w:type="dxa"/>
            </w:tcMar>
          </w:tcPr>
          <w:p>
            <w:pPr>
              <w:spacing w:after="0" w:line="240" w:lineRule="auto"/>
              <w:ind w:firstLine="0" w:left="0" w:right="0"/>
              <w:jc w:val="left"/>
            </w:pPr>
            <w:r>
              <w:rPr>
                <w:rFonts w:ascii="Times New Roman" w:hAnsi="Times New Roman"/>
                <w:sz w:val="18"/>
              </w:rPr>
              <w:t>Recolección, Vivero y Plantación integrados</w:t>
            </w:r>
          </w:p>
        </w:tc>
        <w:tc>
          <w:tcPr>
            <w:tcW w:type="dxa" w:w="3470"/>
            <w:vAlign w:val="center"/>
            <w:tcMar>
              <w:top w:w="100" w:type="dxa"/>
              <w:start w:w="110" w:type="dxa"/>
              <w:bottom w:w="100" w:type="dxa"/>
              <w:end w:w="110" w:type="dxa"/>
            </w:tcMar>
          </w:tcPr>
          <w:p>
            <w:pPr>
              <w:spacing w:after="0" w:line="240" w:lineRule="auto"/>
              <w:ind w:firstLine="0" w:left="0" w:right="0"/>
              <w:jc w:val="left"/>
            </w:pPr>
            <w:r>
              <w:rPr>
                <w:rFonts w:ascii="Times New Roman" w:hAnsi="Times New Roman"/>
                <w:sz w:val="18"/>
              </w:rPr>
              <w:t>Capítulo III, sección 3.3</w:t>
            </w:r>
          </w:p>
        </w:tc>
      </w:tr>
      <w:tr>
        <w:tc>
          <w:tcPr>
            <w:tcW w:type="dxa" w:w="1800"/>
            <w:vAlign w:val="center"/>
            <w:tcMar>
              <w:top w:w="100" w:type="dxa"/>
              <w:start w:w="110" w:type="dxa"/>
              <w:bottom w:w="100" w:type="dxa"/>
              <w:end w:w="110" w:type="dxa"/>
            </w:tcMar>
            <w:shd w:fill="F8FAFC"/>
          </w:tcPr>
          <w:p>
            <w:pPr>
              <w:spacing w:after="0" w:line="240" w:lineRule="auto"/>
              <w:ind w:firstLine="0" w:left="0" w:right="0"/>
              <w:jc w:val="left"/>
            </w:pPr>
            <w:r>
              <w:rPr>
                <w:rFonts w:ascii="Times New Roman" w:hAnsi="Times New Roman"/>
                <w:sz w:val="18"/>
              </w:rPr>
              <w:t>4. Verificar</w:t>
            </w:r>
          </w:p>
        </w:tc>
        <w:tc>
          <w:tcPr>
            <w:tcW w:type="dxa" w:w="3000"/>
            <w:vAlign w:val="center"/>
            <w:tcMar>
              <w:top w:w="100" w:type="dxa"/>
              <w:start w:w="110" w:type="dxa"/>
              <w:bottom w:w="100" w:type="dxa"/>
              <w:end w:w="110" w:type="dxa"/>
            </w:tcMar>
            <w:shd w:fill="F8FAFC"/>
          </w:tcPr>
          <w:p>
            <w:pPr>
              <w:spacing w:after="0" w:line="240" w:lineRule="auto"/>
              <w:ind w:firstLine="0" w:left="0" w:right="0"/>
              <w:jc w:val="left"/>
            </w:pPr>
            <w:r>
              <w:rPr>
                <w:rFonts w:ascii="Times New Roman" w:hAnsi="Times New Roman"/>
                <w:sz w:val="18"/>
              </w:rPr>
              <w:t>Matriz de pruebas y resultados técnicos</w:t>
            </w:r>
          </w:p>
        </w:tc>
        <w:tc>
          <w:tcPr>
            <w:tcW w:type="dxa" w:w="3470"/>
            <w:vAlign w:val="center"/>
            <w:tcMar>
              <w:top w:w="100" w:type="dxa"/>
              <w:start w:w="110" w:type="dxa"/>
              <w:bottom w:w="100" w:type="dxa"/>
              <w:end w:w="110" w:type="dxa"/>
            </w:tcMar>
            <w:shd w:fill="F8FAFC"/>
          </w:tcPr>
          <w:p>
            <w:pPr>
              <w:spacing w:after="0" w:line="240" w:lineRule="auto"/>
              <w:ind w:firstLine="0" w:left="0" w:right="0"/>
              <w:jc w:val="left"/>
            </w:pPr>
            <w:r>
              <w:rPr>
                <w:rFonts w:ascii="Times New Roman" w:hAnsi="Times New Roman"/>
                <w:sz w:val="18"/>
              </w:rPr>
              <w:t>Capítulo III, sección 3.4</w:t>
            </w:r>
          </w:p>
        </w:tc>
      </w:tr>
      <w:tr>
        <w:tc>
          <w:tcPr>
            <w:tcW w:type="dxa" w:w="1800"/>
            <w:vAlign w:val="center"/>
            <w:tcMar>
              <w:top w:w="100" w:type="dxa"/>
              <w:start w:w="110" w:type="dxa"/>
              <w:bottom w:w="100" w:type="dxa"/>
              <w:end w:w="110" w:type="dxa"/>
            </w:tcMar>
          </w:tcPr>
          <w:p>
            <w:pPr>
              <w:spacing w:after="0" w:line="240" w:lineRule="auto"/>
              <w:ind w:firstLine="0" w:left="0" w:right="0"/>
              <w:jc w:val="left"/>
            </w:pPr>
            <w:r>
              <w:rPr>
                <w:rFonts w:ascii="Times New Roman" w:hAnsi="Times New Roman"/>
                <w:sz w:val="18"/>
              </w:rPr>
              <w:t>5. Evaluar</w:t>
            </w:r>
          </w:p>
        </w:tc>
        <w:tc>
          <w:tcPr>
            <w:tcW w:type="dxa" w:w="3000"/>
            <w:vAlign w:val="center"/>
            <w:tcMar>
              <w:top w:w="100" w:type="dxa"/>
              <w:start w:w="110" w:type="dxa"/>
              <w:bottom w:w="100" w:type="dxa"/>
              <w:end w:w="110" w:type="dxa"/>
            </w:tcMar>
          </w:tcPr>
          <w:p>
            <w:pPr>
              <w:spacing w:after="0" w:line="240" w:lineRule="auto"/>
              <w:ind w:firstLine="0" w:left="0" w:right="0"/>
              <w:jc w:val="left"/>
            </w:pPr>
            <w:r>
              <w:rPr>
                <w:rFonts w:ascii="Times New Roman" w:hAnsi="Times New Roman"/>
                <w:sz w:val="18"/>
              </w:rPr>
              <w:t>Reconstrucción, evidencia y carga de los flujos comprobadas mediante escenarios de aceptación</w:t>
            </w:r>
          </w:p>
        </w:tc>
        <w:tc>
          <w:tcPr>
            <w:tcW w:type="dxa" w:w="3470"/>
            <w:vAlign w:val="center"/>
            <w:tcMar>
              <w:top w:w="100" w:type="dxa"/>
              <w:start w:w="110" w:type="dxa"/>
              <w:bottom w:w="100" w:type="dxa"/>
              <w:end w:w="110" w:type="dxa"/>
            </w:tcMar>
          </w:tcPr>
          <w:p>
            <w:pPr>
              <w:spacing w:after="0" w:line="240" w:lineRule="auto"/>
              <w:ind w:firstLine="0" w:left="0" w:right="0"/>
              <w:jc w:val="left"/>
            </w:pPr>
            <w:r>
              <w:rPr>
                <w:rFonts w:ascii="Times New Roman" w:hAnsi="Times New Roman"/>
                <w:sz w:val="18"/>
              </w:rPr>
              <w:t>Capítulo III, secciones 3.5 y 3.6</w:t>
            </w:r>
          </w:p>
        </w:tc>
      </w:tr>
    </w:tbl>
    <w:p>
      <w:pPr>
        <w:spacing w:after="0"/>
      </w:pPr>
    </w:p>
    <w:p>
      <w:pPr>
        <w:pStyle w:val="Heading1"/>
      </w:pPr>
      <w:r>
        <w:rPr>
          <w:rFonts w:ascii="Times New Roman" w:hAnsi="Times New Roman"/>
          <w:sz w:val="28"/>
        </w:rPr>
        <w:t>10. Cronograma de actividades</w:t>
      </w:r>
    </w:p>
    <w:p>
      <w:r>
        <w:rPr>
          <w:rFonts w:ascii="Times New Roman" w:hAnsi="Times New Roman"/>
          <w:sz w:val="24"/>
        </w:rPr>
        <w:t xml:space="preserve">El cronograma se desarrolla del </w:t>
      </w:r>
      <w:r>
        <w:rPr>
          <w:rFonts w:ascii="Times New Roman" w:hAnsi="Times New Roman"/>
          <w:b/>
          <w:sz w:val="24"/>
        </w:rPr>
        <w:t>6 de julio al 15 de noviembre de 2026</w:t>
      </w:r>
      <w:r>
        <w:rPr>
          <w:rFonts w:ascii="Times New Roman" w:hAnsi="Times New Roman"/>
          <w:sz w:val="24"/>
        </w:rPr>
        <w:t>, fechas confirmadas para la ejecución académica. Conserva la presentación por objetivos específicos y muestra su correspondencia con las fases, las iteraciones y los incrementos de RUP.</w:t>
      </w:r>
    </w:p>
    <w:p>
      <w:pPr>
        <w:pStyle w:val="Caption"/>
      </w:pPr>
      <w:r>
        <w:rPr>
          <w:rFonts w:ascii="Times New Roman" w:hAnsi="Times New Roman"/>
          <w:sz w:val="22"/>
        </w:rPr>
        <w:t>Tabla 3</w:t>
      </w:r>
    </w:p>
    <w:p>
      <w:pPr>
        <w:keepNext/>
        <w:spacing w:after="80"/>
        <w:ind w:firstLine="0"/>
        <w:jc w:val="left"/>
      </w:pPr>
      <w:r>
        <w:rPr>
          <w:rFonts w:ascii="Times New Roman" w:hAnsi="Times New Roman"/>
          <w:i/>
          <w:sz w:val="24"/>
        </w:rPr>
        <w:t>Cronograma por objetivos, fases e iteraciones RUP</w:t>
      </w:r>
    </w:p>
    <w:tbl>
      <w:tblPr>
        <w:tblW w:type="dxa" w:w="8270"/>
        <w:jc w:val="center"/>
        <w:tblLayout w:type="fixed"/>
        <w:tblLook w:firstColumn="1" w:firstRow="1" w:lastColumn="0" w:lastRow="0" w:noHBand="0" w:noVBand="1" w:val="04A0"/>
        <w:tblBorders>
          <w:top w:val="single" w:sz="4" w:color="94A3B8"/>
          <w:left w:val="single" w:sz="4" w:color="94A3B8"/>
          <w:bottom w:val="single" w:sz="4" w:color="94A3B8"/>
          <w:right w:val="single" w:sz="4" w:color="94A3B8"/>
          <w:insideH w:val="single" w:sz="4" w:color="94A3B8"/>
          <w:insideV w:val="single" w:sz="4" w:color="94A3B8"/>
        </w:tblBorders>
      </w:tblPr>
      <w:tblGrid>
        <w:gridCol w:w="1150"/>
        <w:gridCol w:w="2500"/>
        <w:gridCol w:w="2500"/>
        <w:gridCol w:w="2120"/>
      </w:tblGrid>
      <w:tr>
        <w:trPr>
          <w:tblHeader w:val="true"/>
        </w:trPr>
        <w:tc>
          <w:tcPr>
            <w:tcW w:type="dxa" w:w="1150"/>
            <w:vAlign w:val="center"/>
            <w:tcMar>
              <w:top w:w="100" w:type="dxa"/>
              <w:start w:w="110" w:type="dxa"/>
              <w:bottom w:w="100" w:type="dxa"/>
              <w:end w:w="110" w:type="dxa"/>
            </w:tcMar>
            <w:shd w:fill="DCE6F1"/>
          </w:tcPr>
          <w:p>
            <w:pPr>
              <w:spacing w:after="0" w:line="240" w:lineRule="auto"/>
              <w:ind w:firstLine="0" w:left="0" w:right="0"/>
              <w:jc w:val="left"/>
            </w:pPr>
            <w:r>
              <w:rPr>
                <w:rFonts w:ascii="Times New Roman" w:hAnsi="Times New Roman"/>
                <w:b/>
                <w:sz w:val="18"/>
              </w:rPr>
              <w:t>Periodo</w:t>
            </w:r>
          </w:p>
        </w:tc>
        <w:tc>
          <w:tcPr>
            <w:tcW w:type="dxa" w:w="2500"/>
            <w:vAlign w:val="center"/>
            <w:tcMar>
              <w:top w:w="100" w:type="dxa"/>
              <w:start w:w="110" w:type="dxa"/>
              <w:bottom w:w="100" w:type="dxa"/>
              <w:end w:w="110" w:type="dxa"/>
            </w:tcMar>
            <w:shd w:fill="DCE6F1"/>
          </w:tcPr>
          <w:p>
            <w:pPr>
              <w:spacing w:after="0" w:line="240" w:lineRule="auto"/>
              <w:ind w:firstLine="0" w:left="0" w:right="0"/>
              <w:jc w:val="left"/>
            </w:pPr>
            <w:r>
              <w:rPr>
                <w:rFonts w:ascii="Times New Roman" w:hAnsi="Times New Roman"/>
                <w:b/>
                <w:sz w:val="18"/>
              </w:rPr>
              <w:t>Fase, iteración y objetivo</w:t>
            </w:r>
          </w:p>
        </w:tc>
        <w:tc>
          <w:tcPr>
            <w:tcW w:type="dxa" w:w="2500"/>
            <w:vAlign w:val="center"/>
            <w:tcMar>
              <w:top w:w="100" w:type="dxa"/>
              <w:start w:w="110" w:type="dxa"/>
              <w:bottom w:w="100" w:type="dxa"/>
              <w:end w:w="110" w:type="dxa"/>
            </w:tcMar>
            <w:shd w:fill="DCE6F1"/>
          </w:tcPr>
          <w:p>
            <w:pPr>
              <w:spacing w:after="0" w:line="240" w:lineRule="auto"/>
              <w:ind w:firstLine="0" w:left="0" w:right="0"/>
              <w:jc w:val="left"/>
            </w:pPr>
            <w:r>
              <w:rPr>
                <w:rFonts w:ascii="Times New Roman" w:hAnsi="Times New Roman"/>
                <w:b/>
                <w:sz w:val="18"/>
              </w:rPr>
              <w:t>Actividades principales</w:t>
            </w:r>
          </w:p>
        </w:tc>
        <w:tc>
          <w:tcPr>
            <w:tcW w:type="dxa" w:w="2120"/>
            <w:vAlign w:val="center"/>
            <w:tcMar>
              <w:top w:w="100" w:type="dxa"/>
              <w:start w:w="110" w:type="dxa"/>
              <w:bottom w:w="100" w:type="dxa"/>
              <w:end w:w="110" w:type="dxa"/>
            </w:tcMar>
            <w:shd w:fill="DCE6F1"/>
          </w:tcPr>
          <w:p>
            <w:pPr>
              <w:spacing w:after="0" w:line="240" w:lineRule="auto"/>
              <w:ind w:firstLine="0" w:left="0" w:right="0"/>
              <w:jc w:val="left"/>
            </w:pPr>
            <w:r>
              <w:rPr>
                <w:rFonts w:ascii="Times New Roman" w:hAnsi="Times New Roman"/>
                <w:b/>
                <w:sz w:val="18"/>
              </w:rPr>
              <w:t>Producto verificable</w:t>
            </w:r>
          </w:p>
        </w:tc>
      </w:tr>
      <w:tr>
        <w:tc>
          <w:tcPr>
            <w:tcW w:type="dxa" w:w="1150"/>
            <w:vAlign w:val="center"/>
            <w:tcMar>
              <w:top w:w="100" w:type="dxa"/>
              <w:start w:w="110" w:type="dxa"/>
              <w:bottom w:w="100" w:type="dxa"/>
              <w:end w:w="110" w:type="dxa"/>
            </w:tcMar>
          </w:tcPr>
          <w:p>
            <w:pPr>
              <w:spacing w:after="0" w:line="240" w:lineRule="auto"/>
              <w:ind w:firstLine="0" w:left="0" w:right="0"/>
              <w:jc w:val="left"/>
            </w:pPr>
            <w:r>
              <w:rPr>
                <w:rFonts w:ascii="Times New Roman" w:hAnsi="Times New Roman"/>
                <w:sz w:val="18"/>
              </w:rPr>
              <w:t>6–19 jul</w:t>
            </w:r>
          </w:p>
        </w:tc>
        <w:tc>
          <w:tcPr>
            <w:tcW w:type="dxa" w:w="2500"/>
            <w:vAlign w:val="center"/>
            <w:tcMar>
              <w:top w:w="100" w:type="dxa"/>
              <w:start w:w="110" w:type="dxa"/>
              <w:bottom w:w="100" w:type="dxa"/>
              <w:end w:w="110" w:type="dxa"/>
            </w:tcMar>
          </w:tcPr>
          <w:p>
            <w:pPr>
              <w:spacing w:after="0" w:line="240" w:lineRule="auto"/>
              <w:ind w:firstLine="0" w:left="0" w:right="0"/>
              <w:jc w:val="left"/>
            </w:pPr>
            <w:r>
              <w:rPr>
                <w:rFonts w:ascii="Times New Roman" w:hAnsi="Times New Roman"/>
                <w:sz w:val="18"/>
              </w:rPr>
              <w:t>Inicio, IN-1 — Objetivo 1</w:t>
            </w:r>
          </w:p>
        </w:tc>
        <w:tc>
          <w:tcPr>
            <w:tcW w:type="dxa" w:w="2500"/>
            <w:vAlign w:val="center"/>
            <w:tcMar>
              <w:top w:w="100" w:type="dxa"/>
              <w:start w:w="110" w:type="dxa"/>
              <w:bottom w:w="100" w:type="dxa"/>
              <w:end w:w="110" w:type="dxa"/>
            </w:tcMar>
          </w:tcPr>
          <w:p>
            <w:pPr>
              <w:spacing w:after="0" w:line="240" w:lineRule="auto"/>
              <w:ind w:firstLine="0" w:left="0" w:right="0"/>
              <w:jc w:val="left"/>
            </w:pPr>
            <w:r>
              <w:rPr>
                <w:rFonts w:ascii="Times New Roman" w:hAnsi="Times New Roman"/>
                <w:sz w:val="18"/>
              </w:rPr>
              <w:t>Alcance, actores, procesos, casos de uso, requisitos iniciales, riesgos y referencia académica</w:t>
            </w:r>
          </w:p>
        </w:tc>
        <w:tc>
          <w:tcPr>
            <w:tcW w:type="dxa" w:w="2120"/>
            <w:vAlign w:val="center"/>
            <w:tcMar>
              <w:top w:w="100" w:type="dxa"/>
              <w:start w:w="110" w:type="dxa"/>
              <w:bottom w:w="100" w:type="dxa"/>
              <w:end w:w="110" w:type="dxa"/>
            </w:tcMar>
          </w:tcPr>
          <w:p>
            <w:pPr>
              <w:spacing w:after="0" w:line="240" w:lineRule="auto"/>
              <w:ind w:firstLine="0" w:left="0" w:right="0"/>
              <w:jc w:val="left"/>
            </w:pPr>
            <w:r>
              <w:rPr>
                <w:rFonts w:ascii="Times New Roman" w:hAnsi="Times New Roman"/>
                <w:sz w:val="18"/>
              </w:rPr>
              <w:t>Visión, plan, requisitos iniciales e hito LCO</w:t>
            </w:r>
          </w:p>
        </w:tc>
      </w:tr>
      <w:tr>
        <w:tc>
          <w:tcPr>
            <w:tcW w:type="dxa" w:w="1150"/>
            <w:vAlign w:val="center"/>
            <w:tcMar>
              <w:top w:w="100" w:type="dxa"/>
              <w:start w:w="110" w:type="dxa"/>
              <w:bottom w:w="100" w:type="dxa"/>
              <w:end w:w="110" w:type="dxa"/>
            </w:tcMar>
            <w:shd w:fill="F8FAFC"/>
          </w:tcPr>
          <w:p>
            <w:pPr>
              <w:spacing w:after="0" w:line="240" w:lineRule="auto"/>
              <w:ind w:firstLine="0" w:left="0" w:right="0"/>
              <w:jc w:val="left"/>
            </w:pPr>
            <w:r>
              <w:rPr>
                <w:rFonts w:ascii="Times New Roman" w:hAnsi="Times New Roman"/>
                <w:sz w:val="18"/>
              </w:rPr>
              <w:t>20 jul–16 ago</w:t>
            </w:r>
          </w:p>
        </w:tc>
        <w:tc>
          <w:tcPr>
            <w:tcW w:type="dxa" w:w="2500"/>
            <w:vAlign w:val="center"/>
            <w:tcMar>
              <w:top w:w="100" w:type="dxa"/>
              <w:start w:w="110" w:type="dxa"/>
              <w:bottom w:w="100" w:type="dxa"/>
              <w:end w:w="110" w:type="dxa"/>
            </w:tcMar>
            <w:shd w:fill="F8FAFC"/>
          </w:tcPr>
          <w:p>
            <w:pPr>
              <w:spacing w:after="0" w:line="240" w:lineRule="auto"/>
              <w:ind w:firstLine="0" w:left="0" w:right="0"/>
              <w:jc w:val="left"/>
            </w:pPr>
            <w:r>
              <w:rPr>
                <w:rFonts w:ascii="Times New Roman" w:hAnsi="Times New Roman"/>
                <w:sz w:val="18"/>
              </w:rPr>
              <w:t>Elaboración, EL-1 — Objetivos 1 y 2</w:t>
            </w:r>
          </w:p>
        </w:tc>
        <w:tc>
          <w:tcPr>
            <w:tcW w:type="dxa" w:w="2500"/>
            <w:vAlign w:val="center"/>
            <w:tcMar>
              <w:top w:w="100" w:type="dxa"/>
              <w:start w:w="110" w:type="dxa"/>
              <w:bottom w:w="100" w:type="dxa"/>
              <w:end w:w="110" w:type="dxa"/>
            </w:tcMar>
            <w:shd w:fill="F8FAFC"/>
          </w:tcPr>
          <w:p>
            <w:pPr>
              <w:spacing w:after="0" w:line="240" w:lineRule="auto"/>
              <w:ind w:firstLine="0" w:left="0" w:right="0"/>
              <w:jc w:val="left"/>
            </w:pPr>
            <w:r>
              <w:rPr>
                <w:rFonts w:ascii="Times New Roman" w:hAnsi="Times New Roman"/>
                <w:sz w:val="18"/>
              </w:rPr>
              <w:t>Reglas, modelo de trazabilidad, arquitectura, línea vertical arquitectónica mínima M1→M2→M3, contratos y riesgos técnicos</w:t>
            </w:r>
          </w:p>
        </w:tc>
        <w:tc>
          <w:tcPr>
            <w:tcW w:type="dxa" w:w="2120"/>
            <w:vAlign w:val="center"/>
            <w:tcMar>
              <w:top w:w="100" w:type="dxa"/>
              <w:start w:w="110" w:type="dxa"/>
              <w:bottom w:w="100" w:type="dxa"/>
              <w:end w:w="110" w:type="dxa"/>
            </w:tcMar>
            <w:shd w:fill="F8FAFC"/>
          </w:tcPr>
          <w:p>
            <w:pPr>
              <w:spacing w:after="0" w:line="240" w:lineRule="auto"/>
              <w:ind w:firstLine="0" w:left="0" w:right="0"/>
              <w:jc w:val="left"/>
            </w:pPr>
            <w:r>
              <w:rPr>
                <w:rFonts w:ascii="Times New Roman" w:hAnsi="Times New Roman"/>
                <w:sz w:val="18"/>
              </w:rPr>
              <w:t>Arquitectura base, especificaciones priorizadas e hito LCA</w:t>
            </w:r>
          </w:p>
        </w:tc>
      </w:tr>
      <w:tr>
        <w:tc>
          <w:tcPr>
            <w:tcW w:type="dxa" w:w="1150"/>
            <w:vAlign w:val="center"/>
            <w:tcMar>
              <w:top w:w="100" w:type="dxa"/>
              <w:start w:w="110" w:type="dxa"/>
              <w:bottom w:w="100" w:type="dxa"/>
              <w:end w:w="110" w:type="dxa"/>
            </w:tcMar>
          </w:tcPr>
          <w:p>
            <w:pPr>
              <w:spacing w:after="0" w:line="240" w:lineRule="auto"/>
              <w:ind w:firstLine="0" w:left="0" w:right="0"/>
              <w:jc w:val="left"/>
            </w:pPr>
            <w:r>
              <w:rPr>
                <w:rFonts w:ascii="Times New Roman" w:hAnsi="Times New Roman"/>
                <w:sz w:val="18"/>
              </w:rPr>
              <w:t>17 ago–6 sep</w:t>
            </w:r>
          </w:p>
        </w:tc>
        <w:tc>
          <w:tcPr>
            <w:tcW w:type="dxa" w:w="2500"/>
            <w:vAlign w:val="center"/>
            <w:tcMar>
              <w:top w:w="100" w:type="dxa"/>
              <w:start w:w="110" w:type="dxa"/>
              <w:bottom w:w="100" w:type="dxa"/>
              <w:end w:w="110" w:type="dxa"/>
            </w:tcMar>
          </w:tcPr>
          <w:p>
            <w:pPr>
              <w:spacing w:after="0" w:line="240" w:lineRule="auto"/>
              <w:ind w:firstLine="0" w:left="0" w:right="0"/>
              <w:jc w:val="left"/>
            </w:pPr>
            <w:r>
              <w:rPr>
                <w:rFonts w:ascii="Times New Roman" w:hAnsi="Times New Roman"/>
                <w:sz w:val="18"/>
              </w:rPr>
              <w:t>Construcción, CO-1 — Objetivo 3</w:t>
            </w:r>
          </w:p>
        </w:tc>
        <w:tc>
          <w:tcPr>
            <w:tcW w:type="dxa" w:w="2500"/>
            <w:vAlign w:val="center"/>
            <w:tcMar>
              <w:top w:w="100" w:type="dxa"/>
              <w:start w:w="110" w:type="dxa"/>
              <w:bottom w:w="100" w:type="dxa"/>
              <w:end w:w="110" w:type="dxa"/>
            </w:tcMar>
          </w:tcPr>
          <w:p>
            <w:pPr>
              <w:spacing w:after="0" w:line="240" w:lineRule="auto"/>
              <w:ind w:firstLine="0" w:left="0" w:right="0"/>
              <w:jc w:val="left"/>
            </w:pPr>
            <w:r>
              <w:rPr>
                <w:rFonts w:ascii="Times New Roman" w:hAnsi="Times New Roman"/>
                <w:sz w:val="18"/>
              </w:rPr>
              <w:t>Especificar, diseñar, implementar y probar M1 Recolección</w:t>
            </w:r>
          </w:p>
        </w:tc>
        <w:tc>
          <w:tcPr>
            <w:tcW w:type="dxa" w:w="2120"/>
            <w:vAlign w:val="center"/>
            <w:tcMar>
              <w:top w:w="100" w:type="dxa"/>
              <w:start w:w="110" w:type="dxa"/>
              <w:bottom w:w="100" w:type="dxa"/>
              <w:end w:w="110" w:type="dxa"/>
            </w:tcMar>
          </w:tcPr>
          <w:p>
            <w:pPr>
              <w:spacing w:after="0" w:line="240" w:lineRule="auto"/>
              <w:ind w:firstLine="0" w:left="0" w:right="0"/>
              <w:jc w:val="left"/>
            </w:pPr>
            <w:r>
              <w:rPr>
                <w:rFonts w:ascii="Times New Roman" w:hAnsi="Times New Roman"/>
                <w:sz w:val="18"/>
              </w:rPr>
              <w:t>Incremento 1: M1 funcional y probado</w:t>
            </w:r>
          </w:p>
        </w:tc>
      </w:tr>
      <w:tr>
        <w:tc>
          <w:tcPr>
            <w:tcW w:type="dxa" w:w="1150"/>
            <w:vAlign w:val="center"/>
            <w:tcMar>
              <w:top w:w="100" w:type="dxa"/>
              <w:start w:w="110" w:type="dxa"/>
              <w:bottom w:w="100" w:type="dxa"/>
              <w:end w:w="110" w:type="dxa"/>
            </w:tcMar>
            <w:shd w:fill="F8FAFC"/>
          </w:tcPr>
          <w:p>
            <w:pPr>
              <w:spacing w:after="0" w:line="240" w:lineRule="auto"/>
              <w:ind w:firstLine="0" w:left="0" w:right="0"/>
              <w:jc w:val="left"/>
            </w:pPr>
            <w:r>
              <w:rPr>
                <w:rFonts w:ascii="Times New Roman" w:hAnsi="Times New Roman"/>
                <w:sz w:val="18"/>
              </w:rPr>
              <w:t>7–27 sep</w:t>
            </w:r>
          </w:p>
        </w:tc>
        <w:tc>
          <w:tcPr>
            <w:tcW w:type="dxa" w:w="2500"/>
            <w:vAlign w:val="center"/>
            <w:tcMar>
              <w:top w:w="100" w:type="dxa"/>
              <w:start w:w="110" w:type="dxa"/>
              <w:bottom w:w="100" w:type="dxa"/>
              <w:end w:w="110" w:type="dxa"/>
            </w:tcMar>
            <w:shd w:fill="F8FAFC"/>
          </w:tcPr>
          <w:p>
            <w:pPr>
              <w:spacing w:after="0" w:line="240" w:lineRule="auto"/>
              <w:ind w:firstLine="0" w:left="0" w:right="0"/>
              <w:jc w:val="left"/>
            </w:pPr>
            <w:r>
              <w:rPr>
                <w:rFonts w:ascii="Times New Roman" w:hAnsi="Times New Roman"/>
                <w:sz w:val="18"/>
              </w:rPr>
              <w:t>Construcción, CO-2 — Objetivo 3</w:t>
            </w:r>
          </w:p>
        </w:tc>
        <w:tc>
          <w:tcPr>
            <w:tcW w:type="dxa" w:w="2500"/>
            <w:vAlign w:val="center"/>
            <w:tcMar>
              <w:top w:w="100" w:type="dxa"/>
              <w:start w:w="110" w:type="dxa"/>
              <w:bottom w:w="100" w:type="dxa"/>
              <w:end w:w="110" w:type="dxa"/>
            </w:tcMar>
            <w:shd w:fill="F8FAFC"/>
          </w:tcPr>
          <w:p>
            <w:pPr>
              <w:spacing w:after="0" w:line="240" w:lineRule="auto"/>
              <w:ind w:firstLine="0" w:left="0" w:right="0"/>
              <w:jc w:val="left"/>
            </w:pPr>
            <w:r>
              <w:rPr>
                <w:rFonts w:ascii="Times New Roman" w:hAnsi="Times New Roman"/>
                <w:sz w:val="18"/>
              </w:rPr>
              <w:t>Construir M2 Vivero e integrar M1→M2</w:t>
            </w:r>
          </w:p>
        </w:tc>
        <w:tc>
          <w:tcPr>
            <w:tcW w:type="dxa" w:w="2120"/>
            <w:vAlign w:val="center"/>
            <w:tcMar>
              <w:top w:w="100" w:type="dxa"/>
              <w:start w:w="110" w:type="dxa"/>
              <w:bottom w:w="100" w:type="dxa"/>
              <w:end w:w="110" w:type="dxa"/>
            </w:tcMar>
            <w:shd w:fill="F8FAFC"/>
          </w:tcPr>
          <w:p>
            <w:pPr>
              <w:spacing w:after="0" w:line="240" w:lineRule="auto"/>
              <w:ind w:firstLine="0" w:left="0" w:right="0"/>
              <w:jc w:val="left"/>
            </w:pPr>
            <w:r>
              <w:rPr>
                <w:rFonts w:ascii="Times New Roman" w:hAnsi="Times New Roman"/>
                <w:sz w:val="18"/>
              </w:rPr>
              <w:t>Incremento 2: M1 y M2 integrados y probados</w:t>
            </w:r>
          </w:p>
        </w:tc>
      </w:tr>
      <w:tr>
        <w:tc>
          <w:tcPr>
            <w:tcW w:type="dxa" w:w="1150"/>
            <w:vAlign w:val="center"/>
            <w:tcMar>
              <w:top w:w="100" w:type="dxa"/>
              <w:start w:w="110" w:type="dxa"/>
              <w:bottom w:w="100" w:type="dxa"/>
              <w:end w:w="110" w:type="dxa"/>
            </w:tcMar>
          </w:tcPr>
          <w:p>
            <w:pPr>
              <w:spacing w:after="0" w:line="240" w:lineRule="auto"/>
              <w:ind w:firstLine="0" w:left="0" w:right="0"/>
              <w:jc w:val="left"/>
            </w:pPr>
            <w:r>
              <w:rPr>
                <w:rFonts w:ascii="Times New Roman" w:hAnsi="Times New Roman"/>
                <w:sz w:val="18"/>
              </w:rPr>
              <w:t>28 sep–18 oct</w:t>
            </w:r>
          </w:p>
        </w:tc>
        <w:tc>
          <w:tcPr>
            <w:tcW w:type="dxa" w:w="2500"/>
            <w:vAlign w:val="center"/>
            <w:tcMar>
              <w:top w:w="100" w:type="dxa"/>
              <w:start w:w="110" w:type="dxa"/>
              <w:bottom w:w="100" w:type="dxa"/>
              <w:end w:w="110" w:type="dxa"/>
            </w:tcMar>
          </w:tcPr>
          <w:p>
            <w:pPr>
              <w:spacing w:after="0" w:line="240" w:lineRule="auto"/>
              <w:ind w:firstLine="0" w:left="0" w:right="0"/>
              <w:jc w:val="left"/>
            </w:pPr>
            <w:r>
              <w:rPr>
                <w:rFonts w:ascii="Times New Roman" w:hAnsi="Times New Roman"/>
                <w:sz w:val="18"/>
              </w:rPr>
              <w:t>Construcción, CO-3 — Objetivo 3</w:t>
            </w:r>
          </w:p>
        </w:tc>
        <w:tc>
          <w:tcPr>
            <w:tcW w:type="dxa" w:w="2500"/>
            <w:vAlign w:val="center"/>
            <w:tcMar>
              <w:top w:w="100" w:type="dxa"/>
              <w:start w:w="110" w:type="dxa"/>
              <w:bottom w:w="100" w:type="dxa"/>
              <w:end w:w="110" w:type="dxa"/>
            </w:tcMar>
          </w:tcPr>
          <w:p>
            <w:pPr>
              <w:spacing w:after="0" w:line="240" w:lineRule="auto"/>
              <w:ind w:firstLine="0" w:left="0" w:right="0"/>
              <w:jc w:val="left"/>
            </w:pPr>
            <w:r>
              <w:rPr>
                <w:rFonts w:ascii="Times New Roman" w:hAnsi="Times New Roman"/>
                <w:sz w:val="18"/>
              </w:rPr>
              <w:t>Construir M3 Plantación e integrar M2→M3</w:t>
            </w:r>
          </w:p>
        </w:tc>
        <w:tc>
          <w:tcPr>
            <w:tcW w:type="dxa" w:w="2120"/>
            <w:vAlign w:val="center"/>
            <w:tcMar>
              <w:top w:w="100" w:type="dxa"/>
              <w:start w:w="110" w:type="dxa"/>
              <w:bottom w:w="100" w:type="dxa"/>
              <w:end w:w="110" w:type="dxa"/>
            </w:tcMar>
          </w:tcPr>
          <w:p>
            <w:pPr>
              <w:spacing w:after="0" w:line="240" w:lineRule="auto"/>
              <w:ind w:firstLine="0" w:left="0" w:right="0"/>
              <w:jc w:val="left"/>
            </w:pPr>
            <w:r>
              <w:rPr>
                <w:rFonts w:ascii="Times New Roman" w:hAnsi="Times New Roman"/>
                <w:sz w:val="18"/>
              </w:rPr>
              <w:t>Incremento 3: tres módulos integrados</w:t>
            </w:r>
          </w:p>
        </w:tc>
      </w:tr>
      <w:tr>
        <w:tc>
          <w:tcPr>
            <w:tcW w:type="dxa" w:w="1150"/>
            <w:vAlign w:val="center"/>
            <w:tcMar>
              <w:top w:w="100" w:type="dxa"/>
              <w:start w:w="110" w:type="dxa"/>
              <w:bottom w:w="100" w:type="dxa"/>
              <w:end w:w="110" w:type="dxa"/>
            </w:tcMar>
            <w:shd w:fill="F8FAFC"/>
          </w:tcPr>
          <w:p>
            <w:pPr>
              <w:spacing w:after="0" w:line="240" w:lineRule="auto"/>
              <w:ind w:firstLine="0" w:left="0" w:right="0"/>
              <w:jc w:val="left"/>
            </w:pPr>
            <w:r>
              <w:rPr>
                <w:rFonts w:ascii="Times New Roman" w:hAnsi="Times New Roman"/>
                <w:sz w:val="18"/>
              </w:rPr>
              <w:t>19 oct–1 nov</w:t>
            </w:r>
          </w:p>
        </w:tc>
        <w:tc>
          <w:tcPr>
            <w:tcW w:type="dxa" w:w="2500"/>
            <w:vAlign w:val="center"/>
            <w:tcMar>
              <w:top w:w="100" w:type="dxa"/>
              <w:start w:w="110" w:type="dxa"/>
              <w:bottom w:w="100" w:type="dxa"/>
              <w:end w:w="110" w:type="dxa"/>
            </w:tcMar>
            <w:shd w:fill="F8FAFC"/>
          </w:tcPr>
          <w:p>
            <w:pPr>
              <w:spacing w:after="0" w:line="240" w:lineRule="auto"/>
              <w:ind w:firstLine="0" w:left="0" w:right="0"/>
              <w:jc w:val="left"/>
            </w:pPr>
            <w:r>
              <w:rPr>
                <w:rFonts w:ascii="Times New Roman" w:hAnsi="Times New Roman"/>
                <w:sz w:val="18"/>
              </w:rPr>
              <w:t>Construcción, CO-4 — Objetivos 3 y 4</w:t>
            </w:r>
          </w:p>
        </w:tc>
        <w:tc>
          <w:tcPr>
            <w:tcW w:type="dxa" w:w="2500"/>
            <w:vAlign w:val="center"/>
            <w:tcMar>
              <w:top w:w="100" w:type="dxa"/>
              <w:start w:w="110" w:type="dxa"/>
              <w:bottom w:w="100" w:type="dxa"/>
              <w:end w:w="110" w:type="dxa"/>
            </w:tcMar>
            <w:shd w:fill="F8FAFC"/>
          </w:tcPr>
          <w:p>
            <w:pPr>
              <w:spacing w:after="0" w:line="240" w:lineRule="auto"/>
              <w:ind w:firstLine="0" w:left="0" w:right="0"/>
              <w:jc w:val="left"/>
            </w:pPr>
            <w:r>
              <w:rPr>
                <w:rFonts w:ascii="Times New Roman" w:hAnsi="Times New Roman"/>
                <w:sz w:val="18"/>
              </w:rPr>
              <w:t>Completar trazabilidad transversal, integración, regresión y versión candidata</w:t>
            </w:r>
          </w:p>
        </w:tc>
        <w:tc>
          <w:tcPr>
            <w:tcW w:type="dxa" w:w="2120"/>
            <w:vAlign w:val="center"/>
            <w:tcMar>
              <w:top w:w="100" w:type="dxa"/>
              <w:start w:w="110" w:type="dxa"/>
              <w:bottom w:w="100" w:type="dxa"/>
              <w:end w:w="110" w:type="dxa"/>
            </w:tcMar>
            <w:shd w:fill="F8FAFC"/>
          </w:tcPr>
          <w:p>
            <w:pPr>
              <w:spacing w:after="0" w:line="240" w:lineRule="auto"/>
              <w:ind w:firstLine="0" w:left="0" w:right="0"/>
              <w:jc w:val="left"/>
            </w:pPr>
            <w:r>
              <w:rPr>
                <w:rFonts w:ascii="Times New Roman" w:hAnsi="Times New Roman"/>
                <w:sz w:val="18"/>
              </w:rPr>
              <w:t>Incremento 4: versión candidata e hito IOC</w:t>
            </w:r>
          </w:p>
        </w:tc>
      </w:tr>
      <w:tr>
        <w:tc>
          <w:tcPr>
            <w:tcW w:type="dxa" w:w="1150"/>
            <w:vAlign w:val="center"/>
            <w:tcMar>
              <w:top w:w="100" w:type="dxa"/>
              <w:start w:w="110" w:type="dxa"/>
              <w:bottom w:w="100" w:type="dxa"/>
              <w:end w:w="110" w:type="dxa"/>
            </w:tcMar>
          </w:tcPr>
          <w:p>
            <w:pPr>
              <w:spacing w:after="0" w:line="240" w:lineRule="auto"/>
              <w:ind w:firstLine="0" w:left="0" w:right="0"/>
              <w:jc w:val="left"/>
            </w:pPr>
            <w:r>
              <w:rPr>
                <w:rFonts w:ascii="Times New Roman" w:hAnsi="Times New Roman"/>
                <w:sz w:val="18"/>
              </w:rPr>
              <w:t>2–8 nov</w:t>
            </w:r>
          </w:p>
        </w:tc>
        <w:tc>
          <w:tcPr>
            <w:tcW w:type="dxa" w:w="2500"/>
            <w:vAlign w:val="center"/>
            <w:tcMar>
              <w:top w:w="100" w:type="dxa"/>
              <w:start w:w="110" w:type="dxa"/>
              <w:bottom w:w="100" w:type="dxa"/>
              <w:end w:w="110" w:type="dxa"/>
            </w:tcMar>
          </w:tcPr>
          <w:p>
            <w:pPr>
              <w:spacing w:after="0" w:line="240" w:lineRule="auto"/>
              <w:ind w:firstLine="0" w:left="0" w:right="0"/>
              <w:jc w:val="left"/>
            </w:pPr>
            <w:r>
              <w:rPr>
                <w:rFonts w:ascii="Times New Roman" w:hAnsi="Times New Roman"/>
                <w:sz w:val="18"/>
              </w:rPr>
              <w:t>Transición, TR-1 — Objetivos 4 y 5</w:t>
            </w:r>
          </w:p>
        </w:tc>
        <w:tc>
          <w:tcPr>
            <w:tcW w:type="dxa" w:w="2500"/>
            <w:vAlign w:val="center"/>
            <w:tcMar>
              <w:top w:w="100" w:type="dxa"/>
              <w:start w:w="110" w:type="dxa"/>
              <w:bottom w:w="100" w:type="dxa"/>
              <w:end w:w="110" w:type="dxa"/>
            </w:tcMar>
          </w:tcPr>
          <w:p>
            <w:pPr>
              <w:spacing w:after="0" w:line="240" w:lineRule="auto"/>
              <w:ind w:firstLine="0" w:left="0" w:right="0"/>
              <w:jc w:val="left"/>
            </w:pPr>
            <w:r>
              <w:rPr>
                <w:rFonts w:ascii="Times New Roman" w:hAnsi="Times New Roman"/>
                <w:sz w:val="18"/>
              </w:rPr>
              <w:t>Pruebas del sistema, escenarios operativos y corrección de defectos</w:t>
            </w:r>
          </w:p>
        </w:tc>
        <w:tc>
          <w:tcPr>
            <w:tcW w:type="dxa" w:w="2120"/>
            <w:vAlign w:val="center"/>
            <w:tcMar>
              <w:top w:w="100" w:type="dxa"/>
              <w:start w:w="110" w:type="dxa"/>
              <w:bottom w:w="100" w:type="dxa"/>
              <w:end w:w="110" w:type="dxa"/>
            </w:tcMar>
          </w:tcPr>
          <w:p>
            <w:pPr>
              <w:spacing w:after="0" w:line="240" w:lineRule="auto"/>
              <w:ind w:firstLine="0" w:left="0" w:right="0"/>
              <w:jc w:val="left"/>
            </w:pPr>
            <w:r>
              <w:rPr>
                <w:rFonts w:ascii="Times New Roman" w:hAnsi="Times New Roman"/>
                <w:sz w:val="18"/>
              </w:rPr>
              <w:t>Informe de verificación y validación</w:t>
            </w:r>
          </w:p>
        </w:tc>
      </w:tr>
      <w:tr>
        <w:tc>
          <w:tcPr>
            <w:tcW w:type="dxa" w:w="1150"/>
            <w:vAlign w:val="center"/>
            <w:tcMar>
              <w:top w:w="100" w:type="dxa"/>
              <w:start w:w="110" w:type="dxa"/>
              <w:bottom w:w="100" w:type="dxa"/>
              <w:end w:w="110" w:type="dxa"/>
            </w:tcMar>
            <w:shd w:fill="F8FAFC"/>
          </w:tcPr>
          <w:p>
            <w:pPr>
              <w:spacing w:after="0" w:line="240" w:lineRule="auto"/>
              <w:ind w:firstLine="0" w:left="0" w:right="0"/>
              <w:jc w:val="left"/>
            </w:pPr>
            <w:r>
              <w:rPr>
                <w:rFonts w:ascii="Times New Roman" w:hAnsi="Times New Roman"/>
                <w:sz w:val="18"/>
              </w:rPr>
              <w:t>9–15 nov</w:t>
            </w:r>
          </w:p>
        </w:tc>
        <w:tc>
          <w:tcPr>
            <w:tcW w:type="dxa" w:w="2500"/>
            <w:vAlign w:val="center"/>
            <w:tcMar>
              <w:top w:w="100" w:type="dxa"/>
              <w:start w:w="110" w:type="dxa"/>
              <w:bottom w:w="100" w:type="dxa"/>
              <w:end w:w="110" w:type="dxa"/>
            </w:tcMar>
            <w:shd w:fill="F8FAFC"/>
          </w:tcPr>
          <w:p>
            <w:pPr>
              <w:spacing w:after="0" w:line="240" w:lineRule="auto"/>
              <w:ind w:firstLine="0" w:left="0" w:right="0"/>
              <w:jc w:val="left"/>
            </w:pPr>
            <w:r>
              <w:rPr>
                <w:rFonts w:ascii="Times New Roman" w:hAnsi="Times New Roman"/>
                <w:sz w:val="18"/>
              </w:rPr>
              <w:t>Transición, TR-1 — Objetivo 5 y cierre</w:t>
            </w:r>
          </w:p>
        </w:tc>
        <w:tc>
          <w:tcPr>
            <w:tcW w:type="dxa" w:w="2500"/>
            <w:vAlign w:val="center"/>
            <w:tcMar>
              <w:top w:w="100" w:type="dxa"/>
              <w:start w:w="110" w:type="dxa"/>
              <w:bottom w:w="100" w:type="dxa"/>
              <w:end w:w="110" w:type="dxa"/>
            </w:tcMar>
            <w:shd w:fill="F8FAFC"/>
          </w:tcPr>
          <w:p>
            <w:pPr>
              <w:spacing w:after="0" w:line="240" w:lineRule="auto"/>
              <w:ind w:firstLine="0" w:left="0" w:right="0"/>
              <w:jc w:val="left"/>
            </w:pPr>
            <w:r>
              <w:rPr>
                <w:rFonts w:ascii="Times New Roman" w:hAnsi="Times New Roman"/>
                <w:sz w:val="18"/>
              </w:rPr>
              <w:t>Despliegue, manuales, aceptación y consolidación del documento</w:t>
            </w:r>
          </w:p>
        </w:tc>
        <w:tc>
          <w:tcPr>
            <w:tcW w:type="dxa" w:w="2120"/>
            <w:vAlign w:val="center"/>
            <w:tcMar>
              <w:top w:w="100" w:type="dxa"/>
              <w:start w:w="110" w:type="dxa"/>
              <w:bottom w:w="100" w:type="dxa"/>
              <w:end w:w="110" w:type="dxa"/>
            </w:tcMar>
            <w:shd w:fill="F8FAFC"/>
          </w:tcPr>
          <w:p>
            <w:pPr>
              <w:spacing w:after="0" w:line="240" w:lineRule="auto"/>
              <w:ind w:firstLine="0" w:left="0" w:right="0"/>
              <w:jc w:val="left"/>
            </w:pPr>
            <w:r>
              <w:rPr>
                <w:rFonts w:ascii="Times New Roman" w:hAnsi="Times New Roman"/>
                <w:sz w:val="18"/>
              </w:rPr>
              <w:t>Producto liberado, hito PR y documento final para revisión</w:t>
            </w:r>
          </w:p>
        </w:tc>
      </w:tr>
    </w:tbl>
    <w:p>
      <w:pPr>
        <w:spacing w:after="0"/>
      </w:pPr>
    </w:p>
    <w:p>
      <w:pPr>
        <w:pStyle w:val="Caption"/>
      </w:pPr>
      <w:r>
        <w:rPr>
          <w:rFonts w:ascii="Times New Roman" w:hAnsi="Times New Roman"/>
          <w:sz w:val="22"/>
        </w:rPr>
        <w:t>Figura 2</w:t>
      </w:r>
    </w:p>
    <w:p>
      <w:pPr>
        <w:keepNext/>
        <w:spacing w:after="80"/>
        <w:ind w:firstLine="0"/>
        <w:jc w:val="left"/>
      </w:pPr>
      <w:r>
        <w:rPr>
          <w:rFonts w:ascii="Times New Roman" w:hAnsi="Times New Roman"/>
          <w:i/>
          <w:sz w:val="24"/>
        </w:rPr>
        <w:t>Diagrama de Gantt del proceso de desarrollo, julio–noviembre de 2026</w:t>
      </w:r>
    </w:p>
    <w:p>
      <w:pPr>
        <w:spacing w:after="120"/>
        <w:ind w:firstLine="0"/>
        <w:jc w:val="center"/>
      </w:pPr>
      <w:r>
        <w:drawing>
          <wp:inline xmlns:a="http://schemas.openxmlformats.org/drawingml/2006/main" xmlns:pic="http://schemas.openxmlformats.org/drawingml/2006/picture">
            <wp:extent cx="5230368" cy="3138221"/>
            <wp:docPr id="3" name="Picture 3" title="Diagrama de Gantt del proceso de desarrollo, julio a noviembre de 2026" descr="Diagrama de Gantt del proceso de desarrollo, julio a noviembre de 2026"/>
            <wp:cNvGraphicFramePr>
              <a:graphicFrameLocks noChangeAspect="1"/>
            </wp:cNvGraphicFramePr>
            <a:graphic>
              <a:graphicData uri="http://schemas.openxmlformats.org/drawingml/2006/picture">
                <pic:pic>
                  <pic:nvPicPr>
                    <pic:cNvPr id="0" name="figura_4.png"/>
                    <pic:cNvPicPr/>
                  </pic:nvPicPr>
                  <pic:blipFill>
                    <a:blip r:embed="rId15"/>
                    <a:stretch>
                      <a:fillRect/>
                    </a:stretch>
                  </pic:blipFill>
                  <pic:spPr>
                    <a:xfrm>
                      <a:off x="0" y="0"/>
                      <a:ext cx="5230368" cy="3138221"/>
                    </a:xfrm>
                    <a:prstGeom prst="rect"/>
                  </pic:spPr>
                </pic:pic>
              </a:graphicData>
            </a:graphic>
          </wp:inline>
        </w:drawing>
      </w:r>
    </w:p>
    <w:p>
      <w:r>
        <w:rPr>
          <w:rFonts w:ascii="Times New Roman" w:hAnsi="Times New Roman"/>
          <w:i/>
          <w:sz w:val="24"/>
        </w:rPr>
        <w:t>Nota.</w:t>
      </w:r>
      <w:r>
        <w:rPr>
          <w:rFonts w:ascii="Times New Roman" w:hAnsi="Times New Roman"/>
          <w:sz w:val="24"/>
        </w:rPr>
        <w:t xml:space="preserve"> Elaboración propia; cada barra utiliza días calendario y cubre los periodos indicados en la Tabla 3.</w:t>
      </w:r>
    </w:p>
    <w:p>
      <w:pPr>
        <w:pStyle w:val="Heading1"/>
      </w:pPr>
      <w:r>
        <w:rPr>
          <w:rFonts w:ascii="Times New Roman" w:hAnsi="Times New Roman"/>
          <w:sz w:val="28"/>
        </w:rPr>
        <w:t>11. Referencias bibliográficas</w:t>
      </w:r>
    </w:p>
    <w:p>
      <w:pPr>
        <w:spacing w:line="360" w:lineRule="auto" w:after="80"/>
        <w:ind w:hanging="720" w:left="720"/>
        <w:jc w:val="left"/>
      </w:pPr>
      <w:r>
        <w:rPr>
          <w:rFonts w:ascii="Times New Roman" w:hAnsi="Times New Roman"/>
          <w:sz w:val="24"/>
        </w:rPr>
        <w:t xml:space="preserve">Dabbene, F., Gay, P., &amp; Tortia, C. (2014). Traceability issues in food supply chain management: A review. </w:t>
      </w:r>
      <w:r>
        <w:rPr>
          <w:rFonts w:ascii="Times New Roman" w:hAnsi="Times New Roman"/>
          <w:i/>
          <w:sz w:val="24"/>
        </w:rPr>
        <w:t>Biosystems Engineering, 120</w:t>
      </w:r>
      <w:r>
        <w:rPr>
          <w:rFonts w:ascii="Times New Roman" w:hAnsi="Times New Roman"/>
          <w:sz w:val="24"/>
        </w:rPr>
        <w:t xml:space="preserve">, 65–80. </w:t>
      </w:r>
      <w:hyperlink r:id="rId16">
        <w:r>
          <w:rPr>
            <w:rFonts w:ascii="Times New Roman" w:hAnsi="Times New Roman"/>
            <w:color w:val="0563C1"/>
            <w:u w:val="single"/>
            <w:sz w:val="24"/>
          </w:rPr>
          <w:t>https://doi.org/10.1016/j.biosystemseng.2013.09.006</w:t>
        </w:r>
      </w:hyperlink>
    </w:p>
    <w:p>
      <w:pPr>
        <w:spacing w:line="360" w:lineRule="auto" w:after="80"/>
        <w:ind w:hanging="720" w:left="720"/>
        <w:jc w:val="left"/>
      </w:pPr>
      <w:r>
        <w:rPr>
          <w:rFonts w:ascii="Times New Roman" w:hAnsi="Times New Roman"/>
          <w:sz w:val="24"/>
        </w:rPr>
        <w:t xml:space="preserve">Food and Agriculture Organization of the United Nations. (2023). </w:t>
      </w:r>
      <w:r>
        <w:rPr>
          <w:rFonts w:ascii="Times New Roman" w:hAnsi="Times New Roman"/>
          <w:i/>
          <w:sz w:val="24"/>
        </w:rPr>
        <w:t>Terms and definitions: FRA 2025</w:t>
      </w:r>
      <w:r>
        <w:rPr>
          <w:rFonts w:ascii="Times New Roman" w:hAnsi="Times New Roman"/>
          <w:sz w:val="24"/>
        </w:rPr>
        <w:t xml:space="preserve"> (Forest Resources Assessment Working Paper No. 194). </w:t>
      </w:r>
      <w:hyperlink r:id="rId17">
        <w:r>
          <w:rPr>
            <w:rFonts w:ascii="Times New Roman" w:hAnsi="Times New Roman"/>
            <w:color w:val="0563C1"/>
            <w:u w:val="single"/>
            <w:sz w:val="24"/>
          </w:rPr>
          <w:t>https://www.fao.org/3/cc4691en/cc4691en.pdf</w:t>
        </w:r>
      </w:hyperlink>
    </w:p>
    <w:p>
      <w:pPr>
        <w:spacing w:line="360" w:lineRule="auto" w:after="80"/>
        <w:ind w:hanging="720" w:left="720"/>
        <w:jc w:val="left"/>
      </w:pPr>
      <w:r>
        <w:rPr>
          <w:rFonts w:ascii="Times New Roman" w:hAnsi="Times New Roman"/>
          <w:sz w:val="24"/>
        </w:rPr>
        <w:t xml:space="preserve">Food and Agriculture Organization of the United Nations. (s. f.). </w:t>
      </w:r>
      <w:r>
        <w:rPr>
          <w:rFonts w:ascii="Times New Roman" w:hAnsi="Times New Roman"/>
          <w:i/>
          <w:sz w:val="24"/>
        </w:rPr>
        <w:t>Forest reproductive material</w:t>
      </w:r>
      <w:r>
        <w:rPr>
          <w:rFonts w:ascii="Times New Roman" w:hAnsi="Times New Roman"/>
          <w:sz w:val="24"/>
        </w:rPr>
        <w:t xml:space="preserve">. Sustainable Forest Management Toolbox. Recuperado el 19 de agosto de 2026, de </w:t>
      </w:r>
      <w:hyperlink r:id="rId18">
        <w:r>
          <w:rPr>
            <w:rFonts w:ascii="Times New Roman" w:hAnsi="Times New Roman"/>
            <w:color w:val="0563C1"/>
            <w:u w:val="single"/>
            <w:sz w:val="24"/>
          </w:rPr>
          <w:t>https://www.fao.org/sustainable-forest-management-toolbox/modules/forest-reproductive-material/en</w:t>
        </w:r>
      </w:hyperlink>
    </w:p>
    <w:p>
      <w:pPr>
        <w:spacing w:line="360" w:lineRule="auto" w:after="80"/>
        <w:ind w:hanging="720" w:left="720"/>
        <w:jc w:val="left"/>
      </w:pPr>
      <w:r>
        <w:rPr>
          <w:rFonts w:ascii="Times New Roman" w:hAnsi="Times New Roman"/>
          <w:sz w:val="24"/>
        </w:rPr>
        <w:t xml:space="preserve">GitHub. (2026, 21 de agosto). </w:t>
      </w:r>
      <w:r>
        <w:rPr>
          <w:rFonts w:ascii="Times New Roman" w:hAnsi="Times New Roman"/>
          <w:i/>
          <w:sz w:val="24"/>
        </w:rPr>
        <w:t>GitHub Spec Kit</w:t>
      </w:r>
      <w:r>
        <w:rPr>
          <w:rFonts w:ascii="Times New Roman" w:hAnsi="Times New Roman"/>
          <w:sz w:val="24"/>
        </w:rPr>
        <w:t xml:space="preserve">. </w:t>
      </w:r>
      <w:hyperlink r:id="rId19">
        <w:r>
          <w:rPr>
            <w:rFonts w:ascii="Times New Roman" w:hAnsi="Times New Roman"/>
            <w:color w:val="0563C1"/>
            <w:u w:val="single"/>
            <w:sz w:val="24"/>
          </w:rPr>
          <w:t>https://github.github.com/spec-kit/</w:t>
        </w:r>
      </w:hyperlink>
    </w:p>
    <w:p>
      <w:pPr>
        <w:spacing w:line="360" w:lineRule="auto" w:after="80"/>
        <w:ind w:hanging="720" w:left="720"/>
        <w:jc w:val="left"/>
      </w:pPr>
      <w:r>
        <w:rPr>
          <w:rFonts w:ascii="Times New Roman" w:hAnsi="Times New Roman"/>
          <w:sz w:val="24"/>
        </w:rPr>
        <w:t xml:space="preserve">IBM. (s. f.). </w:t>
      </w:r>
      <w:r>
        <w:rPr>
          <w:rFonts w:ascii="Times New Roman" w:hAnsi="Times New Roman"/>
          <w:i/>
          <w:sz w:val="24"/>
        </w:rPr>
        <w:t>Project planning in the Rational Unified Process</w:t>
      </w:r>
      <w:r>
        <w:rPr>
          <w:rFonts w:ascii="Times New Roman" w:hAnsi="Times New Roman"/>
          <w:sz w:val="24"/>
        </w:rPr>
        <w:t xml:space="preserve">. </w:t>
      </w:r>
      <w:hyperlink r:id="rId20">
        <w:r>
          <w:rPr>
            <w:rFonts w:ascii="Times New Roman" w:hAnsi="Times New Roman"/>
            <w:color w:val="0563C1"/>
            <w:u w:val="single"/>
            <w:sz w:val="24"/>
          </w:rPr>
          <w:t>https://www.ibm.com/docs/en/rational-clearquest/10.0.9?topic=settings-project-planning</w:t>
        </w:r>
      </w:hyperlink>
    </w:p>
    <w:p>
      <w:pPr>
        <w:spacing w:line="360" w:lineRule="auto" w:after="80"/>
        <w:ind w:hanging="720" w:left="720"/>
        <w:jc w:val="left"/>
      </w:pPr>
      <w:r>
        <w:rPr>
          <w:rFonts w:ascii="Times New Roman" w:hAnsi="Times New Roman"/>
          <w:sz w:val="24"/>
        </w:rPr>
        <w:t xml:space="preserve">International Organization for Standardization. (2019). </w:t>
      </w:r>
      <w:r>
        <w:rPr>
          <w:rFonts w:ascii="Times New Roman" w:hAnsi="Times New Roman"/>
          <w:i/>
          <w:sz w:val="24"/>
        </w:rPr>
        <w:t>Greenhouse gases—Part 2: Specification with guidance at the project level for quantification, monitoring and reporting of greenhouse gas emission reductions or removal enhancements</w:t>
      </w:r>
      <w:r>
        <w:rPr>
          <w:rFonts w:ascii="Times New Roman" w:hAnsi="Times New Roman"/>
          <w:sz w:val="24"/>
        </w:rPr>
        <w:t xml:space="preserve"> (ISO Standard No. 14064-2:2019). </w:t>
      </w:r>
      <w:hyperlink r:id="rId21">
        <w:r>
          <w:rPr>
            <w:rFonts w:ascii="Times New Roman" w:hAnsi="Times New Roman"/>
            <w:color w:val="0563C1"/>
            <w:u w:val="single"/>
            <w:sz w:val="24"/>
          </w:rPr>
          <w:t>https://www.iso.org/standard/66454.html</w:t>
        </w:r>
      </w:hyperlink>
    </w:p>
    <w:p>
      <w:pPr>
        <w:spacing w:line="360" w:lineRule="auto" w:after="80"/>
        <w:ind w:hanging="720" w:left="720"/>
        <w:jc w:val="left"/>
      </w:pPr>
      <w:r>
        <w:rPr>
          <w:rFonts w:ascii="Times New Roman" w:hAnsi="Times New Roman"/>
          <w:sz w:val="24"/>
        </w:rPr>
        <w:t xml:space="preserve">International Organization for Standardization. (2020). </w:t>
      </w:r>
      <w:r>
        <w:rPr>
          <w:rFonts w:ascii="Times New Roman" w:hAnsi="Times New Roman"/>
          <w:i/>
          <w:sz w:val="24"/>
        </w:rPr>
        <w:t>Chain of custody—General terminology and models</w:t>
      </w:r>
      <w:r>
        <w:rPr>
          <w:rFonts w:ascii="Times New Roman" w:hAnsi="Times New Roman"/>
          <w:sz w:val="24"/>
        </w:rPr>
        <w:t xml:space="preserve"> (ISO Standard No. 22095:2020). </w:t>
      </w:r>
      <w:hyperlink r:id="rId22">
        <w:r>
          <w:rPr>
            <w:rFonts w:ascii="Times New Roman" w:hAnsi="Times New Roman"/>
            <w:color w:val="0563C1"/>
            <w:u w:val="single"/>
            <w:sz w:val="24"/>
          </w:rPr>
          <w:t>https://www.iso.org/standard/72532.html</w:t>
        </w:r>
      </w:hyperlink>
    </w:p>
    <w:p>
      <w:pPr>
        <w:spacing w:line="360" w:lineRule="auto" w:after="80"/>
        <w:ind w:hanging="720" w:left="720"/>
        <w:jc w:val="left"/>
      </w:pPr>
      <w:r>
        <w:rPr>
          <w:rFonts w:ascii="Times New Roman" w:hAnsi="Times New Roman"/>
          <w:sz w:val="24"/>
        </w:rPr>
        <w:t xml:space="preserve">International Organization for Standardization. (2025). </w:t>
      </w:r>
      <w:r>
        <w:rPr>
          <w:rFonts w:ascii="Times New Roman" w:hAnsi="Times New Roman"/>
          <w:i/>
          <w:sz w:val="24"/>
        </w:rPr>
        <w:t>Systems and software engineering—Life cycle profiles for very small entities (VSEs)—Part 5-1-2: Software engineering guidelines for the generic Basic profile</w:t>
      </w:r>
      <w:r>
        <w:rPr>
          <w:rFonts w:ascii="Times New Roman" w:hAnsi="Times New Roman"/>
          <w:sz w:val="24"/>
        </w:rPr>
        <w:t xml:space="preserve"> (ISO/IEC Standard No. 29110-5-1-2:2025). </w:t>
      </w:r>
      <w:hyperlink r:id="rId23">
        <w:r>
          <w:rPr>
            <w:rFonts w:ascii="Times New Roman" w:hAnsi="Times New Roman"/>
            <w:color w:val="0563C1"/>
            <w:u w:val="single"/>
            <w:sz w:val="24"/>
          </w:rPr>
          <w:t>https://www.iso.org/standard/82669.html</w:t>
        </w:r>
      </w:hyperlink>
    </w:p>
    <w:p>
      <w:pPr>
        <w:spacing w:line="360" w:lineRule="auto" w:after="80"/>
        <w:ind w:hanging="720" w:left="720"/>
        <w:jc w:val="left"/>
      </w:pPr>
      <w:r>
        <w:rPr>
          <w:rFonts w:ascii="Times New Roman" w:hAnsi="Times New Roman"/>
          <w:sz w:val="24"/>
        </w:rPr>
        <w:t xml:space="preserve">International Organization for Standardization. (2026). </w:t>
      </w:r>
      <w:r>
        <w:rPr>
          <w:rFonts w:ascii="Times New Roman" w:hAnsi="Times New Roman"/>
          <w:i/>
          <w:sz w:val="24"/>
        </w:rPr>
        <w:t>Quality management—Fundamentals and vocabulary</w:t>
      </w:r>
      <w:r>
        <w:rPr>
          <w:rFonts w:ascii="Times New Roman" w:hAnsi="Times New Roman"/>
          <w:sz w:val="24"/>
        </w:rPr>
        <w:t xml:space="preserve"> (ISO Standard No. 9000:2026). </w:t>
      </w:r>
      <w:hyperlink r:id="rId24">
        <w:r>
          <w:rPr>
            <w:rFonts w:ascii="Times New Roman" w:hAnsi="Times New Roman"/>
            <w:color w:val="0563C1"/>
            <w:u w:val="single"/>
            <w:sz w:val="24"/>
          </w:rPr>
          <w:t>https://www.iso.org/standard/9000</w:t>
        </w:r>
      </w:hyperlink>
    </w:p>
    <w:p>
      <w:pPr>
        <w:spacing w:line="360" w:lineRule="auto" w:after="80"/>
        <w:ind w:hanging="720" w:left="720"/>
        <w:jc w:val="left"/>
      </w:pPr>
      <w:r>
        <w:rPr>
          <w:rFonts w:ascii="Times New Roman" w:hAnsi="Times New Roman"/>
          <w:sz w:val="24"/>
        </w:rPr>
        <w:t xml:space="preserve">Kruchten, P. (2004). </w:t>
      </w:r>
      <w:r>
        <w:rPr>
          <w:rFonts w:ascii="Times New Roman" w:hAnsi="Times New Roman"/>
          <w:i/>
          <w:sz w:val="24"/>
        </w:rPr>
        <w:t>The Rational Unified Process: An introduction</w:t>
      </w:r>
      <w:r>
        <w:rPr>
          <w:rFonts w:ascii="Times New Roman" w:hAnsi="Times New Roman"/>
          <w:sz w:val="24"/>
        </w:rPr>
        <w:t xml:space="preserve"> (3.ª ed.). Addison-Wesley Professional.</w:t>
      </w:r>
    </w:p>
    <w:p>
      <w:pPr>
        <w:spacing w:line="360" w:lineRule="auto" w:after="80"/>
        <w:ind w:hanging="720" w:left="720"/>
        <w:jc w:val="left"/>
      </w:pPr>
      <w:r>
        <w:rPr>
          <w:rFonts w:ascii="Times New Roman" w:hAnsi="Times New Roman"/>
          <w:sz w:val="24"/>
        </w:rPr>
        <w:t xml:space="preserve">Limachi Mamani, F. Z. (2020). </w:t>
      </w:r>
      <w:r>
        <w:rPr>
          <w:rFonts w:ascii="Times New Roman" w:hAnsi="Times New Roman"/>
          <w:i/>
          <w:sz w:val="24"/>
        </w:rPr>
        <w:t>Sistema de registro geolocalización de viveros en el departamento de La Paz. Caso ABT</w:t>
      </w:r>
      <w:r>
        <w:rPr>
          <w:rFonts w:ascii="Times New Roman" w:hAnsi="Times New Roman"/>
          <w:sz w:val="24"/>
        </w:rPr>
        <w:t xml:space="preserve"> [Proyecto de grado, Universidad Pública de El Alto]. </w:t>
      </w:r>
      <w:hyperlink r:id="rId25">
        <w:r>
          <w:rPr>
            <w:rFonts w:ascii="Times New Roman" w:hAnsi="Times New Roman"/>
            <w:color w:val="0563C1"/>
            <w:u w:val="single"/>
            <w:sz w:val="24"/>
          </w:rPr>
          <w:t>https://repositorio.upea.bo/jspui/handle/123456789/172</w:t>
        </w:r>
      </w:hyperlink>
    </w:p>
    <w:p>
      <w:pPr>
        <w:spacing w:line="360" w:lineRule="auto" w:after="80"/>
        <w:ind w:hanging="720" w:left="720"/>
        <w:jc w:val="left"/>
      </w:pPr>
      <w:r>
        <w:rPr>
          <w:rFonts w:ascii="Times New Roman" w:hAnsi="Times New Roman"/>
          <w:sz w:val="24"/>
        </w:rPr>
        <w:t xml:space="preserve">Mayorga Vásquez, L. C., Riccardi Martillo, G. A., Bermeo Almeida, O. X., &amp; Guevara Arias, V. I. (2022). Sistema web para los procesos administrativos y de producción en viveros del cantón Milagro. </w:t>
      </w:r>
      <w:r>
        <w:rPr>
          <w:rFonts w:ascii="Times New Roman" w:hAnsi="Times New Roman"/>
          <w:i/>
          <w:sz w:val="24"/>
        </w:rPr>
        <w:t>Revista Ingeniería, 6</w:t>
      </w:r>
      <w:r>
        <w:rPr>
          <w:rFonts w:ascii="Times New Roman" w:hAnsi="Times New Roman"/>
          <w:sz w:val="24"/>
        </w:rPr>
        <w:t xml:space="preserve">(16), 200–213. </w:t>
      </w:r>
      <w:hyperlink r:id="rId26">
        <w:r>
          <w:rPr>
            <w:rFonts w:ascii="Times New Roman" w:hAnsi="Times New Roman"/>
            <w:color w:val="0563C1"/>
            <w:u w:val="single"/>
            <w:sz w:val="24"/>
          </w:rPr>
          <w:t>https://doi.org/10.33996/revistaingenieria.v6i16.100</w:t>
        </w:r>
      </w:hyperlink>
    </w:p>
    <w:p>
      <w:pPr>
        <w:spacing w:line="360" w:lineRule="auto" w:after="80"/>
        <w:ind w:hanging="720" w:left="720"/>
        <w:jc w:val="left"/>
      </w:pPr>
      <w:r>
        <w:rPr>
          <w:rFonts w:ascii="Times New Roman" w:hAnsi="Times New Roman"/>
          <w:sz w:val="24"/>
        </w:rPr>
        <w:t xml:space="preserve">Moe, T. (1998). Perspectives on traceability in food manufacture. </w:t>
      </w:r>
      <w:r>
        <w:rPr>
          <w:rFonts w:ascii="Times New Roman" w:hAnsi="Times New Roman"/>
          <w:i/>
          <w:sz w:val="24"/>
        </w:rPr>
        <w:t>Trends in Food Science &amp; Technology, 9</w:t>
      </w:r>
      <w:r>
        <w:rPr>
          <w:rFonts w:ascii="Times New Roman" w:hAnsi="Times New Roman"/>
          <w:sz w:val="24"/>
        </w:rPr>
        <w:t xml:space="preserve">(5), 211–214. </w:t>
      </w:r>
      <w:hyperlink r:id="rId27">
        <w:r>
          <w:rPr>
            <w:rFonts w:ascii="Times New Roman" w:hAnsi="Times New Roman"/>
            <w:color w:val="0563C1"/>
            <w:u w:val="single"/>
            <w:sz w:val="24"/>
          </w:rPr>
          <w:t>https://doi.org/10.1016/S0924-2244(98</w:t>
        </w:r>
      </w:hyperlink>
      <w:r>
        <w:rPr>
          <w:rFonts w:ascii="Times New Roman" w:hAnsi="Times New Roman"/>
          <w:sz w:val="24"/>
        </w:rPr>
        <w:t>)00037-5</w:t>
      </w:r>
    </w:p>
    <w:p>
      <w:pPr>
        <w:spacing w:line="360" w:lineRule="auto" w:after="80"/>
        <w:ind w:hanging="720" w:left="720"/>
        <w:jc w:val="left"/>
      </w:pPr>
      <w:r>
        <w:rPr>
          <w:rFonts w:ascii="Times New Roman" w:hAnsi="Times New Roman"/>
          <w:sz w:val="24"/>
        </w:rPr>
        <w:t xml:space="preserve">Olsen, P., &amp; Borit, M. (2013). How to define traceability. </w:t>
      </w:r>
      <w:r>
        <w:rPr>
          <w:rFonts w:ascii="Times New Roman" w:hAnsi="Times New Roman"/>
          <w:i/>
          <w:sz w:val="24"/>
        </w:rPr>
        <w:t>Trends in Food Science &amp; Technology, 29</w:t>
      </w:r>
      <w:r>
        <w:rPr>
          <w:rFonts w:ascii="Times New Roman" w:hAnsi="Times New Roman"/>
          <w:sz w:val="24"/>
        </w:rPr>
        <w:t xml:space="preserve">(2), 142–150. </w:t>
      </w:r>
      <w:hyperlink r:id="rId28">
        <w:r>
          <w:rPr>
            <w:rFonts w:ascii="Times New Roman" w:hAnsi="Times New Roman"/>
            <w:color w:val="0563C1"/>
            <w:u w:val="single"/>
            <w:sz w:val="24"/>
          </w:rPr>
          <w:t>https://doi.org/10.1016/j.tifs.2012.10.003</w:t>
        </w:r>
      </w:hyperlink>
    </w:p>
    <w:p>
      <w:pPr>
        <w:spacing w:line="360" w:lineRule="auto" w:after="80"/>
        <w:ind w:hanging="720" w:left="720"/>
        <w:jc w:val="left"/>
      </w:pPr>
      <w:r>
        <w:rPr>
          <w:rFonts w:ascii="Times New Roman" w:hAnsi="Times New Roman"/>
          <w:sz w:val="24"/>
        </w:rPr>
        <w:t xml:space="preserve">Quispe Tola, M. R., &amp; Condori Zapana, J. C. (2020). </w:t>
      </w:r>
      <w:r>
        <w:rPr>
          <w:rFonts w:ascii="Times New Roman" w:hAnsi="Times New Roman"/>
          <w:i/>
          <w:sz w:val="24"/>
        </w:rPr>
        <w:t>Sistema inventario registro de iniciativas de manejo integral sustentables de los bosques y la Madre Tierra</w:t>
      </w:r>
      <w:r>
        <w:rPr>
          <w:rFonts w:ascii="Times New Roman" w:hAnsi="Times New Roman"/>
          <w:sz w:val="24"/>
        </w:rPr>
        <w:t xml:space="preserve"> [Proyecto de grado, Universidad Pública de El Alto]. </w:t>
      </w:r>
      <w:hyperlink r:id="rId29">
        <w:r>
          <w:rPr>
            <w:rFonts w:ascii="Times New Roman" w:hAnsi="Times New Roman"/>
            <w:color w:val="0563C1"/>
            <w:u w:val="single"/>
            <w:sz w:val="24"/>
          </w:rPr>
          <w:t>https://repositorio.upea.bo/jspui/bitstream/123456789/64/1/PDG-MARLIEN%20RUTH%20QUISPE%20TOLA-JUAN%20CARLOS%20CONDORI%20ZAPANA.pdf</w:t>
        </w:r>
      </w:hyperlink>
    </w:p>
    <w:p>
      <w:pPr>
        <w:spacing w:line="360" w:lineRule="auto" w:after="80"/>
        <w:ind w:hanging="720" w:left="720"/>
        <w:jc w:val="left"/>
      </w:pPr>
      <w:r>
        <w:rPr>
          <w:rFonts w:ascii="Times New Roman" w:hAnsi="Times New Roman"/>
          <w:sz w:val="24"/>
        </w:rPr>
        <w:t xml:space="preserve">R3Foresta. (2026, 23 de agosto). </w:t>
      </w:r>
      <w:r>
        <w:rPr>
          <w:rFonts w:ascii="Times New Roman" w:hAnsi="Times New Roman"/>
          <w:i/>
          <w:sz w:val="24"/>
        </w:rPr>
        <w:t>Resumen ejecutivo institucional: Modelo integral de bioregeneración, innovación ambiental y desarrollo comunitario</w:t>
      </w:r>
      <w:r>
        <w:rPr>
          <w:rFonts w:ascii="Times New Roman" w:hAnsi="Times New Roman"/>
          <w:sz w:val="24"/>
        </w:rPr>
        <w:t xml:space="preserve"> [Documento institucional no publicado].</w:t>
      </w:r>
    </w:p>
    <w:p>
      <w:pPr>
        <w:spacing w:line="360" w:lineRule="auto" w:after="80"/>
        <w:ind w:hanging="720" w:left="720"/>
        <w:jc w:val="left"/>
      </w:pPr>
      <w:r>
        <w:rPr>
          <w:rFonts w:ascii="Times New Roman" w:hAnsi="Times New Roman"/>
          <w:sz w:val="24"/>
        </w:rPr>
        <w:t xml:space="preserve">Salamanca Contreras, F. R. (2024). </w:t>
      </w:r>
      <w:r>
        <w:rPr>
          <w:rFonts w:ascii="Times New Roman" w:hAnsi="Times New Roman"/>
          <w:i/>
          <w:sz w:val="24"/>
        </w:rPr>
        <w:t>Influencia del sistema web con notificaciones en el proceso de control interno y seguimiento del inventario en el vivero Tu Semilla E.I.R.L. sede Tacna, 2022</w:t>
      </w:r>
      <w:r>
        <w:rPr>
          <w:rFonts w:ascii="Times New Roman" w:hAnsi="Times New Roman"/>
          <w:sz w:val="24"/>
        </w:rPr>
        <w:t xml:space="preserve"> [Tesis, Universidad Privada de Tacna]. </w:t>
      </w:r>
      <w:hyperlink r:id="rId30">
        <w:r>
          <w:rPr>
            <w:rFonts w:ascii="Times New Roman" w:hAnsi="Times New Roman"/>
            <w:color w:val="0563C1"/>
            <w:u w:val="single"/>
            <w:sz w:val="24"/>
          </w:rPr>
          <w:t>https://repositorio.upt.edu.pe/handle/20.500.12969/3690</w:t>
        </w:r>
      </w:hyperlink>
    </w:p>
    <w:p>
      <w:pPr>
        <w:spacing w:line="360" w:lineRule="auto" w:after="80"/>
        <w:ind w:hanging="720" w:left="720"/>
        <w:jc w:val="left"/>
      </w:pPr>
      <w:r>
        <w:rPr>
          <w:rFonts w:ascii="Times New Roman" w:hAnsi="Times New Roman"/>
          <w:sz w:val="24"/>
        </w:rPr>
        <w:t xml:space="preserve">Schwaber, K., &amp; Sutherland, J. (2020). </w:t>
      </w:r>
      <w:r>
        <w:rPr>
          <w:rFonts w:ascii="Times New Roman" w:hAnsi="Times New Roman"/>
          <w:i/>
          <w:sz w:val="24"/>
        </w:rPr>
        <w:t>The Scrum Guide</w:t>
      </w:r>
      <w:r>
        <w:rPr>
          <w:rFonts w:ascii="Times New Roman" w:hAnsi="Times New Roman"/>
          <w:sz w:val="24"/>
        </w:rPr>
        <w:t xml:space="preserve">. </w:t>
      </w:r>
      <w:hyperlink r:id="rId31">
        <w:r>
          <w:rPr>
            <w:rFonts w:ascii="Times New Roman" w:hAnsi="Times New Roman"/>
            <w:color w:val="0563C1"/>
            <w:u w:val="single"/>
            <w:sz w:val="24"/>
          </w:rPr>
          <w:t>https://scrumguides.org/docs/scrumguide/v2020/2020-Scrum-Guide-US.pdf</w:t>
        </w:r>
      </w:hyperlink>
    </w:p>
    <w:p>
      <w:pPr>
        <w:spacing w:line="360" w:lineRule="auto" w:after="80"/>
        <w:ind w:hanging="720" w:left="720"/>
        <w:jc w:val="left"/>
      </w:pPr>
      <w:r>
        <w:rPr>
          <w:rFonts w:ascii="Times New Roman" w:hAnsi="Times New Roman"/>
          <w:sz w:val="24"/>
        </w:rPr>
        <w:t xml:space="preserve">Tabassi, E. (2023). </w:t>
      </w:r>
      <w:r>
        <w:rPr>
          <w:rFonts w:ascii="Times New Roman" w:hAnsi="Times New Roman"/>
          <w:i/>
          <w:sz w:val="24"/>
        </w:rPr>
        <w:t>Artificial Intelligence Risk Management Framework (AI RMF 1.0)</w:t>
      </w:r>
      <w:r>
        <w:rPr>
          <w:rFonts w:ascii="Times New Roman" w:hAnsi="Times New Roman"/>
          <w:sz w:val="24"/>
        </w:rPr>
        <w:t xml:space="preserve"> (NIST AI 100-1). National Institute of Standards and Technology. </w:t>
      </w:r>
      <w:hyperlink r:id="rId32">
        <w:r>
          <w:rPr>
            <w:rFonts w:ascii="Times New Roman" w:hAnsi="Times New Roman"/>
            <w:color w:val="0563C1"/>
            <w:u w:val="single"/>
            <w:sz w:val="24"/>
          </w:rPr>
          <w:t>https://doi.org/10.6028/NIST.AI.100-1</w:t>
        </w:r>
      </w:hyperlink>
    </w:p>
    <w:p>
      <w:pPr>
        <w:spacing w:line="360" w:lineRule="auto" w:after="80"/>
        <w:ind w:hanging="720" w:left="720"/>
        <w:jc w:val="left"/>
      </w:pPr>
      <w:r>
        <w:rPr>
          <w:rFonts w:ascii="Times New Roman" w:hAnsi="Times New Roman"/>
          <w:sz w:val="24"/>
        </w:rPr>
        <w:t xml:space="preserve">Thakur, M., Sørensen, C. F., Bjørnson, F. O., Forås, E., &amp; Hurburgh, C. R. (2011). Managing food traceability information using EPCIS framework. </w:t>
      </w:r>
      <w:r>
        <w:rPr>
          <w:rFonts w:ascii="Times New Roman" w:hAnsi="Times New Roman"/>
          <w:i/>
          <w:sz w:val="24"/>
        </w:rPr>
        <w:t>Journal of Food Engineering, 103</w:t>
      </w:r>
      <w:r>
        <w:rPr>
          <w:rFonts w:ascii="Times New Roman" w:hAnsi="Times New Roman"/>
          <w:sz w:val="24"/>
        </w:rPr>
        <w:t xml:space="preserve">(4), 417–433. </w:t>
      </w:r>
      <w:hyperlink r:id="rId33">
        <w:r>
          <w:rPr>
            <w:rFonts w:ascii="Times New Roman" w:hAnsi="Times New Roman"/>
            <w:color w:val="0563C1"/>
            <w:u w:val="single"/>
            <w:sz w:val="24"/>
          </w:rPr>
          <w:t>https://doi.org/10.1016/j.jfoodeng.2010.11.012</w:t>
        </w:r>
      </w:hyperlink>
    </w:p>
    <w:p>
      <w:pPr>
        <w:spacing w:line="360" w:lineRule="auto" w:after="80"/>
        <w:ind w:hanging="720" w:left="720"/>
        <w:jc w:val="left"/>
      </w:pPr>
      <w:r>
        <w:rPr>
          <w:rFonts w:ascii="Times New Roman" w:hAnsi="Times New Roman"/>
          <w:sz w:val="24"/>
        </w:rPr>
        <w:t xml:space="preserve">Valdez Alvarado, G. R. (2023). </w:t>
      </w:r>
      <w:r>
        <w:rPr>
          <w:rFonts w:ascii="Times New Roman" w:hAnsi="Times New Roman"/>
          <w:i/>
          <w:sz w:val="24"/>
        </w:rPr>
        <w:t>Desarrollo de un sistema de información web para la gestión y control de viveros en la ciudad de El Alto. Caso: Unidad de Forestación del Gobierno Autónomo Municipal de El Alto</w:t>
      </w:r>
      <w:r>
        <w:rPr>
          <w:rFonts w:ascii="Times New Roman" w:hAnsi="Times New Roman"/>
          <w:sz w:val="24"/>
        </w:rPr>
        <w:t xml:space="preserve"> [Proyecto de grado, Universidad Pública de El Alto]. </w:t>
      </w:r>
      <w:hyperlink r:id="rId34">
        <w:r>
          <w:rPr>
            <w:rFonts w:ascii="Times New Roman" w:hAnsi="Times New Roman"/>
            <w:color w:val="0563C1"/>
            <w:u w:val="single"/>
            <w:sz w:val="24"/>
          </w:rPr>
          <w:t>https://repositorio.upea.bo/jspui/bitstream/123456789/1019/1/PROYECTO%20DE%20GRADO%20-%20%20GADIEL%20RANDALL.pdf</w:t>
        </w:r>
      </w:hyperlink>
    </w:p>
    <w:p>
      <w:pPr>
        <w:spacing w:line="360" w:lineRule="auto" w:after="80"/>
        <w:ind w:hanging="720" w:left="720"/>
        <w:jc w:val="left"/>
      </w:pPr>
      <w:r>
        <w:rPr>
          <w:rFonts w:ascii="Times New Roman" w:hAnsi="Times New Roman"/>
          <w:sz w:val="24"/>
        </w:rPr>
        <w:t xml:space="preserve">Verra. (s. f.). </w:t>
      </w:r>
      <w:r>
        <w:rPr>
          <w:rFonts w:ascii="Times New Roman" w:hAnsi="Times New Roman"/>
          <w:i/>
          <w:sz w:val="24"/>
        </w:rPr>
        <w:t>Develop a Verified Carbon Standard (VCS) project.</w:t>
      </w:r>
      <w:r>
        <w:rPr>
          <w:rFonts w:ascii="Times New Roman" w:hAnsi="Times New Roman"/>
          <w:sz w:val="24"/>
        </w:rPr>
        <w:t xml:space="preserve"> Recuperado el 27 de agosto de 2026, de </w:t>
      </w:r>
      <w:hyperlink r:id="rId35">
        <w:r>
          <w:rPr>
            <w:rFonts w:ascii="Times New Roman" w:hAnsi="Times New Roman"/>
            <w:color w:val="0563C1"/>
            <w:u w:val="single"/>
            <w:sz w:val="24"/>
          </w:rPr>
          <w:t>https://verra.org/programs/verified-carbon-standard/develop-a-vcs-project/</w:t>
        </w:r>
      </w:hyperlink>
    </w:p>
    <w:p>
      <w:pPr>
        <w:pStyle w:val="Heading1"/>
        <w:pageBreakBefore/>
      </w:pPr>
      <w:r>
        <w:rPr>
          <w:rFonts w:ascii="Times New Roman" w:hAnsi="Times New Roman"/>
          <w:sz w:val="28"/>
        </w:rPr>
        <w:t>12. Anexos</w:t>
      </w:r>
    </w:p>
    <w:p>
      <w:pPr>
        <w:pStyle w:val="Heading2"/>
      </w:pPr>
      <w:r>
        <w:rPr>
          <w:rFonts w:ascii="Times New Roman" w:hAnsi="Times New Roman"/>
          <w:sz w:val="24"/>
        </w:rPr>
        <w:t>Anexo A — Árbol de causas y efectos</w:t>
      </w:r>
    </w:p>
    <w:p>
      <w:pPr>
        <w:pStyle w:val="Caption"/>
      </w:pPr>
      <w:r>
        <w:rPr>
          <w:rFonts w:ascii="Times New Roman" w:hAnsi="Times New Roman"/>
          <w:sz w:val="22"/>
        </w:rPr>
        <w:t>Figura A1</w:t>
      </w:r>
    </w:p>
    <w:p>
      <w:pPr>
        <w:keepNext/>
        <w:spacing w:after="80"/>
        <w:ind w:firstLine="0"/>
        <w:jc w:val="left"/>
      </w:pPr>
      <w:r>
        <w:rPr>
          <w:rFonts w:ascii="Times New Roman" w:hAnsi="Times New Roman"/>
          <w:i/>
          <w:sz w:val="24"/>
        </w:rPr>
        <w:t>Árbol de causas y efectos de la situación problemática</w:t>
      </w:r>
    </w:p>
    <w:p>
      <w:pPr>
        <w:spacing w:after="120"/>
        <w:ind w:firstLine="0"/>
        <w:jc w:val="center"/>
      </w:pPr>
      <w:r>
        <w:drawing>
          <wp:inline xmlns:a="http://schemas.openxmlformats.org/drawingml/2006/main" xmlns:pic="http://schemas.openxmlformats.org/drawingml/2006/picture">
            <wp:extent cx="5230368" cy="6211062"/>
            <wp:docPr id="4" name="Picture 4" title="Árbol de causas y efectos de la situación problemática" descr="Árbol de causas y efectos de la situación problemática"/>
            <wp:cNvGraphicFramePr>
              <a:graphicFrameLocks noChangeAspect="1"/>
            </wp:cNvGraphicFramePr>
            <a:graphic>
              <a:graphicData uri="http://schemas.openxmlformats.org/drawingml/2006/picture">
                <pic:pic>
                  <pic:nvPicPr>
                    <pic:cNvPr id="0" name="figura_1.png"/>
                    <pic:cNvPicPr/>
                  </pic:nvPicPr>
                  <pic:blipFill>
                    <a:blip r:embed="rId36"/>
                    <a:stretch>
                      <a:fillRect/>
                    </a:stretch>
                  </pic:blipFill>
                  <pic:spPr>
                    <a:xfrm>
                      <a:off x="0" y="0"/>
                      <a:ext cx="5230368" cy="6211062"/>
                    </a:xfrm>
                    <a:prstGeom prst="rect"/>
                  </pic:spPr>
                </pic:pic>
              </a:graphicData>
            </a:graphic>
          </wp:inline>
        </w:drawing>
      </w:r>
    </w:p>
    <w:p>
      <w:r>
        <w:rPr>
          <w:rFonts w:ascii="Times New Roman" w:hAnsi="Times New Roman"/>
          <w:i/>
          <w:sz w:val="24"/>
        </w:rPr>
        <w:t>Nota.</w:t>
      </w:r>
      <w:r>
        <w:rPr>
          <w:rFonts w:ascii="Times New Roman" w:hAnsi="Times New Roman"/>
          <w:sz w:val="24"/>
        </w:rPr>
        <w:t xml:space="preserve"> Elaboración propia a partir del planteamiento del problema.</w:t>
      </w:r>
    </w:p>
    <w:sectPr w:rsidR="00FC693F" w:rsidRPr="0006063C" w:rsidSect="00034616">
      <w:headerReference w:type="default" r:id="rId12"/>
      <w:footerReference w:type="default" r:id="rId13"/>
      <w:pgSz w:w="12240" w:h="15840"/>
      <w:pgMar w:top="1701" w:right="1701" w:bottom="1701" w:left="2268"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0"/>
      </w:rP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0"/>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Times New Roman" w:hAnsi="Times New Roman"/>
        <w:color w:val="6B7280"/>
        <w:sz w:val="18"/>
      </w:rPr>
      <w:t>Perfil de Proyecto de Grado · R3Foresta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decimal"/>
      <w:lvlText w:val="%1."/>
      <w:lvlJc w:val="left"/>
      <w:pPr>
        <w:tabs>
          <w:tab w:val="num" w:pos="720"/>
        </w:tabs>
        <w:ind w:left="720" w:hanging="360"/>
      </w:pPr>
    </w:lvl>
  </w:abstractNum>
  <w:num w:numId="10">
    <w:abstractNumId w:val="9"/>
  </w:num>
  <w:abstractNum w:abstractNumId="10">
    <w:multiLevelType w:val="singleLevel"/>
    <w:lvl w:ilvl="0">
      <w:start w:val="1"/>
      <w:numFmt w:val="decimal"/>
      <w:lvlText w:val="%1."/>
      <w:lvlJc w:val="left"/>
      <w:pPr>
        <w:tabs>
          <w:tab w:val="num" w:pos="720"/>
        </w:tabs>
        <w:ind w:left="720" w:hanging="360"/>
      </w:pPr>
    </w:lvl>
  </w:abstractNum>
  <w:num w:numId="11">
    <w:abstractNumId w:val="10"/>
  </w:num>
  <w:abstractNum w:abstractNumId="11">
    <w:multiLevelType w:val="singleLevel"/>
    <w:lvl w:ilvl="0">
      <w:start w:val="1"/>
      <w:numFmt w:val="decimal"/>
      <w:lvlText w:val="%1."/>
      <w:lvlJc w:val="left"/>
      <w:pPr>
        <w:tabs>
          <w:tab w:val="num" w:pos="720"/>
        </w:tabs>
        <w:ind w:left="720" w:hanging="360"/>
      </w:pPr>
    </w:lvl>
  </w:abstractNum>
  <w:num w:numId="12">
    <w:abstractNumId w:val="11"/>
  </w:num>
  <w:abstractNum w:abstractNumId="12">
    <w:multiLevelType w:val="singleLevel"/>
    <w:lvl w:ilvl="0">
      <w:start w:val="1"/>
      <w:numFmt w:val="bullet"/>
      <w:lvlText w:val="•"/>
      <w:lvlJc w:val="left"/>
      <w:pPr>
        <w:tabs>
          <w:tab w:val="num" w:pos="720"/>
        </w:tabs>
        <w:ind w:left="720" w:hanging="360"/>
      </w:pPr>
      <w:rPr>
        <w:rFonts w:ascii="Times New Roman" w:hAnsi="Times New Roman"/>
      </w:rPr>
    </w:lvl>
  </w:abstractNum>
  <w:num w:numId="1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20"/>
      <w:jc w:val="both"/>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240" w:after="120" w:line="276" w:lineRule="auto"/>
      <w:ind w:firstLine="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80" w:line="276" w:lineRule="auto"/>
      <w:ind w:firstLine="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60" w:line="276" w:lineRule="auto"/>
      <w:ind w:firstLine="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contextualSpacing/>
    </w:pPr>
    <w:rPr>
      <w:rFonts w:ascii="Times New Roman" w:hAnsi="Times New Roman"/>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contextualSpacing/>
    </w:pPr>
    <w:rPr>
      <w:rFonts w:ascii="Times New Roman" w:hAnsi="Times New Roman"/>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before="120" w:after="40"/>
      <w:ind w:firstLine="0"/>
      <w:jc w:val="left"/>
    </w:pPr>
    <w:rPr>
      <w:rFonts w:ascii="Times New Roman" w:hAnsi="Times New Roman"/>
      <w:b/>
      <w:bCs/>
      <w:i w:val="0"/>
      <w:color w:val="000000"/>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hyperlink" Target="https://doi.org/10.1016/j.biosystemseng.2013.09.006" TargetMode="External"/><Relationship Id="rId17" Type="http://schemas.openxmlformats.org/officeDocument/2006/relationships/hyperlink" Target="https://www.fao.org/3/cc4691en/cc4691en.pdf" TargetMode="External"/><Relationship Id="rId18" Type="http://schemas.openxmlformats.org/officeDocument/2006/relationships/hyperlink" Target="https://www.fao.org/sustainable-forest-management-toolbox/modules/forest-reproductive-material/en" TargetMode="External"/><Relationship Id="rId19" Type="http://schemas.openxmlformats.org/officeDocument/2006/relationships/hyperlink" Target="https://github.github.com/spec-kit/" TargetMode="External"/><Relationship Id="rId20" Type="http://schemas.openxmlformats.org/officeDocument/2006/relationships/hyperlink" Target="https://www.ibm.com/docs/en/rational-clearquest/10.0.9?topic=settings-project-planning" TargetMode="External"/><Relationship Id="rId21" Type="http://schemas.openxmlformats.org/officeDocument/2006/relationships/hyperlink" Target="https://www.iso.org/standard/66454.html" TargetMode="External"/><Relationship Id="rId22" Type="http://schemas.openxmlformats.org/officeDocument/2006/relationships/hyperlink" Target="https://www.iso.org/standard/72532.html" TargetMode="External"/><Relationship Id="rId23" Type="http://schemas.openxmlformats.org/officeDocument/2006/relationships/hyperlink" Target="https://www.iso.org/standard/82669.html" TargetMode="External"/><Relationship Id="rId24" Type="http://schemas.openxmlformats.org/officeDocument/2006/relationships/hyperlink" Target="https://www.iso.org/standard/9000" TargetMode="External"/><Relationship Id="rId25" Type="http://schemas.openxmlformats.org/officeDocument/2006/relationships/hyperlink" Target="https://repositorio.upea.bo/jspui/handle/123456789/172" TargetMode="External"/><Relationship Id="rId26" Type="http://schemas.openxmlformats.org/officeDocument/2006/relationships/hyperlink" Target="https://doi.org/10.33996/revistaingenieria.v6i16.100" TargetMode="External"/><Relationship Id="rId27" Type="http://schemas.openxmlformats.org/officeDocument/2006/relationships/hyperlink" Target="https://doi.org/10.1016/S0924-2244(98" TargetMode="External"/><Relationship Id="rId28" Type="http://schemas.openxmlformats.org/officeDocument/2006/relationships/hyperlink" Target="https://doi.org/10.1016/j.tifs.2012.10.003" TargetMode="External"/><Relationship Id="rId29" Type="http://schemas.openxmlformats.org/officeDocument/2006/relationships/hyperlink" Target="https://repositorio.upea.bo/jspui/bitstream/123456789/64/1/PDG-MARLIEN%20RUTH%20QUISPE%20TOLA-JUAN%20CARLOS%20CONDORI%20ZAPANA.pdf" TargetMode="External"/><Relationship Id="rId30" Type="http://schemas.openxmlformats.org/officeDocument/2006/relationships/hyperlink" Target="https://repositorio.upt.edu.pe/handle/20.500.12969/3690" TargetMode="External"/><Relationship Id="rId31" Type="http://schemas.openxmlformats.org/officeDocument/2006/relationships/hyperlink" Target="https://scrumguides.org/docs/scrumguide/v2020/2020-Scrum-Guide-US.pdf" TargetMode="External"/><Relationship Id="rId32" Type="http://schemas.openxmlformats.org/officeDocument/2006/relationships/hyperlink" Target="https://doi.org/10.6028/NIST.AI.100-1" TargetMode="External"/><Relationship Id="rId33" Type="http://schemas.openxmlformats.org/officeDocument/2006/relationships/hyperlink" Target="https://doi.org/10.1016/j.jfoodeng.2010.11.012" TargetMode="External"/><Relationship Id="rId34" Type="http://schemas.openxmlformats.org/officeDocument/2006/relationships/hyperlink" Target="https://repositorio.upea.bo/jspui/bitstream/123456789/1019/1/PROYECTO%20DE%20GRADO%20-%20%20GADIEL%20RANDALL.pdf" TargetMode="External"/><Relationship Id="rId35" Type="http://schemas.openxmlformats.org/officeDocument/2006/relationships/hyperlink" Target="https://verra.org/programs/verified-carbon-standard/develop-a-vcs-project/" TargetMode="External"/><Relationship Id="rId36"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trazabilidad del material vegetal para reforestación con proyección hacia bonos de carbono: caso R3Foresta</dc:title>
  <dc:subject>Sistema de trazabilidad del material vegetal para reforestación con proyección hacia bonos de carbono: caso R3Foresta</dc:subject>
  <dc:creator>Pablo Andres Fernandez Cari</dc:creator>
  <cp:keywords>trazabilidad, cadena de custodia, material vegetal, reforestación, R3Foresta</cp:keywords>
  <dc:description>generated by python-docx</dc:description>
  <cp:lastModifiedBy/>
  <cp:revision>1</cp:revision>
  <dcterms:created xsi:type="dcterms:W3CDTF">2013-12-23T23:15:00Z</dcterms:created>
  <dcterms:modified xsi:type="dcterms:W3CDTF">2013-12-23T23:15:00Z</dcterms:modified>
  <cp:category/>
</cp:coreProperties>
</file>