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b/>
          <w:sz w:val="30"/>
        </w:rPr>
        <w:t>UNIVERSIDAD MAYOR DE SAN ANDRÉS</w:t>
      </w:r>
    </w:p>
    <w:p>
      <w:pPr>
        <w:spacing w:line="240" w:lineRule="auto" w:before="0" w:after="0"/>
        <w:ind w:firstLine="0"/>
        <w:jc w:val="center"/>
      </w:pPr>
      <w:r>
        <w:rPr>
          <w:rFonts w:ascii="Times New Roman" w:hAnsi="Times New Roman"/>
          <w:b/>
          <w:sz w:val="26"/>
        </w:rPr>
        <w:t>FACULTAD DE CIENCIAS PURAS Y NATURALES</w:t>
      </w:r>
    </w:p>
    <w:p>
      <w:pPr>
        <w:spacing w:line="240" w:lineRule="auto" w:before="0" w:after="100"/>
        <w:ind w:firstLine="0"/>
        <w:jc w:val="center"/>
      </w:pPr>
      <w:r>
        <w:rPr>
          <w:rFonts w:ascii="Times New Roman" w:hAnsi="Times New Roman"/>
          <w:b/>
          <w:sz w:val="26"/>
        </w:rPr>
        <w:t>CARRERA DE INFORMÁTICA</w:t>
      </w:r>
    </w:p>
    <w:p>
      <w:pPr>
        <w:spacing w:line="240" w:lineRule="auto" w:before="0" w:after="80"/>
        <w:ind w:firstLine="0"/>
        <w:jc w:val="center"/>
      </w:pPr>
      <w:r>
        <w:drawing>
          <wp:inline xmlns:a="http://schemas.openxmlformats.org/drawingml/2006/main" xmlns:pic="http://schemas.openxmlformats.org/drawingml/2006/picture">
            <wp:extent cx="1463040" cy="260096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463040" cy="2600960"/>
                    </a:xfrm>
                    <a:prstGeom prst="rect"/>
                  </pic:spPr>
                </pic:pic>
              </a:graphicData>
            </a:graphic>
          </wp:inline>
        </w:drawing>
      </w:r>
    </w:p>
    <w:p>
      <w:pPr>
        <w:spacing w:line="240" w:lineRule="auto" w:before="0" w:after="160"/>
        <w:ind w:firstLine="0"/>
        <w:jc w:val="center"/>
      </w:pPr>
      <w:r>
        <w:rPr>
          <w:rFonts w:ascii="Times New Roman" w:hAnsi="Times New Roman"/>
          <w:b/>
          <w:sz w:val="26"/>
        </w:rPr>
        <w:t>PROYECTO DE GRADO</w:t>
      </w:r>
    </w:p>
    <w:p>
      <w:pPr>
        <w:spacing w:line="240" w:lineRule="auto" w:before="0" w:after="60"/>
        <w:ind w:firstLine="0"/>
        <w:jc w:val="center"/>
      </w:pPr>
      <w:r>
        <w:rPr>
          <w:rFonts w:ascii="Times New Roman" w:hAnsi="Times New Roman"/>
          <w:b/>
          <w:sz w:val="28"/>
        </w:rPr>
        <w:t>SISTEMA DE TRAZABILIDAD DE MATERIAL VEGETAL PARA REFORESTACIÓN</w:t>
      </w:r>
    </w:p>
    <w:p>
      <w:pPr>
        <w:spacing w:line="240" w:lineRule="auto" w:before="0" w:after="200"/>
        <w:ind w:firstLine="0"/>
        <w:jc w:val="center"/>
      </w:pPr>
      <w:r>
        <w:rPr>
          <w:rFonts w:ascii="Times New Roman" w:hAnsi="Times New Roman"/>
          <w:b/>
          <w:sz w:val="26"/>
        </w:rPr>
        <w:t>CASO: R3FORESTA</w:t>
      </w:r>
    </w:p>
    <w:p>
      <w:pPr>
        <w:spacing w:line="240" w:lineRule="auto" w:before="0" w:after="0"/>
        <w:ind w:firstLine="0"/>
        <w:jc w:val="center"/>
      </w:pPr>
      <w:r>
        <w:rPr>
          <w:rFonts w:ascii="Times New Roman" w:hAnsi="Times New Roman"/>
          <w:b w:val="0"/>
          <w:sz w:val="22"/>
        </w:rPr>
        <w:t>Proyecto de Grado para obtener el Título de Licenciatura en Informática</w:t>
      </w:r>
    </w:p>
    <w:p>
      <w:pPr>
        <w:spacing w:line="240" w:lineRule="auto" w:before="0" w:after="280"/>
        <w:ind w:firstLine="0"/>
        <w:jc w:val="center"/>
      </w:pPr>
      <w:r>
        <w:rPr>
          <w:rFonts w:ascii="Times New Roman" w:hAnsi="Times New Roman"/>
          <w:b w:val="0"/>
          <w:sz w:val="22"/>
        </w:rPr>
        <w:t>Mención Ingeniería de Sistemas Informáticos</w:t>
      </w:r>
    </w:p>
    <w:p>
      <w:pPr>
        <w:spacing w:line="240" w:lineRule="auto" w:before="0" w:after="80"/>
        <w:ind w:firstLine="0"/>
        <w:jc w:val="center"/>
      </w:pPr>
      <w:r>
        <w:rPr>
          <w:rFonts w:ascii="Times New Roman" w:hAnsi="Times New Roman"/>
          <w:b/>
          <w:sz w:val="24"/>
        </w:rPr>
        <w:t>POR: PABLO ANDRES FERNANDEZ CARI</w:t>
      </w:r>
    </w:p>
    <w:p>
      <w:pPr>
        <w:spacing w:line="240" w:lineRule="auto" w:before="0" w:after="360"/>
        <w:ind w:firstLine="0"/>
        <w:jc w:val="center"/>
      </w:pPr>
      <w:r>
        <w:rPr>
          <w:rFonts w:ascii="Times New Roman" w:hAnsi="Times New Roman"/>
          <w:b/>
          <w:sz w:val="24"/>
        </w:rPr>
        <w:t>TUTORA: Ph. D. MARISOL TÉLLEZ RAMÍREZ</w:t>
      </w:r>
    </w:p>
    <w:p>
      <w:pPr>
        <w:spacing w:line="240" w:lineRule="auto" w:before="0" w:after="0"/>
        <w:ind w:firstLine="0"/>
        <w:jc w:val="center"/>
      </w:pPr>
      <w:r>
        <w:rPr>
          <w:rFonts w:ascii="Times New Roman" w:hAnsi="Times New Roman"/>
          <w:b/>
          <w:sz w:val="24"/>
        </w:rPr>
        <w:t>LA PAZ – BOLIVIA</w:t>
      </w:r>
    </w:p>
    <w:p>
      <w:pPr>
        <w:spacing w:line="240" w:lineRule="auto" w:before="0" w:after="0"/>
        <w:ind w:firstLine="0"/>
        <w:jc w:val="center"/>
      </w:pPr>
      <w:r>
        <w:rPr>
          <w:rFonts w:ascii="Times New Roman" w:hAnsi="Times New Roman"/>
          <w:b/>
          <w:sz w:val="24"/>
        </w:rPr>
        <w:t>Agosto, 2026</w:t>
      </w:r>
    </w:p>
    <w:p>
      <w:pPr>
        <w:sectPr>
          <w:pgSz w:w="12240" w:h="15840"/>
          <w:pgMar w:top="1701" w:right="1701" w:bottom="1701" w:left="2268" w:header="720" w:footer="720" w:gutter="0"/>
          <w:cols w:space="720"/>
          <w:docGrid w:linePitch="360"/>
        </w:sectPr>
      </w:pPr>
    </w:p>
    <w:p>
      <w:pPr>
        <w:spacing w:after="200"/>
        <w:ind w:firstLine="0"/>
        <w:jc w:val="center"/>
      </w:pPr>
      <w:r>
        <w:rPr>
          <w:rFonts w:ascii="Times New Roman" w:hAnsi="Times New Roman"/>
          <w:b/>
          <w:sz w:val="28"/>
        </w:rPr>
        <w:t>Resumen</w:t>
      </w:r>
    </w:p>
    <w:p>
      <w:pPr>
        <w:spacing w:after="120"/>
      </w:pPr>
      <w:r>
        <w:rPr>
          <w:rFonts w:ascii="Times New Roman" w:hAnsi="Times New Roman"/>
          <w:sz w:val="24"/>
        </w:rPr>
        <w:t>La Fundación R3Foresta para la Bioregeneración de Ecosistemas y la Economía Circular desarrolla actividades de reforestación con la participación de comunidades, voluntarios y empresas patrocinadoras. En estas actividades, las semillas recolectadas atraviesan procesos de vivero hasta convertirse en plantas destinadas a la plantación. En la práctica actual, fotografías, mensajes, publicaciones en redes sociales, cuadernos y otros registros documentan parcialmente estos procesos, pero la información no se conserva bajo una estructura común que permita relacionar procedencia, cantidades, responsables, ubicaciones y evidencias entre las diferentes etapas. Esta fragmentación dificulta reconstruir el recorrido de las semillas y plantas y presentar información consistente a los actores interesados.</w:t>
      </w:r>
    </w:p>
    <w:p>
      <w:pPr>
        <w:spacing w:after="120"/>
      </w:pPr>
      <w:r>
        <w:rPr>
          <w:rFonts w:ascii="Times New Roman" w:hAnsi="Times New Roman"/>
          <w:sz w:val="24"/>
        </w:rPr>
        <w:t>El proyecto tiene como objetivo desarrollar y evaluar un sistema de trazabilidad que registre los eventos ocurridos desde el origen o ingreso del material vegetal al proceso hasta el registro de su plantación. La solución articulará los módulos de Recolección, Vivero y Plantación, conservará las relaciones entre sus registros y permitirá reconstruir el recorrido con información y evidencia contrastable.</w:t>
      </w:r>
    </w:p>
    <w:p>
      <w:pPr>
        <w:spacing w:after="120"/>
      </w:pPr>
      <w:r>
        <w:rPr>
          <w:rFonts w:ascii="Times New Roman" w:hAnsi="Times New Roman"/>
          <w:sz w:val="24"/>
        </w:rPr>
        <w:t>La investigación será aplicada y tecnológica: construirá el sistema y evaluará su funcionamiento en el caso de R3Foresta. El desarrollo seguirá un proceso iterativo e incremental de agosto a noviembre de 2026. La evaluación combinará la verificación técnica de los requerimientos y reglas de consistencia, la reconstrucción de trazas, la comparación con la práctica actual y un piloto cuya cobertura dependerá de las operaciones y participantes disponibles. Se analizarán la información recuperable, la coherencia de cantidades y saldos, el tiempo de reconstrucción y la carga de registro. El alcance concluye con el registro de la plantación; el sistema no realiza monitoreo posterior ni certifica plantaciones, supervivencia, captura de carbono o créditos de carbono.</w:t>
      </w:r>
    </w:p>
    <w:p>
      <w:pPr>
        <w:spacing w:after="120"/>
        <w:ind w:firstLine="0"/>
      </w:pPr>
      <w:r>
        <w:rPr>
          <w:rFonts w:ascii="Times New Roman" w:hAnsi="Times New Roman"/>
          <w:b/>
          <w:sz w:val="24"/>
        </w:rPr>
        <w:t>Palabras clave:</w:t>
      </w:r>
      <w:r>
        <w:rPr>
          <w:rFonts w:ascii="Times New Roman" w:hAnsi="Times New Roman"/>
          <w:sz w:val="24"/>
        </w:rPr>
        <w:t xml:space="preserve"> trazabilidad, cadena de custodia, material vegetal, reforestación, eventos, integridad de datos, R3Foresta.</w:t>
      </w:r>
    </w:p>
    <w:p>
      <w:pPr>
        <w:pageBreakBefore/>
        <w:spacing w:after="200"/>
        <w:ind w:firstLine="0"/>
        <w:jc w:val="center"/>
      </w:pPr>
      <w:r>
        <w:rPr>
          <w:rFonts w:ascii="Times New Roman" w:hAnsi="Times New Roman"/>
          <w:b/>
          <w:sz w:val="28"/>
        </w:rPr>
        <w:t>Índice general</w:t>
      </w:r>
    </w:p>
    <w:p>
      <w:pPr>
        <w:tabs>
          <w:tab w:pos="8107" w:val="right" w:leader="dot"/>
        </w:tabs>
        <w:spacing w:after="60" w:line="276" w:lineRule="auto"/>
        <w:ind w:firstLine="0" w:left="0"/>
      </w:pPr>
      <w:r>
        <w:rPr>
          <w:rFonts w:ascii="Times New Roman" w:hAnsi="Times New Roman"/>
          <w:sz w:val="22"/>
        </w:rPr>
        <w:t>1. Introducción</w:t>
      </w:r>
      <w:r>
        <w:tab/>
      </w:r>
      <w:r>
        <w:rPr>
          <w:rFonts w:ascii="Times New Roman" w:hAnsi="Times New Roman"/>
          <w:sz w:val="22"/>
        </w:rPr>
        <w:t>1</w:t>
      </w:r>
    </w:p>
    <w:p>
      <w:pPr>
        <w:tabs>
          <w:tab w:pos="8107" w:val="right" w:leader="dot"/>
        </w:tabs>
        <w:spacing w:after="60" w:line="276" w:lineRule="auto"/>
        <w:ind w:firstLine="0" w:left="0"/>
      </w:pPr>
      <w:r>
        <w:rPr>
          <w:rFonts w:ascii="Times New Roman" w:hAnsi="Times New Roman"/>
          <w:sz w:val="22"/>
        </w:rPr>
        <w:t>2. Antecedentes</w:t>
      </w:r>
      <w:r>
        <w:tab/>
      </w:r>
      <w:r>
        <w:rPr>
          <w:rFonts w:ascii="Times New Roman" w:hAnsi="Times New Roman"/>
          <w:sz w:val="22"/>
        </w:rPr>
        <w:t>2</w:t>
      </w:r>
    </w:p>
    <w:p>
      <w:pPr>
        <w:tabs>
          <w:tab w:pos="8107" w:val="right" w:leader="dot"/>
        </w:tabs>
        <w:spacing w:after="60" w:line="276" w:lineRule="auto"/>
        <w:ind w:firstLine="0" w:left="0"/>
      </w:pPr>
      <w:r>
        <w:rPr>
          <w:rFonts w:ascii="Times New Roman" w:hAnsi="Times New Roman"/>
          <w:sz w:val="22"/>
        </w:rPr>
        <w:t>3. Planteamiento del problema</w:t>
      </w:r>
      <w:r>
        <w:tab/>
      </w:r>
      <w:r>
        <w:rPr>
          <w:rFonts w:ascii="Times New Roman" w:hAnsi="Times New Roman"/>
          <w:sz w:val="22"/>
        </w:rPr>
        <w:t>6</w:t>
      </w:r>
    </w:p>
    <w:p>
      <w:pPr>
        <w:tabs>
          <w:tab w:pos="8107" w:val="right" w:leader="dot"/>
        </w:tabs>
        <w:spacing w:after="60" w:line="276" w:lineRule="auto"/>
        <w:ind w:firstLine="0" w:left="0"/>
      </w:pPr>
      <w:r>
        <w:rPr>
          <w:rFonts w:ascii="Times New Roman" w:hAnsi="Times New Roman"/>
          <w:sz w:val="22"/>
        </w:rPr>
        <w:t>4. Objetivos</w:t>
      </w:r>
      <w:r>
        <w:tab/>
      </w:r>
      <w:r>
        <w:rPr>
          <w:rFonts w:ascii="Times New Roman" w:hAnsi="Times New Roman"/>
          <w:sz w:val="22"/>
        </w:rPr>
        <w:t>10</w:t>
      </w:r>
    </w:p>
    <w:p>
      <w:pPr>
        <w:tabs>
          <w:tab w:pos="8107" w:val="right" w:leader="dot"/>
        </w:tabs>
        <w:spacing w:after="60" w:line="276" w:lineRule="auto"/>
        <w:ind w:firstLine="0" w:left="0"/>
      </w:pPr>
      <w:r>
        <w:rPr>
          <w:rFonts w:ascii="Times New Roman" w:hAnsi="Times New Roman"/>
          <w:sz w:val="22"/>
        </w:rPr>
        <w:t>5. Justificación</w:t>
      </w:r>
      <w:r>
        <w:tab/>
      </w:r>
      <w:r>
        <w:rPr>
          <w:rFonts w:ascii="Times New Roman" w:hAnsi="Times New Roman"/>
          <w:sz w:val="22"/>
        </w:rPr>
        <w:t>11</w:t>
      </w:r>
    </w:p>
    <w:p>
      <w:pPr>
        <w:tabs>
          <w:tab w:pos="8107" w:val="right" w:leader="dot"/>
        </w:tabs>
        <w:spacing w:after="60" w:line="276" w:lineRule="auto"/>
        <w:ind w:firstLine="0" w:left="0"/>
      </w:pPr>
      <w:r>
        <w:rPr>
          <w:rFonts w:ascii="Times New Roman" w:hAnsi="Times New Roman"/>
          <w:sz w:val="22"/>
        </w:rPr>
        <w:t>6. Alcances y límites</w:t>
      </w:r>
      <w:r>
        <w:tab/>
      </w:r>
      <w:r>
        <w:rPr>
          <w:rFonts w:ascii="Times New Roman" w:hAnsi="Times New Roman"/>
          <w:sz w:val="22"/>
        </w:rPr>
        <w:t>12</w:t>
      </w:r>
    </w:p>
    <w:p>
      <w:pPr>
        <w:tabs>
          <w:tab w:pos="8107" w:val="right" w:leader="dot"/>
        </w:tabs>
        <w:spacing w:after="60" w:line="276" w:lineRule="auto"/>
        <w:ind w:firstLine="0" w:left="0"/>
      </w:pPr>
      <w:r>
        <w:rPr>
          <w:rFonts w:ascii="Times New Roman" w:hAnsi="Times New Roman"/>
          <w:sz w:val="22"/>
        </w:rPr>
        <w:t>7. Marco teórico preliminar</w:t>
      </w:r>
      <w:r>
        <w:tab/>
      </w:r>
      <w:r>
        <w:rPr>
          <w:rFonts w:ascii="Times New Roman" w:hAnsi="Times New Roman"/>
          <w:sz w:val="22"/>
        </w:rPr>
        <w:t>15</w:t>
      </w:r>
    </w:p>
    <w:p>
      <w:pPr>
        <w:tabs>
          <w:tab w:pos="8107" w:val="right" w:leader="dot"/>
        </w:tabs>
        <w:spacing w:after="60" w:line="276" w:lineRule="auto"/>
        <w:ind w:firstLine="0" w:left="0"/>
      </w:pPr>
      <w:r>
        <w:rPr>
          <w:rFonts w:ascii="Times New Roman" w:hAnsi="Times New Roman"/>
          <w:sz w:val="22"/>
        </w:rPr>
        <w:t>8. Marco metodológico</w:t>
      </w:r>
      <w:r>
        <w:tab/>
      </w:r>
      <w:r>
        <w:rPr>
          <w:rFonts w:ascii="Times New Roman" w:hAnsi="Times New Roman"/>
          <w:sz w:val="22"/>
        </w:rPr>
        <w:t>18</w:t>
      </w:r>
    </w:p>
    <w:p>
      <w:pPr>
        <w:tabs>
          <w:tab w:pos="8107" w:val="right" w:leader="dot"/>
        </w:tabs>
        <w:spacing w:after="60" w:line="276" w:lineRule="auto"/>
        <w:ind w:firstLine="0" w:left="0"/>
      </w:pPr>
      <w:r>
        <w:rPr>
          <w:rFonts w:ascii="Times New Roman" w:hAnsi="Times New Roman"/>
          <w:sz w:val="22"/>
        </w:rPr>
        <w:t>9. Propuesta de solución y aporte de ingeniería</w:t>
      </w:r>
      <w:r>
        <w:tab/>
      </w:r>
      <w:r>
        <w:rPr>
          <w:rFonts w:ascii="Times New Roman" w:hAnsi="Times New Roman"/>
          <w:sz w:val="22"/>
        </w:rPr>
        <w:t>22</w:t>
      </w:r>
    </w:p>
    <w:p>
      <w:pPr>
        <w:tabs>
          <w:tab w:pos="8107" w:val="right" w:leader="dot"/>
        </w:tabs>
        <w:spacing w:after="60" w:line="276" w:lineRule="auto"/>
        <w:ind w:firstLine="0" w:left="0"/>
      </w:pPr>
      <w:r>
        <w:rPr>
          <w:rFonts w:ascii="Times New Roman" w:hAnsi="Times New Roman"/>
          <w:sz w:val="22"/>
        </w:rPr>
        <w:t>10. Temario tentativo del documento final</w:t>
      </w:r>
      <w:r>
        <w:tab/>
      </w:r>
      <w:r>
        <w:rPr>
          <w:rFonts w:ascii="Times New Roman" w:hAnsi="Times New Roman"/>
          <w:sz w:val="22"/>
        </w:rPr>
        <w:t>24</w:t>
      </w:r>
    </w:p>
    <w:p>
      <w:pPr>
        <w:tabs>
          <w:tab w:pos="8107" w:val="right" w:leader="dot"/>
        </w:tabs>
        <w:spacing w:after="60" w:line="276" w:lineRule="auto"/>
        <w:ind w:firstLine="0" w:left="0"/>
      </w:pPr>
      <w:r>
        <w:rPr>
          <w:rFonts w:ascii="Times New Roman" w:hAnsi="Times New Roman"/>
          <w:sz w:val="22"/>
        </w:rPr>
        <w:t>11. Cronograma de actividades</w:t>
      </w:r>
      <w:r>
        <w:tab/>
      </w:r>
      <w:r>
        <w:rPr>
          <w:rFonts w:ascii="Times New Roman" w:hAnsi="Times New Roman"/>
          <w:sz w:val="22"/>
        </w:rPr>
        <w:t>25</w:t>
      </w:r>
    </w:p>
    <w:p>
      <w:pPr>
        <w:tabs>
          <w:tab w:pos="8107" w:val="right" w:leader="dot"/>
        </w:tabs>
        <w:spacing w:after="60" w:line="276" w:lineRule="auto"/>
        <w:ind w:firstLine="0" w:left="0"/>
      </w:pPr>
      <w:r>
        <w:rPr>
          <w:rFonts w:ascii="Times New Roman" w:hAnsi="Times New Roman"/>
          <w:sz w:val="22"/>
        </w:rPr>
        <w:t>12. Recursos</w:t>
      </w:r>
      <w:r>
        <w:tab/>
      </w:r>
      <w:r>
        <w:rPr>
          <w:rFonts w:ascii="Times New Roman" w:hAnsi="Times New Roman"/>
          <w:sz w:val="22"/>
        </w:rPr>
        <w:t>26</w:t>
      </w:r>
    </w:p>
    <w:p>
      <w:pPr>
        <w:tabs>
          <w:tab w:pos="8107" w:val="right" w:leader="dot"/>
        </w:tabs>
        <w:spacing w:after="60" w:line="276" w:lineRule="auto"/>
        <w:ind w:firstLine="0" w:left="0"/>
      </w:pPr>
      <w:r>
        <w:rPr>
          <w:rFonts w:ascii="Times New Roman" w:hAnsi="Times New Roman"/>
          <w:sz w:val="22"/>
        </w:rPr>
        <w:t>13. Referencias bibliográficas</w:t>
      </w:r>
      <w:r>
        <w:tab/>
      </w:r>
      <w:r>
        <w:rPr>
          <w:rFonts w:ascii="Times New Roman" w:hAnsi="Times New Roman"/>
          <w:sz w:val="22"/>
        </w:rPr>
        <w:t>27</w:t>
      </w:r>
    </w:p>
    <w:p>
      <w:pPr>
        <w:tabs>
          <w:tab w:pos="8107" w:val="right" w:leader="dot"/>
        </w:tabs>
        <w:spacing w:after="60" w:line="276" w:lineRule="auto"/>
        <w:ind w:firstLine="0" w:left="0"/>
      </w:pPr>
      <w:r>
        <w:rPr>
          <w:rFonts w:ascii="Times New Roman" w:hAnsi="Times New Roman"/>
          <w:sz w:val="22"/>
        </w:rPr>
        <w:t>Anexos previstos para el documento final</w:t>
      </w:r>
      <w:r>
        <w:tab/>
      </w:r>
      <w:r>
        <w:rPr>
          <w:rFonts w:ascii="Times New Roman" w:hAnsi="Times New Roman"/>
          <w:sz w:val="22"/>
        </w:rPr>
        <w:t>30</w:t>
      </w:r>
    </w:p>
    <w:p>
      <w:pPr>
        <w:pageBreakBefore/>
        <w:spacing w:after="200"/>
        <w:ind w:firstLine="0"/>
        <w:jc w:val="center"/>
      </w:pPr>
      <w:r>
        <w:rPr>
          <w:rFonts w:ascii="Times New Roman" w:hAnsi="Times New Roman"/>
          <w:b/>
          <w:sz w:val="28"/>
        </w:rPr>
        <w:t>Índice de tablas</w:t>
      </w:r>
    </w:p>
    <w:p>
      <w:pPr>
        <w:tabs>
          <w:tab w:pos="8107" w:val="right" w:leader="dot"/>
        </w:tabs>
        <w:spacing w:after="60" w:line="276" w:lineRule="auto"/>
        <w:ind w:firstLine="0" w:left="0"/>
      </w:pPr>
      <w:r>
        <w:rPr>
          <w:rFonts w:ascii="Times New Roman" w:hAnsi="Times New Roman"/>
          <w:sz w:val="22"/>
        </w:rPr>
        <w:t>Tabla 1. Aspectos previstos para la evaluación.</w:t>
      </w:r>
      <w:r>
        <w:tab/>
      </w:r>
      <w:r>
        <w:rPr>
          <w:rFonts w:ascii="Times New Roman" w:hAnsi="Times New Roman"/>
          <w:sz w:val="22"/>
        </w:rPr>
        <w:t>13</w:t>
      </w:r>
    </w:p>
    <w:p>
      <w:pPr>
        <w:tabs>
          <w:tab w:pos="8107" w:val="right" w:leader="dot"/>
        </w:tabs>
        <w:spacing w:after="60" w:line="276" w:lineRule="auto"/>
        <w:ind w:firstLine="0" w:left="0"/>
      </w:pPr>
      <w:r>
        <w:rPr>
          <w:rFonts w:ascii="Times New Roman" w:hAnsi="Times New Roman"/>
          <w:sz w:val="22"/>
        </w:rPr>
        <w:t>Tabla 2. Métricas e instrumentos de evaluación.</w:t>
      </w:r>
      <w:r>
        <w:tab/>
      </w:r>
      <w:r>
        <w:rPr>
          <w:rFonts w:ascii="Times New Roman" w:hAnsi="Times New Roman"/>
          <w:sz w:val="22"/>
        </w:rPr>
        <w:t>20</w:t>
      </w:r>
    </w:p>
    <w:p>
      <w:pPr>
        <w:tabs>
          <w:tab w:pos="8107" w:val="right" w:leader="dot"/>
        </w:tabs>
        <w:spacing w:after="60" w:line="276" w:lineRule="auto"/>
        <w:ind w:firstLine="0" w:left="0"/>
      </w:pPr>
      <w:r>
        <w:rPr>
          <w:rFonts w:ascii="Times New Roman" w:hAnsi="Times New Roman"/>
          <w:sz w:val="22"/>
        </w:rPr>
        <w:t>Tabla 3. Correspondencia entre objetivos y resultados.</w:t>
      </w:r>
      <w:r>
        <w:tab/>
      </w:r>
      <w:r>
        <w:rPr>
          <w:rFonts w:ascii="Times New Roman" w:hAnsi="Times New Roman"/>
          <w:sz w:val="22"/>
        </w:rPr>
        <w:t>25</w:t>
      </w:r>
    </w:p>
    <w:p>
      <w:pPr>
        <w:tabs>
          <w:tab w:pos="8107" w:val="right" w:leader="dot"/>
        </w:tabs>
        <w:spacing w:after="60" w:line="276" w:lineRule="auto"/>
        <w:ind w:firstLine="0" w:left="0"/>
      </w:pPr>
      <w:r>
        <w:rPr>
          <w:rFonts w:ascii="Times New Roman" w:hAnsi="Times New Roman"/>
          <w:sz w:val="22"/>
        </w:rPr>
        <w:t>Tabla 4. Cronograma resumido.</w:t>
      </w:r>
      <w:r>
        <w:tab/>
      </w:r>
      <w:r>
        <w:rPr>
          <w:rFonts w:ascii="Times New Roman" w:hAnsi="Times New Roman"/>
          <w:sz w:val="22"/>
        </w:rPr>
        <w:t>25</w:t>
      </w:r>
    </w:p>
    <w:p>
      <w:pPr>
        <w:spacing w:before="320" w:after="200"/>
        <w:ind w:firstLine="0"/>
        <w:jc w:val="center"/>
      </w:pPr>
      <w:r>
        <w:rPr>
          <w:rFonts w:ascii="Times New Roman" w:hAnsi="Times New Roman"/>
          <w:b/>
          <w:sz w:val="28"/>
        </w:rPr>
        <w:t>Índice de figuras</w:t>
      </w:r>
    </w:p>
    <w:p>
      <w:pPr>
        <w:tabs>
          <w:tab w:pos="8107" w:val="right" w:leader="dot"/>
        </w:tabs>
        <w:spacing w:after="60" w:line="276" w:lineRule="auto"/>
        <w:ind w:firstLine="0" w:left="0"/>
      </w:pPr>
      <w:r>
        <w:rPr>
          <w:rFonts w:ascii="Times New Roman" w:hAnsi="Times New Roman"/>
          <w:sz w:val="22"/>
        </w:rPr>
        <w:t>Figura 1. Estructura organizacional de R3Foresta.</w:t>
      </w:r>
      <w:r>
        <w:tab/>
      </w:r>
      <w:r>
        <w:rPr>
          <w:rFonts w:ascii="Times New Roman" w:hAnsi="Times New Roman"/>
          <w:sz w:val="22"/>
        </w:rPr>
        <w:t>3</w:t>
      </w:r>
    </w:p>
    <w:p>
      <w:pPr>
        <w:tabs>
          <w:tab w:pos="8107" w:val="right" w:leader="dot"/>
        </w:tabs>
        <w:spacing w:after="60" w:line="276" w:lineRule="auto"/>
        <w:ind w:firstLine="0" w:left="0"/>
      </w:pPr>
      <w:r>
        <w:rPr>
          <w:rFonts w:ascii="Times New Roman" w:hAnsi="Times New Roman"/>
          <w:sz w:val="22"/>
        </w:rPr>
        <w:t>Figura 2. Árbol de causas y efectos.</w:t>
      </w:r>
      <w:r>
        <w:tab/>
      </w:r>
      <w:r>
        <w:rPr>
          <w:rFonts w:ascii="Times New Roman" w:hAnsi="Times New Roman"/>
          <w:sz w:val="22"/>
        </w:rPr>
        <w:t>8</w:t>
      </w:r>
    </w:p>
    <w:p>
      <w:pPr>
        <w:tabs>
          <w:tab w:pos="8107" w:val="right" w:leader="dot"/>
        </w:tabs>
        <w:spacing w:after="60" w:line="276" w:lineRule="auto"/>
        <w:ind w:firstLine="0" w:left="0"/>
      </w:pPr>
      <w:r>
        <w:rPr>
          <w:rFonts w:ascii="Times New Roman" w:hAnsi="Times New Roman"/>
          <w:sz w:val="22"/>
        </w:rPr>
        <w:t>Figura 3. Recorrido principal del material vegetal.</w:t>
      </w:r>
      <w:r>
        <w:tab/>
      </w:r>
      <w:r>
        <w:rPr>
          <w:rFonts w:ascii="Times New Roman" w:hAnsi="Times New Roman"/>
          <w:sz w:val="22"/>
        </w:rPr>
        <w:t>22</w:t>
      </w:r>
    </w:p>
    <w:p>
      <w:pPr>
        <w:tabs>
          <w:tab w:pos="8107" w:val="right" w:leader="dot"/>
        </w:tabs>
        <w:spacing w:after="60" w:line="276" w:lineRule="auto"/>
        <w:ind w:firstLine="0" w:left="0"/>
      </w:pPr>
      <w:r>
        <w:rPr>
          <w:rFonts w:ascii="Times New Roman" w:hAnsi="Times New Roman"/>
          <w:sz w:val="22"/>
        </w:rPr>
        <w:t>Figura 4. Relación entre eventos, reglas de consistencia y reconstrucción.</w:t>
      </w:r>
      <w:r>
        <w:tab/>
      </w:r>
      <w:r>
        <w:rPr>
          <w:rFonts w:ascii="Times New Roman" w:hAnsi="Times New Roman"/>
          <w:sz w:val="22"/>
        </w:rPr>
        <w:t>23</w:t>
      </w:r>
    </w:p>
    <w:p>
      <w:pPr>
        <w:tabs>
          <w:tab w:pos="8107" w:val="right" w:leader="dot"/>
        </w:tabs>
        <w:spacing w:after="60" w:line="276" w:lineRule="auto"/>
        <w:ind w:firstLine="0" w:left="0"/>
      </w:pPr>
      <w:r>
        <w:rPr>
          <w:rFonts w:ascii="Times New Roman" w:hAnsi="Times New Roman"/>
          <w:sz w:val="22"/>
        </w:rPr>
        <w:t>Figura 5. Diagrama de Gantt, agosto–noviembre de 2026.</w:t>
      </w:r>
      <w:r>
        <w:tab/>
      </w:r>
      <w:r>
        <w:rPr>
          <w:rFonts w:ascii="Times New Roman" w:hAnsi="Times New Roman"/>
          <w:sz w:val="22"/>
        </w:rPr>
        <w:t>26</w:t>
      </w:r>
    </w:p>
    <w:p>
      <w:pPr>
        <w:sectPr>
          <w:headerReference w:type="default" r:id="rId10"/>
          <w:footerReference w:type="default" r:id="rId11"/>
          <w:pgSz w:w="12240" w:h="15840"/>
          <w:pgMar w:top="1701" w:right="1701" w:bottom="1701" w:left="2268" w:header="720" w:footer="720" w:gutter="0"/>
          <w:cols w:space="720"/>
          <w:docGrid w:linePitch="360"/>
          <w:pgNumType w:fmt="lowerRoman" w:start="1"/>
        </w:sectPr>
      </w:pPr>
    </w:p>
    <w:p>
      <w:pPr>
        <w:pStyle w:val="Heading1"/>
      </w:pPr>
      <w:r>
        <w:rPr>
          <w:rFonts w:ascii="Times New Roman" w:hAnsi="Times New Roman"/>
          <w:sz w:val="28"/>
        </w:rPr>
        <w:t>1. Introducción</w:t>
      </w:r>
    </w:p>
    <w:p>
      <w:r>
        <w:rPr>
          <w:rFonts w:ascii="Times New Roman" w:hAnsi="Times New Roman"/>
          <w:sz w:val="24"/>
        </w:rPr>
        <w:t xml:space="preserve">La reforestación moviliza material vegetal entre lugares, responsables y etapas con propósitos distintos. Una semilla o unidad de propagación puede ser recolectada, trasladada al vivero, atravesar procesos biológicos, integrarse en lotes de plantas y finalmente ser asignada a una actividad de plantación. R3Foresta también utiliza material vegetal adquirido o recibido de terceros, que puede ingresar al vivero o dirigirse directamente a una plantación. En cualquiera de estos recorridos es necesario conservar la relación entre procedencia, cantidades, responsables, fechas, ubicaciones y evidencias. En adelante, se utilizará </w:t>
      </w:r>
      <w:r>
        <w:rPr>
          <w:rFonts w:ascii="Times New Roman" w:hAnsi="Times New Roman"/>
          <w:i/>
          <w:sz w:val="24"/>
        </w:rPr>
        <w:t>material vegetal</w:t>
      </w:r>
      <w:r>
        <w:rPr>
          <w:rFonts w:ascii="Times New Roman" w:hAnsi="Times New Roman"/>
          <w:sz w:val="24"/>
        </w:rPr>
        <w:t xml:space="preserve"> como denominación general para las semillas, plantas y demás unidades de propagación comprendidas en estas etapas.</w:t>
      </w:r>
    </w:p>
    <w:p>
      <w:r>
        <w:rPr>
          <w:rFonts w:ascii="Times New Roman" w:hAnsi="Times New Roman"/>
          <w:sz w:val="24"/>
        </w:rPr>
        <w:t>La trazabilidad no consiste únicamente en almacenar inventarios, registros o fotografías de forma aislada, sino en conservar la información y las relaciones necesarias para reconstruir el recorrido de un elemento a través de las distintas etapas de una cadena. Olsen y Borit (2013) la relacionan con la capacidad de acceder a información sobre un objeto a lo largo de su ciclo de vida. En una cadena de custodia, además, los movimientos y cambios deben registrarse bajo reglas explícitas; sin embargo, la existencia de un sistema no verifica por sí sola la veracidad de las declaraciones de sus usuarios (International Organization for Standardization [ISO], 2020). Por ello, este proyecto plantea una trazabilidad reconstruible mediante evidencia contrastable y no una certificación independiente.</w:t>
      </w:r>
    </w:p>
    <w:p>
      <w:r>
        <w:rPr>
          <w:rFonts w:ascii="Times New Roman" w:hAnsi="Times New Roman"/>
          <w:sz w:val="24"/>
        </w:rPr>
        <w:t xml:space="preserve">El caso de estudio corresponde a la </w:t>
      </w:r>
      <w:r>
        <w:rPr>
          <w:rFonts w:ascii="Times New Roman" w:hAnsi="Times New Roman"/>
          <w:b/>
          <w:sz w:val="24"/>
        </w:rPr>
        <w:t>Fundación R3Foresta para la Bioregeneración de Ecosistemas y la Economía Circular</w:t>
      </w:r>
      <w:r>
        <w:rPr>
          <w:rFonts w:ascii="Times New Roman" w:hAnsi="Times New Roman"/>
          <w:sz w:val="24"/>
        </w:rPr>
        <w:t>, que desarrolla actividades de reforestación con comunidades, voluntarios y organizaciones patrocinadoras. Actualmente, la información y las evidencias de estas actividades se conservan en fotografías, publicaciones en redes sociales, conversaciones de mensajería, cuadernos, notas y el conocimiento de las personas involucradas. Aunque estos registros documentan las actividades realizadas, se encuentran dispersos y no comparten una estructura, identificadores ni relaciones comunes que permitan reconstruir de extremo a extremo la procedencia y el recorrido del material vegetal, conciliar cantidades y saldos, identificar responsables y recuperar la evidencia asociada. Esta fragmentación limita la gestión interna y la capacidad de respaldar la información comunicada a patrocinadores y aliados.</w:t>
      </w:r>
    </w:p>
    <w:p>
      <w:r>
        <w:rPr>
          <w:rFonts w:ascii="Times New Roman" w:hAnsi="Times New Roman"/>
          <w:sz w:val="24"/>
        </w:rPr>
        <w:t xml:space="preserve">Ante esta situación, el proyecto propone desarrollar y evaluar un sistema de trazabilidad como componente operativo de </w:t>
      </w:r>
      <w:r>
        <w:rPr>
          <w:rFonts w:ascii="Times New Roman" w:hAnsi="Times New Roman"/>
          <w:b/>
          <w:sz w:val="24"/>
        </w:rPr>
        <w:t>R3foresta App</w:t>
      </w:r>
      <w:r>
        <w:rPr>
          <w:rFonts w:ascii="Times New Roman" w:hAnsi="Times New Roman"/>
          <w:sz w:val="24"/>
        </w:rPr>
        <w:t xml:space="preserve">, desde la recolección o recepción externa del material vegetal hasta el registro de su plantación. La solución integrará los módulos de </w:t>
      </w:r>
      <w:r>
        <w:rPr>
          <w:rFonts w:ascii="Times New Roman" w:hAnsi="Times New Roman"/>
          <w:i/>
          <w:sz w:val="24"/>
        </w:rPr>
        <w:t>Recolección, Vivero y Plantación</w:t>
      </w:r>
      <w:r>
        <w:rPr>
          <w:rFonts w:ascii="Times New Roman" w:hAnsi="Times New Roman"/>
          <w:sz w:val="24"/>
        </w:rPr>
        <w:t>; el material adquirido o recibido de terceros se tratará como una variante de ingreso dentro de estos módulos y conservará sus datos de procedencia. Mediante el registro relacionado de eventos, movimientos, cantidades, responsables, ubicaciones y evidencias, la aplicación permitirá reconstruir la cadena de custodia y constituirá una base para la gestión y la rendición de cuentas de la Fundación.</w:t>
      </w:r>
    </w:p>
    <w:p>
      <w:r>
        <w:rPr>
          <w:rFonts w:ascii="Times New Roman" w:hAnsi="Times New Roman"/>
          <w:sz w:val="24"/>
        </w:rPr>
        <w:t>El aporte de ingeniería comprende el análisis de los procesos y reglas de negocio, el diseño de un modelo de trazabilidad e integridad, la implementación integrada de los tres módulos y la verificación de los requerimientos y de las invariantes de consistencia. La evaluación comparará la solución con la práctica actual de R3Foresta en cuanto a capacidad de reconstrucción con evidencia contrastable y carga operativa, diferenciando la verificación técnica del software de su evaluación en el contexto institucional.</w:t>
      </w:r>
    </w:p>
    <w:p>
      <w:r>
        <w:rPr>
          <w:rFonts w:ascii="Times New Roman" w:hAnsi="Times New Roman"/>
          <w:sz w:val="24"/>
        </w:rPr>
        <w:t>El alcance concluye con el registro de la plantación. El sistema proporciona la base informacional de la cadena de custodia, pero no realiza monitoreo posterior de supervivencia, no mide captura de CO2, no implementa una metodología de monitoreo, reporte y verificación de carbono, no certifica plantaciones y no genera créditos de carbono.</w:t>
      </w:r>
    </w:p>
    <w:p>
      <w:pPr>
        <w:pStyle w:val="Heading1"/>
      </w:pPr>
      <w:r>
        <w:rPr>
          <w:rFonts w:ascii="Times New Roman" w:hAnsi="Times New Roman"/>
          <w:sz w:val="28"/>
        </w:rPr>
        <w:t>2. Antecedentes</w:t>
      </w:r>
    </w:p>
    <w:p>
      <w:pPr>
        <w:pStyle w:val="Heading2"/>
      </w:pPr>
      <w:r>
        <w:rPr>
          <w:rFonts w:ascii="Times New Roman" w:hAnsi="Times New Roman"/>
          <w:sz w:val="24"/>
        </w:rPr>
        <w:t>2.1. Antecedentes institucionales</w:t>
      </w:r>
    </w:p>
    <w:p>
      <w:r>
        <w:rPr>
          <w:rFonts w:ascii="Times New Roman" w:hAnsi="Times New Roman"/>
          <w:sz w:val="24"/>
        </w:rPr>
        <w:t>R3Foresta fue creada en 2019 como una iniciativa y plataforma de acción socioambiental orientada a la bioregeneración de ecosistemas estratégicos y al fortalecimiento de las comunidades vinculadas con ellos. Su modelo evolucionó desde la acción ambiental directa hacia la integración de reforestación, agua, biodiversidad, residuos, alimentación, tecnología y comunidades. Actualmente articula las dimensiones ecológica, comunitaria, científico-tecnológica y económica mediante los componentes R3Carbon, R3Water, R3Bio y R3F10 — Reciclaje y Economía Circular (R3Foresta, 2026).</w:t>
      </w:r>
    </w:p>
    <w:p>
      <w:pPr>
        <w:pStyle w:val="Caption"/>
      </w:pPr>
      <w:r>
        <w:rPr>
          <w:rFonts w:ascii="Times New Roman" w:hAnsi="Times New Roman"/>
          <w:sz w:val="22"/>
        </w:rPr>
        <w:t>Figura 1. Estructura organizacional de R3Foresta.</w:t>
      </w:r>
    </w:p>
    <w:p>
      <w:pPr>
        <w:spacing w:after="120"/>
        <w:ind w:firstLine="0"/>
        <w:jc w:val="center"/>
      </w:pPr>
      <w:r>
        <w:drawing>
          <wp:inline xmlns:a="http://schemas.openxmlformats.org/drawingml/2006/main" xmlns:pic="http://schemas.openxmlformats.org/drawingml/2006/picture">
            <wp:extent cx="5230368" cy="3922776"/>
            <wp:docPr id="2" name="Picture 2"/>
            <wp:cNvGraphicFramePr>
              <a:graphicFrameLocks noChangeAspect="1"/>
            </wp:cNvGraphicFramePr>
            <a:graphic>
              <a:graphicData uri="http://schemas.openxmlformats.org/drawingml/2006/picture">
                <pic:pic>
                  <pic:nvPicPr>
                    <pic:cNvPr id="0" name="organigrama_r3foresta.png"/>
                    <pic:cNvPicPr/>
                  </pic:nvPicPr>
                  <pic:blipFill>
                    <a:blip r:embed="rId14"/>
                    <a:stretch>
                      <a:fillRect/>
                    </a:stretch>
                  </pic:blipFill>
                  <pic:spPr>
                    <a:xfrm>
                      <a:off x="0" y="0"/>
                      <a:ext cx="5230368" cy="3922776"/>
                    </a:xfrm>
                    <a:prstGeom prst="rect"/>
                  </pic:spPr>
                </pic:pic>
              </a:graphicData>
            </a:graphic>
          </wp:inline>
        </w:drawing>
      </w:r>
    </w:p>
    <w:p>
      <w:r>
        <w:rPr>
          <w:rFonts w:ascii="Times New Roman" w:hAnsi="Times New Roman"/>
          <w:i/>
          <w:sz w:val="24"/>
        </w:rPr>
        <w:t>Fuente: organigrama institucional proporcionado por la Fundación R3Foresta.</w:t>
      </w:r>
    </w:p>
    <w:p>
      <w:r>
        <w:rPr>
          <w:rFonts w:ascii="Times New Roman" w:hAnsi="Times New Roman"/>
          <w:sz w:val="24"/>
        </w:rPr>
        <w:t xml:space="preserve">En la dimensión científico-tecnológica, R3Foresta integra medición, monitoreo, trazabilidad, digitalización e innovación. Dentro de R3Carbon desarrolla </w:t>
      </w:r>
      <w:r>
        <w:rPr>
          <w:rFonts w:ascii="Times New Roman" w:hAnsi="Times New Roman"/>
          <w:b/>
          <w:sz w:val="24"/>
        </w:rPr>
        <w:t>R3foresta App</w:t>
      </w:r>
      <w:r>
        <w:rPr>
          <w:rFonts w:ascii="Times New Roman" w:hAnsi="Times New Roman"/>
          <w:sz w:val="24"/>
        </w:rPr>
        <w:t>, la aplicación destinada a registrar y relacionar el recorrido del material vegetal desde la recolección de semillas o su recepción externa, pasando por el manejo en vivero, hasta el registro de su plantación. Esta función convierte a la aplicación en la base operativa de la cadena de custodia del material vegetal y organiza la información y las evidencias utilizadas por la Fundación para su gestión y rendición de cuentas.</w:t>
      </w:r>
    </w:p>
    <w:p>
      <w:pPr>
        <w:pStyle w:val="Heading2"/>
      </w:pPr>
      <w:r>
        <w:rPr>
          <w:rFonts w:ascii="Times New Roman" w:hAnsi="Times New Roman"/>
          <w:sz w:val="24"/>
        </w:rPr>
        <w:t>2.2. Antecedentes académicos y tecnológicos</w:t>
      </w:r>
    </w:p>
    <w:p>
      <w:r>
        <w:rPr>
          <w:rFonts w:ascii="Times New Roman" w:hAnsi="Times New Roman"/>
          <w:sz w:val="24"/>
        </w:rPr>
        <w:t>La revisión de trabajos académicos y sistemas similares avanza desde las experiencias más cercanas al ámbito forestal boliviano hacia los fundamentos y mecanismos de trazabilidad aplicables al problema de R3Foresta.</w:t>
      </w:r>
    </w:p>
    <w:p>
      <w:r>
        <w:rPr>
          <w:rFonts w:ascii="Times New Roman" w:hAnsi="Times New Roman"/>
          <w:sz w:val="24"/>
        </w:rPr>
        <w:t>En Bolivia, Limachi Mamani (2020) desarrolló un sistema de registro y geolocalización de viveros para la Autoridad de Fiscalización y Control Social de Bosques y Tierra. El trabajo administra viveros, especies y volúmenes de producción, y demuestra la pertinencia de emplear sistemas georreferenciados en la gestión forestal del país. Su unidad principal de registro, sin embargo, es el vivero; por ello, el aporte se concentra en identificar y localizar unidades productivas y no en reconstruir el recorrido del material vegetal desde su procedencia hasta la plantación.</w:t>
      </w:r>
    </w:p>
    <w:p>
      <w:r>
        <w:rPr>
          <w:rFonts w:ascii="Times New Roman" w:hAnsi="Times New Roman"/>
          <w:sz w:val="24"/>
        </w:rPr>
        <w:t>La digitalización de viveros ha avanzado también en el contexto latinoamericano. Salamanca Contreras (2024) implementó un sistema web para el control interno y el inventario de un vivero comercial y reportó mejoras en la exactitud del inventario y el cumplimiento de despachos. Mayorga Vásquez et al. (2022), por su parte, propusieron un sistema web para procesos administrativos y productivos de viveros. Estos trabajos muestran que existencias, producción y despachos pueden gestionarse digitalmente, pero permanecen centrados en la administración interna del vivero: no relacionan de extremo a extremo la procedencia del material vegetal, sus transferencias hacia actividades de reforestación y la evidencia geográfica de la plantación.</w:t>
      </w:r>
    </w:p>
    <w:p>
      <w:r>
        <w:rPr>
          <w:rFonts w:ascii="Times New Roman" w:hAnsi="Times New Roman"/>
          <w:sz w:val="24"/>
        </w:rPr>
        <w:t>Para superar una visión limitada al inventario, la literatura internacional aporta fundamentos sobre qué debe conservar un sistema de trazabilidad. Moe (1998) distinguió la trazabilidad interna de aquella que enlaza distintas etapas de una cadena y resaltó la necesidad de definir unidades rastreables. Olsen y Borit (2013) situaron la trazabilidad en la posibilidad de acceder a información sobre objetos considerados a lo largo de su ciclo de vida, mientras que Dabbene et al. (2014) examinaron los problemas de identificación, granularidad, transformación y recuperación de genealogía en cadenas físicas. Aunque estas contribuciones proceden principalmente del ámbito agroalimentario, permiten establecer que reconstruir una cadena requiere conservar tanto las unidades y sus atributos como las relaciones producidas cuando cambian, se agrupan o se transfieren.</w:t>
      </w:r>
    </w:p>
    <w:p>
      <w:r>
        <w:rPr>
          <w:rFonts w:ascii="Times New Roman" w:hAnsi="Times New Roman"/>
          <w:sz w:val="24"/>
        </w:rPr>
        <w:t>Sobre esa base conceptual, Thakur et al. (2011) mostraron que los eventos de negocio pueden representar estados, movimientos y transformaciones, separando los datos maestros de los hechos ocurridos. Solanki y Brewster (2014) profundizaron esta representación al modelar transformaciones que vinculan unidades de entrada y salida, de modo que los eventos relacionados permitan recuperar su procedencia. El principio es transferible a R3Foresta porque un historial enlazado puede explicar los cambios de saldo y las relaciones entre unidades de material vegetal. Su aplicación requiere, no obstante, reglas propias para registrar la transformación biológica observada, la mortalidad o merma, las asignaciones parciales y la vinculación del lote con una ubicación de plantación. Esta transferencia conceptual no implica implementar literalmente EPCIS ni adoptar los procesos del dominio agroalimentario de las fuentes.</w:t>
      </w:r>
    </w:p>
    <w:p>
      <w:r>
        <w:rPr>
          <w:rFonts w:ascii="Times New Roman" w:hAnsi="Times New Roman"/>
          <w:sz w:val="24"/>
        </w:rPr>
        <w:t>La representación histórica tampoco basta si los movimientos y las cantidades pueden quedar inconexos o si la capacidad de reconstrucción solo se presupone. ISO 22095:2020 proporciona terminología y modelos generales para la cadena de custodia, pero aclara que un sistema no demuestra por sí mismo la veracidad de las declaraciones registradas (ISO, 2020). Desde una perspectiva empírica, Donnelly et al. (2012) evaluaron sistemas de trazabilidad mediante un ejercicio de retiro simulado que exigía recuperar el origen y la información asociada a los lotes. Este enfoque respalda la necesidad de comprobar la reconstrucción mediante preguntas, fuentes recuperadas, vacíos y tiempo empleado, sin trasladar a R3Foresta el contexto de inocuidad alimentaria. En conjunto, estos antecedentes muestran que la trazabilidad requiere relacionar los eventos con reglas de consistencia y evidencia, y que su recuperabilidad debe evaluarse en la práctica.</w:t>
      </w:r>
    </w:p>
    <w:p>
      <w:r>
        <w:rPr>
          <w:rFonts w:ascii="Times New Roman" w:hAnsi="Times New Roman"/>
          <w:sz w:val="24"/>
        </w:rPr>
        <w:t>Entre las fuentes revisadas no se identificó una solución que integrara, dentro de un mismo flujo, la procedencia del material vegetal, sus transformaciones, los movimientos entre etapas, la consistencia de cantidades y saldos y la evidencia asociada a la plantación, de forma que permitiera reconstruir posteriormente su cadena de custodia. Esta síntesis se limita al conjunto y alcance de la búsqueda bibliográfica realizada y no afirma la inexistencia absoluta de soluciones similares.</w:t>
      </w:r>
    </w:p>
    <w:p>
      <w:pPr>
        <w:pStyle w:val="Heading1"/>
      </w:pPr>
      <w:r>
        <w:rPr>
          <w:rFonts w:ascii="Times New Roman" w:hAnsi="Times New Roman"/>
          <w:sz w:val="28"/>
        </w:rPr>
        <w:t>3. Planteamiento del problema</w:t>
      </w:r>
    </w:p>
    <w:p>
      <w:pPr>
        <w:pStyle w:val="Heading2"/>
      </w:pPr>
      <w:r>
        <w:rPr>
          <w:rFonts w:ascii="Times New Roman" w:hAnsi="Times New Roman"/>
          <w:sz w:val="24"/>
        </w:rPr>
        <w:t>3.1. Situación problemática</w:t>
      </w:r>
    </w:p>
    <w:p>
      <w:r>
        <w:rPr>
          <w:rFonts w:ascii="Times New Roman" w:hAnsi="Times New Roman"/>
          <w:sz w:val="24"/>
        </w:rPr>
        <w:t>R3Foresta realiza actividades de reforestación con comunidades, voluntarios y organizaciones patrocinadoras. La información y las evidencias de estas actividades se conservan actualmente en fotografías, publicaciones en redes sociales, conversaciones de mensajería, cuadernos, notas y el conocimiento de las personas involucradas. Estos registros se encuentran dispersos y no comparten una estructura, identificadores ni relaciones comunes que permitan reconstruir de extremo a extremo la procedencia y el recorrido del material vegetal, las cantidades administradas, los responsables de cada etapa, las ubicaciones y las evidencias asociadas.</w:t>
      </w:r>
    </w:p>
    <w:p>
      <w:r>
        <w:rPr>
          <w:rFonts w:ascii="Times New Roman" w:hAnsi="Times New Roman"/>
          <w:sz w:val="24"/>
        </w:rPr>
        <w:t>El material vegetal utilizado por R3Foresta puede ser de origen propio o externo. En el primer caso, la organización recolecta semillas u otro material de propagación, lo traslada al vivero, registra los procesos biológicos y obtiene plantas destinadas a la plantación. En el segundo, adquiere o recibe plantas y otros materiales vegetales de proveedores o terceros, los cuales pueden ingresar al vivero o dirigirse directamente a una plantación. En ambos casos, la cadena requiere relacionar la procedencia, la especie, las cantidades, las fechas, los responsables y las evidencias con los eventos posteriores hasta el destino del material.</w:t>
      </w:r>
    </w:p>
    <w:p>
      <w:r>
        <w:rPr>
          <w:rFonts w:ascii="Times New Roman" w:hAnsi="Times New Roman"/>
          <w:sz w:val="24"/>
        </w:rPr>
        <w:t>Durante este recorrido cambian la ubicación, el responsable, el estado, la agrupación y, en determinados procesos, la unidad de medida del material vegetal. Las semillas recolectadas pueden registrarse en gramos o unidades de propagación, mientras que el saldo vivo del vivero y la plantación se expresa en unidades de plantas. El paso de semillas a plantas no constituye una conversión aritmética automática, sino un resultado biológico observado. El proceso también comprende mermas, descartes, devoluciones, cierres, transferencias y asignaciones parciales.</w:t>
      </w:r>
    </w:p>
    <w:p>
      <w:r>
        <w:rPr>
          <w:rFonts w:ascii="Times New Roman" w:hAnsi="Times New Roman"/>
          <w:sz w:val="24"/>
        </w:rPr>
        <w:t>Actualmente, las entradas, salidas, transformaciones, transferencias y modificaciones de saldo se documentan en fuentes separadas y no conforman un historial común que explique cada cambio. Esta fragmentación dificulta conciliar las cantidades entre etapas, determinar la disponibilidad real del material y evitar registros incompletos, dobles asignaciones o dobles consumos. De igual manera, las fotografías, fechas o coordenadas almacenadas fuera del hecho operativo quedan desvinculadas de la especie, la cantidad, el responsable y el evento que deben respaldar.</w:t>
      </w:r>
    </w:p>
    <w:p>
      <w:r>
        <w:rPr>
          <w:rFonts w:ascii="Times New Roman" w:hAnsi="Times New Roman"/>
          <w:sz w:val="24"/>
        </w:rPr>
        <w:t>Como consecuencia, R3Foresta tiene una capacidad limitada para reconstruir la cadena de custodia con evidencia contrastable. Esta situación dificulta las decisiones internas sobre disponibilidad, pérdidas, movimientos y destino del material vegetal, así como la presentación de información consistente a empresas patrocinadoras, aliados y otros actores que requieren conocer y contrastar el recorrido registrado.</w:t>
      </w:r>
    </w:p>
    <w:p>
      <w:pPr>
        <w:pStyle w:val="Heading2"/>
      </w:pPr>
      <w:r>
        <w:rPr>
          <w:rFonts w:ascii="Times New Roman" w:hAnsi="Times New Roman"/>
          <w:sz w:val="24"/>
        </w:rPr>
        <w:t>3.2. Árbol de causas y efectos</w:t>
      </w:r>
    </w:p>
    <w:p>
      <w:pPr>
        <w:pStyle w:val="Caption"/>
      </w:pPr>
      <w:r>
        <w:rPr>
          <w:rFonts w:ascii="Times New Roman" w:hAnsi="Times New Roman"/>
          <w:sz w:val="22"/>
        </w:rPr>
        <w:t>Figura 2. Árbol de causas y efectos.</w:t>
      </w:r>
    </w:p>
    <w:p>
      <w:pPr>
        <w:spacing w:after="120"/>
        <w:ind w:firstLine="0"/>
        <w:jc w:val="center"/>
      </w:pPr>
      <w:r>
        <w:drawing>
          <wp:inline xmlns:a="http://schemas.openxmlformats.org/drawingml/2006/main" xmlns:pic="http://schemas.openxmlformats.org/drawingml/2006/picture">
            <wp:extent cx="5230368" cy="6211062"/>
            <wp:docPr id="3" name="Picture 3"/>
            <wp:cNvGraphicFramePr>
              <a:graphicFrameLocks noChangeAspect="1"/>
            </wp:cNvGraphicFramePr>
            <a:graphic>
              <a:graphicData uri="http://schemas.openxmlformats.org/drawingml/2006/picture">
                <pic:pic>
                  <pic:nvPicPr>
                    <pic:cNvPr id="0" name="figura_1.png"/>
                    <pic:cNvPicPr/>
                  </pic:nvPicPr>
                  <pic:blipFill>
                    <a:blip r:embed="rId15"/>
                    <a:stretch>
                      <a:fillRect/>
                    </a:stretch>
                  </pic:blipFill>
                  <pic:spPr>
                    <a:xfrm>
                      <a:off x="0" y="0"/>
                      <a:ext cx="5230368" cy="6211062"/>
                    </a:xfrm>
                    <a:prstGeom prst="rect"/>
                  </pic:spPr>
                </pic:pic>
              </a:graphicData>
            </a:graphic>
          </wp:inline>
        </w:drawing>
      </w:r>
    </w:p>
    <w:p>
      <w:pPr>
        <w:pStyle w:val="Heading2"/>
      </w:pPr>
      <w:r>
        <w:rPr>
          <w:rFonts w:ascii="Times New Roman" w:hAnsi="Times New Roman"/>
          <w:sz w:val="24"/>
        </w:rPr>
        <w:t>3.3. Problema central</w:t>
      </w:r>
    </w:p>
    <w:p>
      <w:pPr>
        <w:spacing w:before="100" w:after="100"/>
        <w:ind w:left="567" w:right="340" w:firstLine="0"/>
      </w:pPr>
      <w:r>
        <w:rPr>
          <w:rFonts w:ascii="Times New Roman" w:hAnsi="Times New Roman"/>
          <w:i/>
          <w:sz w:val="24"/>
        </w:rPr>
        <w:t>En la práctica actual de R3Foresta, la información sobre la procedencia, los movimientos, las transformaciones, las cantidades, los responsables, las evidencias y el destino del material vegetal de origen propio o externo se conserva en registros dispersos que no comparten una estructura, identificadores ni relaciones comunes; esta fragmentación limita la reconstrucción de la cadena de custodia, la consistencia de cantidades y saldos y la presentación de evidencia contrastable a los actores interesados.</w:t>
      </w:r>
    </w:p>
    <w:p>
      <w:pPr>
        <w:pStyle w:val="Heading2"/>
      </w:pPr>
      <w:r>
        <w:rPr>
          <w:rFonts w:ascii="Times New Roman" w:hAnsi="Times New Roman"/>
          <w:sz w:val="24"/>
        </w:rPr>
        <w:t>3.4. Formulación del problema</w:t>
      </w:r>
    </w:p>
    <w:p>
      <w:pPr>
        <w:pStyle w:val="Heading3"/>
      </w:pPr>
      <w:r>
        <w:rPr>
          <w:rFonts w:ascii="Times New Roman" w:hAnsi="Times New Roman"/>
          <w:sz w:val="24"/>
        </w:rPr>
        <w:t>Pregunta general</w:t>
      </w:r>
    </w:p>
    <w:p>
      <w:pPr>
        <w:spacing w:before="100" w:after="100"/>
        <w:ind w:left="567" w:right="340" w:firstLine="0"/>
      </w:pPr>
      <w:r>
        <w:rPr>
          <w:rFonts w:ascii="Times New Roman" w:hAnsi="Times New Roman"/>
          <w:i/>
          <w:sz w:val="24"/>
        </w:rPr>
        <w:t>¿Cómo desarrollar y evaluar, en el caso de R3Foresta, un sistema de trazabilidad para la cadena de custodia del material vegetal, desde su recolección o recepción externa hasta su manejo en vivero y plantación, que permita reconstruir con evidencia contrastable su procedencia, movimientos, cantidades, responsables y destino, y qué diferencias presenta respecto de la práctica actual en capacidad de reconstrucción y carga operativa?</w:t>
      </w:r>
    </w:p>
    <w:p>
      <w:pPr>
        <w:pStyle w:val="Heading3"/>
      </w:pPr>
      <w:r>
        <w:rPr>
          <w:rFonts w:ascii="Times New Roman" w:hAnsi="Times New Roman"/>
          <w:sz w:val="24"/>
        </w:rPr>
        <w:t>Preguntas específicas</w:t>
      </w:r>
    </w:p>
    <w:p>
      <w:pPr>
        <w:pStyle w:val="ListParagraph"/>
        <w:numPr>
          <w:ilvl w:val="0"/>
          <w:numId w:val="10"/>
        </w:numPr>
        <w:spacing w:line="360" w:lineRule="auto" w:after="0"/>
        <w:ind w:left="454" w:hanging="283"/>
      </w:pPr>
      <w:r>
        <w:rPr>
          <w:rFonts w:ascii="Times New Roman" w:hAnsi="Times New Roman"/>
          <w:sz w:val="24"/>
        </w:rPr>
        <w:t>¿Qué procesos, actores, datos, estados, eventos, unidades de medida, requerimientos y reglas de negocio caracterizan Recolección, Vivero y Plantación, incluidas las variantes de ingreso de material vegetal adquirido o recibido de terceros?</w:t>
      </w:r>
    </w:p>
    <w:p>
      <w:pPr>
        <w:pStyle w:val="ListParagraph"/>
        <w:numPr>
          <w:ilvl w:val="0"/>
          <w:numId w:val="10"/>
        </w:numPr>
        <w:spacing w:line="360" w:lineRule="auto" w:after="0"/>
        <w:ind w:left="454" w:hanging="283"/>
      </w:pPr>
      <w:r>
        <w:rPr>
          <w:rFonts w:ascii="Times New Roman" w:hAnsi="Times New Roman"/>
          <w:sz w:val="24"/>
        </w:rPr>
        <w:t>¿Qué modelo de trazabilidad e integridad permite relacionar orígenes, entidades, eventos, transformaciones, cantidades, saldos, responsables y evidencias, y formalizar las reglas aplicables a las transferencias y transformaciones entre etapas?</w:t>
      </w:r>
    </w:p>
    <w:p>
      <w:pPr>
        <w:pStyle w:val="ListParagraph"/>
        <w:numPr>
          <w:ilvl w:val="0"/>
          <w:numId w:val="10"/>
        </w:numPr>
        <w:spacing w:line="360" w:lineRule="auto" w:after="0"/>
        <w:ind w:left="454" w:hanging="283"/>
      </w:pPr>
      <w:r>
        <w:rPr>
          <w:rFonts w:ascii="Times New Roman" w:hAnsi="Times New Roman"/>
          <w:sz w:val="24"/>
        </w:rPr>
        <w:t>¿Cómo implementar e integrar los módulos de Recolección, Vivero y Plantación, incorporando el ingreso de material vegetal adquirido o recibido de terceros directamente en Vivero o Plantación, con sus datos de procedencia y su registro en el historial?</w:t>
      </w:r>
    </w:p>
    <w:p>
      <w:pPr>
        <w:pStyle w:val="ListParagraph"/>
        <w:numPr>
          <w:ilvl w:val="0"/>
          <w:numId w:val="10"/>
        </w:numPr>
        <w:spacing w:line="360" w:lineRule="auto" w:after="0"/>
        <w:ind w:left="454" w:hanging="283"/>
      </w:pPr>
      <w:r>
        <w:rPr>
          <w:rFonts w:ascii="Times New Roman" w:hAnsi="Times New Roman"/>
          <w:sz w:val="24"/>
        </w:rPr>
        <w:t>¿En qué medida la solución cumple los requerimientos y preserva las invariantes definidas mediante pruebas funcionales y técnicas?</w:t>
      </w:r>
    </w:p>
    <w:p>
      <w:pPr>
        <w:pStyle w:val="ListParagraph"/>
        <w:numPr>
          <w:ilvl w:val="0"/>
          <w:numId w:val="10"/>
        </w:numPr>
        <w:spacing w:line="360" w:lineRule="auto" w:after="0"/>
        <w:ind w:left="454" w:hanging="283"/>
      </w:pPr>
      <w:r>
        <w:rPr>
          <w:rFonts w:ascii="Times New Roman" w:hAnsi="Times New Roman"/>
          <w:sz w:val="24"/>
        </w:rPr>
        <w:t>¿Qué capacidad presenta la solución, en el contexto del estudio de caso, para reconstruir trazas con evidencia contrastable y qué carga operativa genera en comparación con la práctica actual caracterizada en R3Foresta?</w:t>
      </w:r>
    </w:p>
    <w:p>
      <w:pPr>
        <w:pStyle w:val="Heading1"/>
      </w:pPr>
      <w:r>
        <w:rPr>
          <w:rFonts w:ascii="Times New Roman" w:hAnsi="Times New Roman"/>
          <w:sz w:val="28"/>
        </w:rPr>
        <w:t>4. Objetivos</w:t>
      </w:r>
    </w:p>
    <w:p>
      <w:pPr>
        <w:pStyle w:val="Heading2"/>
      </w:pPr>
      <w:r>
        <w:rPr>
          <w:rFonts w:ascii="Times New Roman" w:hAnsi="Times New Roman"/>
          <w:sz w:val="24"/>
        </w:rPr>
        <w:t>4.1. Objetivo general</w:t>
      </w:r>
    </w:p>
    <w:p>
      <w:r>
        <w:rPr>
          <w:rFonts w:ascii="Times New Roman" w:hAnsi="Times New Roman"/>
          <w:sz w:val="24"/>
        </w:rPr>
        <w:t>Desarrollar y evaluar un sistema de trazabilidad para la cadena de custodia del material vegetal utilizado por R3Foresta, desde su recolección o recepción externa hasta su manejo en vivero y plantación, que permita reconstruir con evidencia contrastable su procedencia, movimientos, cantidades, responsables y destino.</w:t>
      </w:r>
    </w:p>
    <w:p>
      <w:pPr>
        <w:pStyle w:val="Heading2"/>
      </w:pPr>
      <w:r>
        <w:rPr>
          <w:rFonts w:ascii="Times New Roman" w:hAnsi="Times New Roman"/>
          <w:sz w:val="24"/>
        </w:rPr>
        <w:t>4.2. Objetivos específicos</w:t>
      </w:r>
    </w:p>
    <w:p>
      <w:pPr>
        <w:pStyle w:val="ListParagraph"/>
        <w:numPr>
          <w:ilvl w:val="0"/>
          <w:numId w:val="11"/>
        </w:numPr>
        <w:spacing w:line="360" w:lineRule="auto" w:after="0"/>
        <w:ind w:left="454" w:hanging="283"/>
      </w:pPr>
      <w:r>
        <w:rPr>
          <w:rFonts w:ascii="Times New Roman" w:hAnsi="Times New Roman"/>
          <w:b/>
          <w:sz w:val="24"/>
        </w:rPr>
        <w:t>Analizar</w:t>
      </w:r>
      <w:r>
        <w:rPr>
          <w:rFonts w:ascii="Times New Roman" w:hAnsi="Times New Roman"/>
          <w:sz w:val="24"/>
        </w:rPr>
        <w:t xml:space="preserve"> los procesos, actores, datos, estados, eventos, unidades de medida, requerimientos y reglas de negocio de Recolección, Vivero y Plantación, incluidas las variantes de ingreso de material vegetal adquirido o recibido de terceros.</w:t>
      </w:r>
    </w:p>
    <w:p>
      <w:pPr>
        <w:pStyle w:val="ListParagraph"/>
        <w:numPr>
          <w:ilvl w:val="0"/>
          <w:numId w:val="11"/>
        </w:numPr>
        <w:spacing w:line="360" w:lineRule="auto" w:after="0"/>
        <w:ind w:left="454" w:hanging="283"/>
      </w:pPr>
      <w:r>
        <w:rPr>
          <w:rFonts w:ascii="Times New Roman" w:hAnsi="Times New Roman"/>
          <w:b/>
          <w:sz w:val="24"/>
        </w:rPr>
        <w:t>Diseñar</w:t>
      </w:r>
      <w:r>
        <w:rPr>
          <w:rFonts w:ascii="Times New Roman" w:hAnsi="Times New Roman"/>
          <w:sz w:val="24"/>
        </w:rPr>
        <w:t xml:space="preserve"> un modelo de trazabilidad e integridad que relacione orígenes, entidades, eventos, transformaciones, cantidades, saldos, responsables y evidencias, y que formalice las reglas aplicables a las transferencias y transformaciones entre etapas.</w:t>
      </w:r>
    </w:p>
    <w:p>
      <w:pPr>
        <w:pStyle w:val="ListParagraph"/>
        <w:numPr>
          <w:ilvl w:val="0"/>
          <w:numId w:val="11"/>
        </w:numPr>
        <w:spacing w:line="360" w:lineRule="auto" w:after="0"/>
        <w:ind w:left="454" w:hanging="283"/>
      </w:pPr>
      <w:r>
        <w:rPr>
          <w:rFonts w:ascii="Times New Roman" w:hAnsi="Times New Roman"/>
          <w:b/>
          <w:sz w:val="24"/>
        </w:rPr>
        <w:t>Implementar</w:t>
      </w:r>
      <w:r>
        <w:rPr>
          <w:rFonts w:ascii="Times New Roman" w:hAnsi="Times New Roman"/>
          <w:sz w:val="24"/>
        </w:rPr>
        <w:t xml:space="preserve"> los módulos de Recolección, Vivero y Plantación, incorporando el ingreso de material vegetal adquirido o recibido de terceros directamente en Vivero o Plantación, con sus datos de procedencia y su registro en el historial.</w:t>
      </w:r>
    </w:p>
    <w:p>
      <w:pPr>
        <w:pStyle w:val="ListParagraph"/>
        <w:numPr>
          <w:ilvl w:val="0"/>
          <w:numId w:val="11"/>
        </w:numPr>
        <w:spacing w:line="360" w:lineRule="auto" w:after="0"/>
        <w:ind w:left="454" w:hanging="283"/>
      </w:pPr>
      <w:r>
        <w:rPr>
          <w:rFonts w:ascii="Times New Roman" w:hAnsi="Times New Roman"/>
          <w:b/>
          <w:sz w:val="24"/>
        </w:rPr>
        <w:t>Verificar</w:t>
      </w:r>
      <w:r>
        <w:rPr>
          <w:rFonts w:ascii="Times New Roman" w:hAnsi="Times New Roman"/>
          <w:sz w:val="24"/>
        </w:rPr>
        <w:t xml:space="preserve"> el cumplimiento de los requerimientos y de las invariantes de consistencia mediante pruebas funcionales y técnicas.</w:t>
      </w:r>
    </w:p>
    <w:p>
      <w:pPr>
        <w:pStyle w:val="ListParagraph"/>
        <w:numPr>
          <w:ilvl w:val="0"/>
          <w:numId w:val="11"/>
        </w:numPr>
        <w:spacing w:line="360" w:lineRule="auto" w:after="0"/>
        <w:ind w:left="454" w:hanging="283"/>
      </w:pPr>
      <w:r>
        <w:rPr>
          <w:rFonts w:ascii="Times New Roman" w:hAnsi="Times New Roman"/>
          <w:b/>
          <w:sz w:val="24"/>
        </w:rPr>
        <w:t>Evaluar</w:t>
      </w:r>
      <w:r>
        <w:rPr>
          <w:rFonts w:ascii="Times New Roman" w:hAnsi="Times New Roman"/>
          <w:sz w:val="24"/>
        </w:rPr>
        <w:t>, en el contexto del estudio de caso, la capacidad de reconstrucción con evidencia contrastable y la carga operativa de la solución, comparándolas con la práctica actual caracterizada en R3Foresta.</w:t>
      </w:r>
    </w:p>
    <w:p>
      <w:pPr>
        <w:pStyle w:val="Heading1"/>
      </w:pPr>
      <w:r>
        <w:rPr>
          <w:rFonts w:ascii="Times New Roman" w:hAnsi="Times New Roman"/>
          <w:sz w:val="28"/>
        </w:rPr>
        <w:t>5. Justificación</w:t>
      </w:r>
    </w:p>
    <w:p>
      <w:r>
        <w:rPr>
          <w:rFonts w:ascii="Times New Roman" w:hAnsi="Times New Roman"/>
          <w:sz w:val="24"/>
        </w:rPr>
        <w:t>R3Foresta necesita reconstruir el recorrido del material vegetal que recibe o produce para conocer su procedencia, las cantidades disponibles, las pérdidas ocurridas, las asignaciones y transferencias realizadas y su destino final. Cuando esta información se conserva en formularios, inventarios o evidencias independientes, resulta difícil establecer posteriormente qué ocurrió con una cantidad o lote determinado a medida que atravesó las etapas de recolección, vivero y plantación. Por ello, la organización requiere conservar relaciones trazables entre el origen, los movimientos y el destino del material vegetal.</w:t>
      </w:r>
    </w:p>
    <w:p>
      <w:r>
        <w:rPr>
          <w:rFonts w:ascii="Times New Roman" w:hAnsi="Times New Roman"/>
          <w:sz w:val="24"/>
        </w:rPr>
        <w:t>Atender esta necesidad requiere una solución informática orientada a la trazabilidad, pues el registro aislado de datos no garantiza la conservación de las relaciones necesarias para explicar el recorrido del material. La información generada en las diferentes etapas debe mantener vínculos entre las cantidades, los movimientos realizados, los responsables, las fechas y las ubicaciones correspondientes. De este modo, los registros podrán ser consultados como partes de un mismo recorrido y no como constancias aisladas cuya correspondencia dependa de una reconstrucción manual.</w:t>
      </w:r>
    </w:p>
    <w:p>
      <w:r>
        <w:rPr>
          <w:rFonts w:ascii="Times New Roman" w:hAnsi="Times New Roman"/>
          <w:sz w:val="24"/>
        </w:rPr>
        <w:t>Disponer de información reconstruible y respaldada permitirá a R3Foresta relacionar las cantidades administradas con su procedencia y destino, identificar los actores involucrados y recuperar la evidencia asociada a las actividades registradas. Esta capacidad permitirá presentar información consistente y contrastable ante comunidades, voluntarios, empresas patrocinadoras y aliados, además de facilitar la rendición de cuentas entre los actores involucrados. La trazabilidad propuesta respaldará las actividades registradas, sin constituir por sí misma una certificación de supervivencia de las plantas, recuperación ecológica o captura de carbono.</w:t>
      </w:r>
    </w:p>
    <w:p>
      <w:r>
        <w:rPr>
          <w:rFonts w:ascii="Times New Roman" w:hAnsi="Times New Roman"/>
          <w:sz w:val="24"/>
        </w:rPr>
        <w:t>Desde la perspectiva académica, el proyecto permitirá vincular el análisis del dominio con un modelo de trazabilidad, reglas de integridad, una implementación verificable y una evaluación aplicada en un caso real. Su ejecución es viable porque aprovecha infraestructura disponible en planes gratuitos y concentra el gasto monetario en conectividad, trabajo de campo y herramientas de apoyo. Los posibles beneficios de tiempo o costo no se asumirán de antemano: se observarán durante la comparación con la práctica actual y se informarán junto con la carga operativa que introduzca la solución.</w:t>
      </w:r>
    </w:p>
    <w:p>
      <w:pPr>
        <w:pStyle w:val="Heading1"/>
      </w:pPr>
      <w:r>
        <w:rPr>
          <w:rFonts w:ascii="Times New Roman" w:hAnsi="Times New Roman"/>
          <w:sz w:val="28"/>
        </w:rPr>
        <w:t>6. Alcances y límites</w:t>
      </w:r>
    </w:p>
    <w:p>
      <w:pPr>
        <w:pStyle w:val="Heading2"/>
      </w:pPr>
      <w:r>
        <w:rPr>
          <w:rFonts w:ascii="Times New Roman" w:hAnsi="Times New Roman"/>
          <w:sz w:val="24"/>
        </w:rPr>
        <w:t>6.1. Alcance funcional</w:t>
      </w:r>
    </w:p>
    <w:p>
      <w:r>
        <w:rPr>
          <w:rFonts w:ascii="Times New Roman" w:hAnsi="Times New Roman"/>
          <w:sz w:val="24"/>
        </w:rPr>
        <w:t>El proyecto mantendrá tres módulos operativos:</w:t>
      </w:r>
    </w:p>
    <w:p>
      <w:pPr>
        <w:pStyle w:val="ListParagraph"/>
        <w:numPr>
          <w:ilvl w:val="0"/>
          <w:numId w:val="12"/>
        </w:numPr>
        <w:spacing w:line="360" w:lineRule="auto" w:after="0"/>
        <w:ind w:left="454" w:hanging="283"/>
      </w:pPr>
      <w:r>
        <w:rPr>
          <w:rFonts w:ascii="Times New Roman" w:hAnsi="Times New Roman"/>
          <w:b/>
          <w:sz w:val="24"/>
        </w:rPr>
        <w:t>Recolección:</w:t>
      </w:r>
      <w:r>
        <w:rPr>
          <w:rFonts w:ascii="Times New Roman" w:hAnsi="Times New Roman"/>
          <w:sz w:val="24"/>
        </w:rPr>
        <w:t xml:space="preserve"> registro de las semillas o unidades de propagación recolectadas, su especie, cantidad y unidad de medida, fecha, responsable, ubicación y evidencia.</w:t>
      </w:r>
    </w:p>
    <w:p>
      <w:pPr>
        <w:pStyle w:val="ListParagraph"/>
        <w:numPr>
          <w:ilvl w:val="0"/>
          <w:numId w:val="12"/>
        </w:numPr>
        <w:spacing w:line="360" w:lineRule="auto" w:after="0"/>
        <w:ind w:left="454" w:hanging="283"/>
      </w:pPr>
      <w:r>
        <w:rPr>
          <w:rFonts w:ascii="Times New Roman" w:hAnsi="Times New Roman"/>
          <w:b/>
          <w:sz w:val="24"/>
        </w:rPr>
        <w:t>Vivero:</w:t>
      </w:r>
      <w:r>
        <w:rPr>
          <w:rFonts w:ascii="Times New Roman" w:hAnsi="Times New Roman"/>
          <w:sz w:val="24"/>
        </w:rPr>
        <w:t xml:space="preserve"> recepción y manejo del material vegetal, registro de eventos biológicos y operativos, mermas, descartes, saldo vivo, despacho y cierre.</w:t>
      </w:r>
    </w:p>
    <w:p>
      <w:pPr>
        <w:pStyle w:val="ListParagraph"/>
        <w:numPr>
          <w:ilvl w:val="0"/>
          <w:numId w:val="12"/>
        </w:numPr>
        <w:spacing w:line="360" w:lineRule="auto" w:after="0"/>
        <w:ind w:left="454" w:hanging="283"/>
      </w:pPr>
      <w:r>
        <w:rPr>
          <w:rFonts w:ascii="Times New Roman" w:hAnsi="Times New Roman"/>
          <w:b/>
          <w:sz w:val="24"/>
        </w:rPr>
        <w:t>Plantación:</w:t>
      </w:r>
      <w:r>
        <w:rPr>
          <w:rFonts w:ascii="Times New Roman" w:hAnsi="Times New Roman"/>
          <w:sz w:val="24"/>
        </w:rPr>
        <w:t xml:space="preserve"> asignación de plantas a una subcampaña y registro de la cantidad plantada, responsables, fecha, ubicación y evidencia.</w:t>
      </w:r>
    </w:p>
    <w:p>
      <w:r>
        <w:rPr>
          <w:rFonts w:ascii="Times New Roman" w:hAnsi="Times New Roman"/>
          <w:sz w:val="24"/>
        </w:rPr>
        <w:t>El sistema podrá registrar material vegetal adquirido o recibido de terceros que ingrese directamente en Vivero o Plantación. El historial distinguirá este ingreso externo de una recolección realizada por R3Foresta y conservará, según la información disponible, el tipo de ingreso, el proveedor o la organización de procedencia, la especie, la cantidad y unidad, la fecha, el responsable de la recepción y la evidencia documental asociada. Estas variantes se resolverán dentro de los tres módulos existentes y no constituirán un módulo adicional.</w:t>
      </w:r>
    </w:p>
    <w:p>
      <w:r>
        <w:rPr>
          <w:rFonts w:ascii="Times New Roman" w:hAnsi="Times New Roman"/>
          <w:sz w:val="24"/>
        </w:rPr>
        <w:t>También se encuentran dentro del alcance:</w:t>
      </w:r>
    </w:p>
    <w:p>
      <w:pPr>
        <w:pStyle w:val="ListParagraph"/>
        <w:numPr>
          <w:ilvl w:val="0"/>
          <w:numId w:val="13"/>
        </w:numPr>
        <w:spacing w:line="360" w:lineRule="auto" w:after="0"/>
        <w:ind w:left="454" w:hanging="283"/>
      </w:pPr>
      <w:r>
        <w:rPr>
          <w:rFonts w:ascii="Times New Roman" w:hAnsi="Times New Roman"/>
          <w:sz w:val="24"/>
        </w:rPr>
        <w:t>reconstrucción del origen y recorrido del material vegetal;</w:t>
      </w:r>
    </w:p>
    <w:p>
      <w:pPr>
        <w:pStyle w:val="ListParagraph"/>
        <w:numPr>
          <w:ilvl w:val="0"/>
          <w:numId w:val="13"/>
        </w:numPr>
        <w:spacing w:line="360" w:lineRule="auto" w:after="0"/>
        <w:ind w:left="454" w:hanging="283"/>
      </w:pPr>
      <w:r>
        <w:rPr>
          <w:rFonts w:ascii="Times New Roman" w:hAnsi="Times New Roman"/>
          <w:sz w:val="24"/>
        </w:rPr>
        <w:t>historial de eventos que explique sus cambios de estado, cantidades y ubicación;</w:t>
      </w:r>
    </w:p>
    <w:p>
      <w:pPr>
        <w:pStyle w:val="ListParagraph"/>
        <w:numPr>
          <w:ilvl w:val="0"/>
          <w:numId w:val="13"/>
        </w:numPr>
        <w:spacing w:line="360" w:lineRule="auto" w:after="0"/>
        <w:ind w:left="454" w:hanging="283"/>
      </w:pPr>
      <w:r>
        <w:rPr>
          <w:rFonts w:ascii="Times New Roman" w:hAnsi="Times New Roman"/>
          <w:sz w:val="24"/>
        </w:rPr>
        <w:t>reglas orientadas a prevenir cantidades negativas, asignaciones o consumos superiores al disponible, doble asignación, doble consumo y saldos incoherentes;</w:t>
      </w:r>
    </w:p>
    <w:p>
      <w:pPr>
        <w:pStyle w:val="ListParagraph"/>
        <w:numPr>
          <w:ilvl w:val="0"/>
          <w:numId w:val="13"/>
        </w:numPr>
        <w:spacing w:line="360" w:lineRule="auto" w:after="0"/>
        <w:ind w:left="454" w:hanging="283"/>
      </w:pPr>
      <w:r>
        <w:rPr>
          <w:rFonts w:ascii="Times New Roman" w:hAnsi="Times New Roman"/>
          <w:sz w:val="24"/>
        </w:rPr>
        <w:t>mantenimiento de la coherencia de cantidades y saldos durante transferencias y transformaciones del material vegetal;</w:t>
      </w:r>
    </w:p>
    <w:p>
      <w:pPr>
        <w:pStyle w:val="ListParagraph"/>
        <w:numPr>
          <w:ilvl w:val="0"/>
          <w:numId w:val="13"/>
        </w:numPr>
        <w:spacing w:line="360" w:lineRule="auto" w:after="0"/>
        <w:ind w:left="454" w:hanging="283"/>
      </w:pPr>
      <w:r>
        <w:rPr>
          <w:rFonts w:ascii="Times New Roman" w:hAnsi="Times New Roman"/>
          <w:sz w:val="24"/>
        </w:rPr>
        <w:t>evidencia fotográfica, temporal y geográfica vinculada con el evento correspondiente.</w:t>
      </w:r>
    </w:p>
    <w:p>
      <w:pPr>
        <w:pStyle w:val="Heading2"/>
      </w:pPr>
      <w:r>
        <w:rPr>
          <w:rFonts w:ascii="Times New Roman" w:hAnsi="Times New Roman"/>
          <w:sz w:val="24"/>
        </w:rPr>
        <w:t>6.2. Alcance de la evaluación</w:t>
      </w:r>
    </w:p>
    <w:p>
      <w:r>
        <w:rPr>
          <w:rFonts w:ascii="Times New Roman" w:hAnsi="Times New Roman"/>
          <w:sz w:val="24"/>
        </w:rPr>
        <w:t>La evaluación se orientará primero a demostrar propiedades observables del sistema y, posteriormente, a comparar sus resultados con la forma en que R3Foresta conserva y reconstruye actualmente la información.</w:t>
      </w:r>
    </w:p>
    <w:p>
      <w:pPr>
        <w:pStyle w:val="Caption"/>
      </w:pPr>
      <w:r>
        <w:rPr>
          <w:rFonts w:ascii="Times New Roman" w:hAnsi="Times New Roman"/>
          <w:sz w:val="22"/>
        </w:rPr>
        <w:t>Tabla 1. Aspectos previstos para la evaluación.</w:t>
      </w:r>
    </w:p>
    <w:tbl>
      <w:tblPr>
        <w:tblW w:type="dxa" w:w="8270"/>
        <w:jc w:val="center"/>
        <w:tblLayout w:type="fixed"/>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1800"/>
        <w:gridCol w:w="3200"/>
        <w:gridCol w:w="3270"/>
      </w:tblGrid>
      <w:tr>
        <w:trPr>
          <w:tblHeader w:val="true"/>
        </w:trPr>
        <w:tc>
          <w:tcPr>
            <w:tcW w:type="dxa" w:w="18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Aspecto a evaluar</w:t>
            </w:r>
          </w:p>
        </w:tc>
        <w:tc>
          <w:tcPr>
            <w:tcW w:type="dxa" w:w="32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Qué se busca comprobar</w:t>
            </w:r>
          </w:p>
        </w:tc>
        <w:tc>
          <w:tcPr>
            <w:tcW w:type="dxa" w:w="327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Evidencia prevista</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Reconstrucción de la trazabilidad</w:t>
            </w:r>
          </w:p>
        </w:tc>
        <w:tc>
          <w:tcPr>
            <w:tcW w:type="dxa" w:w="32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Que la información registrada permita reconstruir de manera comprensible y consistente el origen, las etapas recorridas, los eventos, los cambios de estado, las cantidades, las transformaciones, las pérdidas, los responsables, la ubicación y el destino del material vegetal</w:t>
            </w:r>
          </w:p>
        </w:tc>
        <w:tc>
          <w:tcPr>
            <w:tcW w:type="dxa" w:w="32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Consultas o ejercicios de reconstrucción sobre trazas registradas, historial de eventos y evidencias asociadas</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Integridad de cantidades y saldos</w:t>
            </w:r>
          </w:p>
        </w:tc>
        <w:tc>
          <w:tcPr>
            <w:tcW w:type="dxa" w:w="32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Que las reglas implementadas prevengan o detecten cantidades negativas, consumo o asignación superior al disponible, doble consumo, doble asignación, saldos incoherentes y pérdida de relación entre material de origen y resultante</w:t>
            </w:r>
          </w:p>
        </w:tc>
        <w:tc>
          <w:tcPr>
            <w:tcW w:type="dxa" w:w="32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Resultados de pruebas funcionales y técnicas, registros de eventos y conciliación de cantidades</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Utilización durante una operación real</w:t>
            </w:r>
          </w:p>
        </w:tc>
        <w:tc>
          <w:tcPr>
            <w:tcW w:type="dxa" w:w="32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Que el sistema pueda utilizarse durante una actividad operativa de R3Foresta, procurando incluir una actividad real de plantación cuando el calendario institucional lo permita</w:t>
            </w:r>
          </w:p>
        </w:tc>
        <w:tc>
          <w:tcPr>
            <w:tcW w:type="dxa" w:w="32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Registros generados por el sistema, observación directa, registros de campo y evidencia disponible</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Comparación con la situación actual</w:t>
            </w:r>
          </w:p>
        </w:tc>
        <w:tc>
          <w:tcPr>
            <w:tcW w:type="dxa" w:w="32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Qué diferencias existen en la información recuperable, los vacíos, las fuentes necesarias, el tiempo de reconstrucción, la claridad del historial y la explicación de cantidades y saldos</w:t>
            </w:r>
          </w:p>
        </w:tc>
        <w:tc>
          <w:tcPr>
            <w:tcW w:type="dxa" w:w="32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Censo de trazas elegibles del periodo documental, fuentes existentes y trazas paralelas o comparables generadas con la propuesta</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Carga operativa y experiencia de los participantes</w:t>
            </w:r>
          </w:p>
        </w:tc>
        <w:tc>
          <w:tcPr>
            <w:tcW w:type="dxa" w:w="32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Qué esfuerzo requiere registrar y recuperar la información de trazabilidad con la solución propuesta, considerando las diferencias observables respecto de la práctica actual</w:t>
            </w:r>
          </w:p>
        </w:tc>
        <w:tc>
          <w:tcPr>
            <w:tcW w:type="dxa" w:w="32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Tiempo de registro y reconstrucción, cantidad de pasos, observación y retroalimentación de los participantes</w:t>
            </w:r>
          </w:p>
        </w:tc>
      </w:tr>
    </w:tbl>
    <w:p>
      <w:pPr>
        <w:spacing w:after="0"/>
      </w:pPr>
    </w:p>
    <w:p>
      <w:r>
        <w:rPr>
          <w:rFonts w:ascii="Times New Roman" w:hAnsi="Times New Roman"/>
          <w:sz w:val="24"/>
        </w:rPr>
        <w:t>La evaluación se realizará con actividades y participantes coordinados con R3Foresta, priorizando la observación de actividades reales.</w:t>
      </w:r>
    </w:p>
    <w:p>
      <w:pPr>
        <w:pStyle w:val="Heading2"/>
      </w:pPr>
      <w:r>
        <w:rPr>
          <w:rFonts w:ascii="Times New Roman" w:hAnsi="Times New Roman"/>
          <w:sz w:val="24"/>
        </w:rPr>
        <w:t>6.3. Fuera del alcance</w:t>
      </w:r>
    </w:p>
    <w:p>
      <w:r>
        <w:rPr>
          <w:rFonts w:ascii="Times New Roman" w:hAnsi="Times New Roman"/>
          <w:sz w:val="24"/>
        </w:rPr>
        <w:t>Quedan fuera del proyecto:</w:t>
      </w:r>
    </w:p>
    <w:p>
      <w:pPr>
        <w:pStyle w:val="ListParagraph"/>
        <w:numPr>
          <w:ilvl w:val="0"/>
          <w:numId w:val="14"/>
        </w:numPr>
        <w:spacing w:line="360" w:lineRule="auto" w:after="0"/>
        <w:ind w:left="454" w:hanging="283"/>
      </w:pPr>
      <w:r>
        <w:rPr>
          <w:rFonts w:ascii="Times New Roman" w:hAnsi="Times New Roman"/>
          <w:sz w:val="24"/>
        </w:rPr>
        <w:t>certificación, emisión o comercialización de bonos o créditos de carbono;</w:t>
      </w:r>
    </w:p>
    <w:p>
      <w:pPr>
        <w:pStyle w:val="ListParagraph"/>
        <w:numPr>
          <w:ilvl w:val="0"/>
          <w:numId w:val="14"/>
        </w:numPr>
        <w:spacing w:line="360" w:lineRule="auto" w:after="0"/>
        <w:ind w:left="454" w:hanging="283"/>
      </w:pPr>
      <w:r>
        <w:rPr>
          <w:rFonts w:ascii="Times New Roman" w:hAnsi="Times New Roman"/>
          <w:sz w:val="24"/>
        </w:rPr>
        <w:t>cálculo de biomasa, CO₂ equivalente, adicionalidad, permanencia o línea base de carbono;</w:t>
      </w:r>
    </w:p>
    <w:p>
      <w:pPr>
        <w:pStyle w:val="ListParagraph"/>
        <w:numPr>
          <w:ilvl w:val="0"/>
          <w:numId w:val="14"/>
        </w:numPr>
        <w:spacing w:line="360" w:lineRule="auto" w:after="0"/>
        <w:ind w:left="454" w:hanging="283"/>
      </w:pPr>
      <w:r>
        <w:rPr>
          <w:rFonts w:ascii="Times New Roman" w:hAnsi="Times New Roman"/>
          <w:sz w:val="24"/>
        </w:rPr>
        <w:t>certificación independiente de plantaciones o autenticidad forense de fotografías;</w:t>
      </w:r>
    </w:p>
    <w:p>
      <w:pPr>
        <w:pStyle w:val="ListParagraph"/>
        <w:numPr>
          <w:ilvl w:val="0"/>
          <w:numId w:val="14"/>
        </w:numPr>
        <w:spacing w:line="360" w:lineRule="auto" w:after="0"/>
        <w:ind w:left="454" w:hanging="283"/>
      </w:pPr>
      <w:r>
        <w:rPr>
          <w:rFonts w:ascii="Times New Roman" w:hAnsi="Times New Roman"/>
          <w:sz w:val="24"/>
        </w:rPr>
        <w:t>monitoreo, crecimiento, mantenimiento o seguimiento ecológico posteriores al registro de la plantación;</w:t>
      </w:r>
    </w:p>
    <w:p>
      <w:pPr>
        <w:pStyle w:val="ListParagraph"/>
        <w:numPr>
          <w:ilvl w:val="0"/>
          <w:numId w:val="14"/>
        </w:numPr>
        <w:spacing w:line="360" w:lineRule="auto" w:after="0"/>
        <w:ind w:left="454" w:hanging="283"/>
      </w:pPr>
      <w:r>
        <w:rPr>
          <w:rFonts w:ascii="Times New Roman" w:hAnsi="Times New Roman"/>
          <w:sz w:val="24"/>
        </w:rPr>
        <w:t>garantía de supervivencia de las plantas después de su plantación;</w:t>
      </w:r>
    </w:p>
    <w:p>
      <w:pPr>
        <w:pStyle w:val="ListParagraph"/>
        <w:numPr>
          <w:ilvl w:val="0"/>
          <w:numId w:val="14"/>
        </w:numPr>
        <w:spacing w:line="360" w:lineRule="auto" w:after="0"/>
        <w:ind w:left="454" w:hanging="283"/>
      </w:pPr>
      <w:r>
        <w:rPr>
          <w:rFonts w:ascii="Times New Roman" w:hAnsi="Times New Roman"/>
          <w:sz w:val="24"/>
        </w:rPr>
        <w:t>blockchain, NFT, contratos inteligentes, IPFS y anclajes criptográficos;</w:t>
      </w:r>
    </w:p>
    <w:p>
      <w:pPr>
        <w:pStyle w:val="ListParagraph"/>
        <w:numPr>
          <w:ilvl w:val="0"/>
          <w:numId w:val="14"/>
        </w:numPr>
        <w:spacing w:line="360" w:lineRule="auto" w:after="0"/>
        <w:ind w:left="454" w:hanging="283"/>
      </w:pPr>
      <w:r>
        <w:rPr>
          <w:rFonts w:ascii="Times New Roman" w:hAnsi="Times New Roman"/>
          <w:sz w:val="24"/>
        </w:rPr>
        <w:t>integración con mercados de carbono o sistemas externos de certificación;</w:t>
      </w:r>
    </w:p>
    <w:p>
      <w:pPr>
        <w:pStyle w:val="ListParagraph"/>
        <w:numPr>
          <w:ilvl w:val="0"/>
          <w:numId w:val="14"/>
        </w:numPr>
        <w:spacing w:line="360" w:lineRule="auto" w:after="0"/>
        <w:ind w:left="454" w:hanging="283"/>
      </w:pPr>
      <w:r>
        <w:rPr>
          <w:rFonts w:ascii="Times New Roman" w:hAnsi="Times New Roman"/>
          <w:sz w:val="24"/>
        </w:rPr>
        <w:t>operación nacional o despliegue masivo;</w:t>
      </w:r>
    </w:p>
    <w:p>
      <w:r>
        <w:rPr>
          <w:rFonts w:ascii="Times New Roman" w:hAnsi="Times New Roman"/>
          <w:sz w:val="24"/>
        </w:rPr>
        <w:t>La aspiración de R3Foresta de participar en mecanismos de carbono se reconoce únicamente como contexto organizacional de largo plazo. No es un resultado ni una promesa del presente Proyecto de Grado.</w:t>
      </w:r>
    </w:p>
    <w:p>
      <w:r>
        <w:rPr>
          <w:rFonts w:ascii="Times New Roman" w:hAnsi="Times New Roman"/>
          <w:sz w:val="24"/>
        </w:rPr>
        <w:t>Los prototipos o componentes técnicos anteriores relacionados con blockchain, NFT o IPFS podrán existir en repositorios históricos, pero no formarán parte de la construcción académica, la matriz de cumplimiento, la evaluación ni las conclusiones de la solución presentada.</w:t>
      </w:r>
    </w:p>
    <w:p>
      <w:pPr>
        <w:pStyle w:val="Heading2"/>
      </w:pPr>
      <w:r>
        <w:rPr>
          <w:rFonts w:ascii="Times New Roman" w:hAnsi="Times New Roman"/>
          <w:sz w:val="24"/>
        </w:rPr>
        <w:t>6.4. Limitaciones</w:t>
      </w:r>
    </w:p>
    <w:p>
      <w:pPr>
        <w:pStyle w:val="ListParagraph"/>
        <w:numPr>
          <w:ilvl w:val="0"/>
          <w:numId w:val="15"/>
        </w:numPr>
        <w:spacing w:line="360" w:lineRule="auto" w:after="0"/>
        <w:ind w:left="454" w:hanging="283"/>
      </w:pPr>
      <w:r>
        <w:rPr>
          <w:rFonts w:ascii="Times New Roman" w:hAnsi="Times New Roman"/>
          <w:b/>
          <w:sz w:val="24"/>
        </w:rPr>
        <w:t>Disponibilidad de información histórica:</w:t>
      </w:r>
      <w:r>
        <w:rPr>
          <w:rFonts w:ascii="Times New Roman" w:hAnsi="Times New Roman"/>
          <w:sz w:val="24"/>
        </w:rPr>
        <w:t xml:space="preserve"> los registros anteriores pueden estar incompletos, distribuidos entre diferentes fuentes o presentar niveles de detalle desiguales. Se delimitará un periodo documental, se inventariarán las actividades identificables y se incluirán todas las trazas que cumplan los criterios definidos; las exclusiones y sus motivos quedarán registradas.</w:t>
      </w:r>
    </w:p>
    <w:p>
      <w:pPr>
        <w:pStyle w:val="ListParagraph"/>
        <w:numPr>
          <w:ilvl w:val="0"/>
          <w:numId w:val="15"/>
        </w:numPr>
        <w:spacing w:line="360" w:lineRule="auto" w:after="0"/>
        <w:ind w:left="454" w:hanging="283"/>
      </w:pPr>
      <w:r>
        <w:rPr>
          <w:rFonts w:ascii="Times New Roman" w:hAnsi="Times New Roman"/>
          <w:b/>
          <w:sz w:val="24"/>
        </w:rPr>
        <w:t>Disponibilidad de operaciones reales:</w:t>
      </w:r>
      <w:r>
        <w:rPr>
          <w:rFonts w:ascii="Times New Roman" w:hAnsi="Times New Roman"/>
          <w:sz w:val="24"/>
        </w:rPr>
        <w:t xml:space="preserve"> la posibilidad de observar recolección, vivero o plantación depende del calendario operativo y de los ciclos propios de R3Foresta durante el periodo del Proyecto de Grado. Las etapas que no puedan observarse se evaluarán mediante casos controlados y se informarán como tales.</w:t>
      </w:r>
    </w:p>
    <w:p>
      <w:pPr>
        <w:pStyle w:val="ListParagraph"/>
        <w:numPr>
          <w:ilvl w:val="0"/>
          <w:numId w:val="15"/>
        </w:numPr>
        <w:spacing w:line="360" w:lineRule="auto" w:after="0"/>
        <w:ind w:left="454" w:hanging="283"/>
      </w:pPr>
      <w:r>
        <w:rPr>
          <w:rFonts w:ascii="Times New Roman" w:hAnsi="Times New Roman"/>
          <w:b/>
          <w:sz w:val="24"/>
        </w:rPr>
        <w:t>Disponibilidad de participantes:</w:t>
      </w:r>
      <w:r>
        <w:rPr>
          <w:rFonts w:ascii="Times New Roman" w:hAnsi="Times New Roman"/>
          <w:sz w:val="24"/>
        </w:rPr>
        <w:t xml:space="preserve"> la cantidad definitiva de participantes dependerá de las personas disponibles y autorizadas por R3Foresta durante la evaluación.</w:t>
      </w:r>
    </w:p>
    <w:p>
      <w:pPr>
        <w:pStyle w:val="ListParagraph"/>
        <w:numPr>
          <w:ilvl w:val="0"/>
          <w:numId w:val="15"/>
        </w:numPr>
        <w:spacing w:line="360" w:lineRule="auto" w:after="0"/>
        <w:ind w:left="454" w:hanging="283"/>
      </w:pPr>
      <w:r>
        <w:rPr>
          <w:rFonts w:ascii="Times New Roman" w:hAnsi="Times New Roman"/>
          <w:b/>
          <w:sz w:val="24"/>
        </w:rPr>
        <w:t>Alcance del estudio de caso:</w:t>
      </w:r>
      <w:r>
        <w:rPr>
          <w:rFonts w:ascii="Times New Roman" w:hAnsi="Times New Roman"/>
          <w:sz w:val="24"/>
        </w:rPr>
        <w:t xml:space="preserve"> la evaluación se realizará dentro del contexto de R3Foresta. No busca inferencia estadística ni permite afirmar que los resultados sean automáticamente generalizables a todas las organizaciones forestales.</w:t>
      </w:r>
    </w:p>
    <w:p>
      <w:pPr>
        <w:pStyle w:val="ListParagraph"/>
        <w:numPr>
          <w:ilvl w:val="0"/>
          <w:numId w:val="15"/>
        </w:numPr>
        <w:spacing w:line="360" w:lineRule="auto" w:after="0"/>
        <w:ind w:left="454" w:hanging="283"/>
      </w:pPr>
      <w:r>
        <w:rPr>
          <w:rFonts w:ascii="Times New Roman" w:hAnsi="Times New Roman"/>
          <w:b/>
          <w:sz w:val="24"/>
        </w:rPr>
        <w:t>Limitación de las evidencias digitales:</w:t>
      </w:r>
      <w:r>
        <w:rPr>
          <w:rFonts w:ascii="Times New Roman" w:hAnsi="Times New Roman"/>
          <w:sz w:val="24"/>
        </w:rPr>
        <w:t xml:space="preserve"> fotografías, coordenadas, fechas y otros datos respaldan el registro con el cual están asociados, pero no certifican por sí solos que la situación física o la cantidad declarada sea absolutamente correcta.</w:t>
      </w:r>
    </w:p>
    <w:p>
      <w:pPr>
        <w:pStyle w:val="ListParagraph"/>
        <w:numPr>
          <w:ilvl w:val="0"/>
          <w:numId w:val="15"/>
        </w:numPr>
        <w:spacing w:line="360" w:lineRule="auto" w:after="0"/>
        <w:ind w:left="454" w:hanging="283"/>
      </w:pPr>
      <w:r>
        <w:rPr>
          <w:rFonts w:ascii="Times New Roman" w:hAnsi="Times New Roman"/>
          <w:b/>
          <w:sz w:val="24"/>
        </w:rPr>
        <w:t>Sitio del piloto:</w:t>
      </w:r>
      <w:r>
        <w:rPr>
          <w:rFonts w:ascii="Times New Roman" w:hAnsi="Times New Roman"/>
          <w:sz w:val="24"/>
        </w:rPr>
        <w:t xml:space="preserve"> el lugar concreto todavía no está confirmado; se seleccionará según la disponibilidad de una actividad real, la accesibilidad logística, la autorización correspondiente y la posibilidad de observar adecuadamente el proceso.</w:t>
      </w:r>
    </w:p>
    <w:p>
      <w:pPr>
        <w:pStyle w:val="Heading1"/>
      </w:pPr>
      <w:r>
        <w:rPr>
          <w:rFonts w:ascii="Times New Roman" w:hAnsi="Times New Roman"/>
          <w:sz w:val="28"/>
        </w:rPr>
        <w:t>7. Marco teórico preliminar</w:t>
      </w:r>
    </w:p>
    <w:p>
      <w:pPr>
        <w:pStyle w:val="Heading2"/>
      </w:pPr>
      <w:r>
        <w:rPr>
          <w:rFonts w:ascii="Times New Roman" w:hAnsi="Times New Roman"/>
          <w:sz w:val="24"/>
        </w:rPr>
        <w:t>7.1. Material vegetal, trazabilidad y cadena de custodia</w:t>
      </w:r>
    </w:p>
    <w:p>
      <w:r>
        <w:rPr>
          <w:rFonts w:ascii="Times New Roman" w:hAnsi="Times New Roman"/>
          <w:sz w:val="24"/>
        </w:rPr>
        <w:t xml:space="preserve">La Organización de las Naciones Unidas para la Alimentación y la Agricultura incluye dentro del material reproductivo forestal las semillas, las partes de plantas y las plantas producidas a partir de ellas. Para iniciativas de reforestación recomienda documentar, entre otros datos, la fuente, la cantidad, los tratamientos, la distribución y los lugares donde el material se utiliza; también señala la importancia de conservar información del proveedor cuando el material es adquirido (Food and Agriculture Organization of the United Nations [FAO], s. f.). En este proyecto, la expresión </w:t>
      </w:r>
      <w:r>
        <w:rPr>
          <w:rFonts w:ascii="Times New Roman" w:hAnsi="Times New Roman"/>
          <w:i/>
          <w:sz w:val="24"/>
        </w:rPr>
        <w:t>material vegetal</w:t>
      </w:r>
      <w:r>
        <w:rPr>
          <w:rFonts w:ascii="Times New Roman" w:hAnsi="Times New Roman"/>
          <w:sz w:val="24"/>
        </w:rPr>
        <w:t xml:space="preserve"> abarca esas unidades durante el periodo comprendido entre su recolección o ingreso externo y el registro de su plantación.</w:t>
      </w:r>
    </w:p>
    <w:p>
      <w:r>
        <w:rPr>
          <w:rFonts w:ascii="Times New Roman" w:hAnsi="Times New Roman"/>
          <w:sz w:val="24"/>
        </w:rPr>
        <w:t>La trazabilidad permite recuperar información sobre un objeto y seguir sus relaciones a lo largo de una cadena. Moe (1998) diferencia la trazabilidad interna de aquella que enlaza distintas etapas y actores, mientras que Olsen y Borit (2013) la definen a partir de la posibilidad de acceder a información sobre los objetos considerados durante su ciclo de vida. La cadena de custodia complementa este concepto al conservar relaciones de procedencia, transferencia y responsabilidad. ISO 22095:2020 establece, sin embargo, que la existencia de una cadena de custodia no demuestra por sí sola la veracidad de las declaraciones registradas (ISO, 2020). Por ello, R3Foresta buscará reconstruir registros respaldados por evidencia, no certificar de manera independiente los hechos físicos.</w:t>
      </w:r>
    </w:p>
    <w:p>
      <w:pPr>
        <w:pStyle w:val="Heading2"/>
      </w:pPr>
      <w:r>
        <w:rPr>
          <w:rFonts w:ascii="Times New Roman" w:hAnsi="Times New Roman"/>
          <w:sz w:val="24"/>
        </w:rPr>
        <w:t>7.2. Unidades trazables, eventos y procedencia</w:t>
      </w:r>
    </w:p>
    <w:p>
      <w:r>
        <w:rPr>
          <w:rFonts w:ascii="Times New Roman" w:hAnsi="Times New Roman"/>
          <w:sz w:val="24"/>
        </w:rPr>
        <w:t>Un sistema de trazabilidad necesita identificar las unidades consideradas, conservar sus atributos y registrar las relaciones que se producen cuando se agrupan, dividen o transforman (Olsen &amp; Borit, 2018). En R3Foresta estas unidades pueden representarse mediante un registro de origen, un lote de vivero, una asignación o una plantación. Su identidad informática no implica que permanezcan físicamente inalteradas: el modelo debe conservar las relaciones suficientes para explicar de dónde provienen y qué ocurrió con ellas.</w:t>
      </w:r>
    </w:p>
    <w:p>
      <w:r>
        <w:rPr>
          <w:rFonts w:ascii="Times New Roman" w:hAnsi="Times New Roman"/>
          <w:sz w:val="24"/>
        </w:rPr>
        <w:t xml:space="preserve">Un evento representa un hecho ocurrido sobre esas unidades, por ejemplo una recepción, un embolsado, una merma, una asignación, una devolución o una plantación. Thakur et al. (2011) muestran que los eventos pueden relacionar objetos, tiempo, lugar y motivo, y Solanki y Brewster (2014) explican cómo una transformación vincula entradas con salidas para recuperar su procedencia. El modelo PROV distingue entidades, actividades y agentes, y permite expresar uso, generación, derivación y responsabilidad dentro de una cadena de procedencia (World Wide Web Consortium [W3C], 2013). Estos referentes se utilizarán como base conceptual; el proyecto no queda obligado a implementar EPCIS, PROV-O ni una arquitectura de </w:t>
      </w:r>
      <w:r>
        <w:rPr>
          <w:rFonts w:ascii="Times New Roman" w:hAnsi="Times New Roman"/>
          <w:i/>
          <w:sz w:val="24"/>
        </w:rPr>
        <w:t>event sourcing</w:t>
      </w:r>
      <w:r>
        <w:rPr>
          <w:rFonts w:ascii="Times New Roman" w:hAnsi="Times New Roman"/>
          <w:sz w:val="24"/>
        </w:rPr>
        <w:t>.</w:t>
      </w:r>
    </w:p>
    <w:p>
      <w:r>
        <w:rPr>
          <w:rFonts w:ascii="Times New Roman" w:hAnsi="Times New Roman"/>
          <w:sz w:val="24"/>
        </w:rPr>
        <w:t>El diseño distinguirá una transferencia, que mueve material entre responsables, lugares o etapas, de una transformación, que puede cambiar su estado, cantidad o unidad de medida. Tampoco atribuirá a una compra o recepción externa una recolección que no ocurrió: ese material iniciará su historial con los datos de procedencia disponibles y con el hecho de ingreso correspondiente.</w:t>
      </w:r>
    </w:p>
    <w:p>
      <w:pPr>
        <w:pStyle w:val="Heading2"/>
      </w:pPr>
      <w:r>
        <w:rPr>
          <w:rFonts w:ascii="Times New Roman" w:hAnsi="Times New Roman"/>
          <w:sz w:val="24"/>
        </w:rPr>
        <w:t>7.3. Integridad de cantidades y operaciones</w:t>
      </w:r>
    </w:p>
    <w:p>
      <w:r>
        <w:rPr>
          <w:rFonts w:ascii="Times New Roman" w:hAnsi="Times New Roman"/>
          <w:sz w:val="24"/>
        </w:rPr>
        <w:t>La reconstrucción del historial pierde utilidad si las cantidades, saldos y relaciones pueden quedar en estados incoherentes. Una invariante es una condición que debe preservarse antes y después de una operación, como mantener un saldo no negativo, impedir una asignación superior al disponible, evitar el doble consumo y conservar la correspondencia entre el material de origen y el resultante. El diseño por contrato permite expresar precondiciones, poscondiciones e invariantes (Meyer, 1992), y la trazabilidad de requerimientos permite relacionar estas condiciones con reglas, decisiones y pruebas durante la evolución del sistema (Gotel &amp; Finkelstein, 1994).</w:t>
      </w:r>
    </w:p>
    <w:p>
      <w:r>
        <w:rPr>
          <w:rFonts w:ascii="Times New Roman" w:hAnsi="Times New Roman"/>
          <w:sz w:val="24"/>
        </w:rPr>
        <w:t>Una operación entre etapas puede modificar simultáneamente el historial, la disponibilidad y las relaciones de procedencia. La teoría de transacciones identifica propiedades de atomicidad, consistencia, aislamiento y durabilidad para evitar resultados parciales y controlar interacciones simultáneas (Härder &amp; Reuter, 1983). El Perfil compromete las propiedades observables —coherencia, ausencia de estados parciales y prevención de consumos duplicados—, pero deja para el diseño la elección y justificación de transacciones, restricciones, bloqueos u otros mecanismos concretos.</w:t>
      </w:r>
    </w:p>
    <w:p>
      <w:pPr>
        <w:pStyle w:val="Heading2"/>
      </w:pPr>
      <w:r>
        <w:rPr>
          <w:rFonts w:ascii="Times New Roman" w:hAnsi="Times New Roman"/>
          <w:sz w:val="24"/>
        </w:rPr>
        <w:t>7.4. Evidencia, información geográfica y reconstrucción</w:t>
      </w:r>
    </w:p>
    <w:p>
      <w:r>
        <w:rPr>
          <w:rFonts w:ascii="Times New Roman" w:hAnsi="Times New Roman"/>
          <w:sz w:val="24"/>
        </w:rPr>
        <w:t>La evidencia adquiere valor de trazabilidad cuando se relaciona con el evento que pretende respaldar. Fotografías, fechas, ubicaciones y documentos de procedencia pueden ayudar a contrastar quién registró un hecho, cuándo y dónde ocurrió y qué material estuvo involucrado. La información geográfica permite asociar puntos de recolección o plantación con lugares o áreas definidas, pero una coordenada o una fotografía no certifica por sí sola la autenticidad del hecho ni la cantidad declarada.</w:t>
      </w:r>
    </w:p>
    <w:p>
      <w:r>
        <w:rPr>
          <w:rFonts w:ascii="Times New Roman" w:hAnsi="Times New Roman"/>
          <w:sz w:val="24"/>
        </w:rPr>
        <w:t>La capacidad de reconstrucción debe comprobarse intentando recuperar el recorrido, no suponerse por la sola existencia del sistema. Donnelly et al. (2012) evaluaron sistemas de trazabilidad mediante un retiro simulado que exigía recuperar el origen y la información vinculada con los lotes. R3Foresta adapta ese principio mediante preguntas de procedencia, eventos, cantidades, responsables, destino, ubicación y evidencia. La evaluación específica de estas propiedades se complementará con criterios de adecuación funcional, fiabilidad, capacidad de interacción, seguridad y mantenibilidad tomados como referencia del modelo ISO/IEC 25010:2023 (ISO, 2023).</w:t>
      </w:r>
    </w:p>
    <w:p>
      <w:pPr>
        <w:pStyle w:val="Heading1"/>
      </w:pPr>
      <w:r>
        <w:rPr>
          <w:rFonts w:ascii="Times New Roman" w:hAnsi="Times New Roman"/>
          <w:sz w:val="28"/>
        </w:rPr>
        <w:t>8. Marco metodológico</w:t>
      </w:r>
    </w:p>
    <w:p>
      <w:pPr>
        <w:pStyle w:val="Heading2"/>
      </w:pPr>
      <w:r>
        <w:rPr>
          <w:rFonts w:ascii="Times New Roman" w:hAnsi="Times New Roman"/>
          <w:sz w:val="24"/>
        </w:rPr>
        <w:t>8.1. Diseño de la investigación</w:t>
      </w:r>
    </w:p>
    <w:p>
      <w:r>
        <w:rPr>
          <w:rFonts w:ascii="Times New Roman" w:hAnsi="Times New Roman"/>
          <w:sz w:val="24"/>
        </w:rPr>
        <w:t xml:space="preserve">La investigación será </w:t>
      </w:r>
      <w:r>
        <w:rPr>
          <w:rFonts w:ascii="Times New Roman" w:hAnsi="Times New Roman"/>
          <w:b/>
          <w:sz w:val="24"/>
        </w:rPr>
        <w:t>aplicada y tecnológica</w:t>
      </w:r>
      <w:r>
        <w:rPr>
          <w:rFonts w:ascii="Times New Roman" w:hAnsi="Times New Roman"/>
          <w:sz w:val="24"/>
        </w:rPr>
        <w:t xml:space="preserve"> porque construirá un artefacto de software para atender un problema operativo. Se adoptará la </w:t>
      </w:r>
      <w:r>
        <w:rPr>
          <w:rFonts w:ascii="Times New Roman" w:hAnsi="Times New Roman"/>
          <w:b/>
          <w:sz w:val="24"/>
        </w:rPr>
        <w:t>ciencia del diseño</w:t>
      </w:r>
      <w:r>
        <w:rPr>
          <w:rFonts w:ascii="Times New Roman" w:hAnsi="Times New Roman"/>
          <w:sz w:val="24"/>
        </w:rPr>
        <w:t>, que vincula la construcción y evaluación de un artefacto con un problema organizacional (Hevner et al., 2004). El proceso seguirá las actividades de DSRM: identificación del problema, definición de objetivos, diseño y desarrollo, demostración, evaluación y comunicación (Peffers et al., 2007). El artefacto académico comprenderá el modelo de trazabilidad e integridad, sus reglas e invariantes, los tres módulos integrados, el mecanismo de reconstrucción y la evidencia obtenida al verificar y evaluar la solución; no se reducirá a las pantallas de la aplicación.</w:t>
      </w:r>
    </w:p>
    <w:p>
      <w:r>
        <w:rPr>
          <w:rFonts w:ascii="Times New Roman" w:hAnsi="Times New Roman"/>
          <w:sz w:val="24"/>
        </w:rPr>
        <w:t xml:space="preserve">R3Foresta se estudiará como un </w:t>
      </w:r>
      <w:r>
        <w:rPr>
          <w:rFonts w:ascii="Times New Roman" w:hAnsi="Times New Roman"/>
          <w:b/>
          <w:sz w:val="24"/>
        </w:rPr>
        <w:t>caso único embebido</w:t>
      </w:r>
      <w:r>
        <w:rPr>
          <w:rFonts w:ascii="Times New Roman" w:hAnsi="Times New Roman"/>
          <w:sz w:val="24"/>
        </w:rPr>
        <w:t>. El caso será el diseño, construcción y evaluación del proceso digital de trazabilidad del material vegetal en R3Foresta durante la ventana académica formal; la Fundación constituirá el contexto organizacional y las trazas de cadena de custodia serán las unidades embebidas. La elección de un solo caso se justifica por su relación directa con el problema, el acceso autorizado a sus procesos y registros y la profundidad requerida para estudiar la interacción entre organización, operación y artefacto. Este diseño permite combinar documentos, registros, observación, entrevistas y resultados técnicos (Runeson &amp; Höst, 2009). El enfoque será mixto y descriptivo: utilizará conteos, porcentajes, tiempos y resultados de pruebas junto con observaciones y dificultades reportadas. Los resultados describirán el caso y no se generalizarán estadísticamente. Este planteamiento mantiene el carácter de investigación, programación y diseño exigido para un Proyecto de Grado de licenciatura (Comité Ejecutivo de la Universidad Boliviana, s. f.).</w:t>
      </w:r>
    </w:p>
    <w:p>
      <w:pPr>
        <w:pStyle w:val="Heading2"/>
      </w:pPr>
      <w:r>
        <w:rPr>
          <w:rFonts w:ascii="Times New Roman" w:hAnsi="Times New Roman"/>
          <w:sz w:val="24"/>
        </w:rPr>
        <w:t>8.2. Unidades de análisis y participantes</w:t>
      </w:r>
    </w:p>
    <w:p>
      <w:r>
        <w:rPr>
          <w:rFonts w:ascii="Times New Roman" w:hAnsi="Times New Roman"/>
          <w:sz w:val="24"/>
        </w:rPr>
        <w:t xml:space="preserve">Una </w:t>
      </w:r>
      <w:r>
        <w:rPr>
          <w:rFonts w:ascii="Times New Roman" w:hAnsi="Times New Roman"/>
          <w:b/>
          <w:sz w:val="24"/>
        </w:rPr>
        <w:t>traza de cadena de custodia</w:t>
      </w:r>
      <w:r>
        <w:rPr>
          <w:rFonts w:ascii="Times New Roman" w:hAnsi="Times New Roman"/>
          <w:sz w:val="24"/>
        </w:rPr>
        <w:t xml:space="preserve"> es el conjunto de registros relacionados que permite reconstruir el recorrido del material vegetal desde su origen o ingreso hasta el registro de la plantación. Para caracterizar la práctica actual se acordará con R3Foresta un periodo documental acotado según el tiempo y las fuentes accesibles. Dentro de ese periodo se inventariarán las actividades identificables y se incluirán todas las trazas que cumplan criterios previamente definidos. Por tanto, no se promete una cantidad fija ni se pretende revisar todo el historial de la organización: se realizará un censo del corpus documental delimitado y accesible.</w:t>
      </w:r>
    </w:p>
    <w:p>
      <w:r>
        <w:rPr>
          <w:rFonts w:ascii="Times New Roman" w:hAnsi="Times New Roman"/>
          <w:sz w:val="24"/>
        </w:rPr>
        <w:t>Si una traza está incompleta, la reconstrucción llegará hasta el último punto respaldado y registrará los vacíos; las exclusiones y sus motivos también quedarán documentados. Los participantes sí se seleccionarán de manera intencional según su relación con el proceso, disponibilidad y autorización. Cuando sea viable, una persona distinta de quien registró los datos realizará la reconstrucción para reducir la influencia de la memoria del registrador.</w:t>
      </w:r>
    </w:p>
    <w:p>
      <w:r>
        <w:rPr>
          <w:rFonts w:ascii="Times New Roman" w:hAnsi="Times New Roman"/>
          <w:sz w:val="24"/>
        </w:rPr>
        <w:t>Antes de la recolección se delimitarán además los procesos, sitios, actores y fuentes incluidos. El diseño embebido requerirá varias trazas y concluirá con una síntesis del caso completo. Si solo resultara disponible una unidad de análisis, se revisará la denominación metodológica en lugar de conservar una clasificación que la evidencia no sostenga.</w:t>
      </w:r>
    </w:p>
    <w:p>
      <w:pPr>
        <w:pStyle w:val="Heading2"/>
      </w:pPr>
      <w:r>
        <w:rPr>
          <w:rFonts w:ascii="Times New Roman" w:hAnsi="Times New Roman"/>
          <w:sz w:val="24"/>
        </w:rPr>
        <w:t>8.3. Metodología de desarrollo</w:t>
      </w:r>
    </w:p>
    <w:p>
      <w:r>
        <w:rPr>
          <w:rFonts w:ascii="Times New Roman" w:hAnsi="Times New Roman"/>
          <w:sz w:val="24"/>
        </w:rPr>
        <w:t xml:space="preserve">El software se desarrollará de manera </w:t>
      </w:r>
      <w:r>
        <w:rPr>
          <w:rFonts w:ascii="Times New Roman" w:hAnsi="Times New Roman"/>
          <w:b/>
          <w:sz w:val="24"/>
        </w:rPr>
        <w:t>iterativa e incremental mediante ocho sprints</w:t>
      </w:r>
      <w:r>
        <w:rPr>
          <w:rFonts w:ascii="Times New Roman" w:hAnsi="Times New Roman"/>
          <w:sz w:val="24"/>
        </w:rPr>
        <w:t>. Este enfoque amplía una base funcional mediante incrementos sucesivos (Basili &amp; Turner, 1975; Larman &amp; Basili, 2003) y es compatible con la aplicación iterativa e incremental de los procesos de ciclo de vida sin imponer una metodología específica (International Organization for Standardization et al., 2026). SWEBOK v4.0a se utilizará como referencia general de prácticas de Ingeniería de Software (IEEE Computer Society, 2025).</w:t>
      </w:r>
    </w:p>
    <w:p>
      <w:r>
        <w:rPr>
          <w:rFonts w:ascii="Times New Roman" w:hAnsi="Times New Roman"/>
          <w:sz w:val="24"/>
        </w:rPr>
        <w:t xml:space="preserve">La ejecución formal abarcará del </w:t>
      </w:r>
      <w:r>
        <w:rPr>
          <w:rFonts w:ascii="Times New Roman" w:hAnsi="Times New Roman"/>
          <w:b/>
          <w:sz w:val="24"/>
        </w:rPr>
        <w:t>17 de agosto al 15 de noviembre de 2026</w:t>
      </w:r>
      <w:r>
        <w:rPr>
          <w:rFonts w:ascii="Times New Roman" w:hAnsi="Times New Roman"/>
          <w:sz w:val="24"/>
        </w:rPr>
        <w:t>. Comprenderá planificación; construcción de Recolección, Vivero y Plantación; ambas integraciones; reconstrucción transversal; calidad; piloto; evaluación y cierre documental. El detalle se presenta en el cronograma de la sección 11 para evitar repetir aquí cada sprint.</w:t>
      </w:r>
    </w:p>
    <w:p>
      <w:r>
        <w:rPr>
          <w:rFonts w:ascii="Times New Roman" w:hAnsi="Times New Roman"/>
          <w:sz w:val="24"/>
        </w:rPr>
        <w:t xml:space="preserve">La construcción partirá de una </w:t>
      </w:r>
      <w:r>
        <w:rPr>
          <w:rFonts w:ascii="Times New Roman" w:hAnsi="Times New Roman"/>
          <w:b/>
          <w:sz w:val="24"/>
        </w:rPr>
        <w:t>referencia inicial académica del repositorio</w:t>
      </w:r>
      <w:r>
        <w:rPr>
          <w:rFonts w:ascii="Times New Roman" w:hAnsi="Times New Roman"/>
          <w:sz w:val="24"/>
        </w:rPr>
        <w:t xml:space="preserve"> y deberá quedar demostrada dentro del semestre. Los prototipos anteriores podrán utilizarse como referencia técnica y evidencia de factibilidad, pero no como la construcción formal presentada. Cada sprint conservará evidencia proporcionada a su alcance: versión inicial y final, requerimientos abordados, cambios principales, migraciones, pruebas críticas, demostración y decisiones relevantes.</w:t>
      </w:r>
    </w:p>
    <w:p>
      <w:r>
        <w:rPr>
          <w:rFonts w:ascii="Times New Roman" w:hAnsi="Times New Roman"/>
          <w:sz w:val="24"/>
        </w:rPr>
        <w:t>Cada incremento incluirá, según su alcance, selección de requisitos y riesgos, análisis, diseño, construcción, integración, pruebas, demostración, actualización documental y retrospectiva. El seguimiento registrará lo planificado y lo realizado, la evidencia disponible, las desviaciones, las decisiones adoptadas, las incidencias críticas y las horas académicas. Estos controles respaldarán la ejecución, pero no constituirán una metodología de investigación adicional.</w:t>
      </w:r>
    </w:p>
    <w:p>
      <w:r>
        <w:rPr>
          <w:rFonts w:ascii="Times New Roman" w:hAnsi="Times New Roman"/>
          <w:sz w:val="24"/>
        </w:rPr>
        <w:t>El postulante será responsable del análisis, diseño, implementación, evaluación y documentación. Los colaboradores y agentes de inteligencia artificial brindarán apoyo delimitado; sus aportes serán revisados por el postulante y no sustituirán las decisiones del dominio ni la responsabilidad autoral humana.</w:t>
      </w:r>
    </w:p>
    <w:p>
      <w:pPr>
        <w:pStyle w:val="Heading2"/>
      </w:pPr>
      <w:r>
        <w:rPr>
          <w:rFonts w:ascii="Times New Roman" w:hAnsi="Times New Roman"/>
          <w:sz w:val="24"/>
        </w:rPr>
        <w:t>8.4. Evaluación, instrumentos y análisis</w:t>
      </w:r>
    </w:p>
    <w:p>
      <w:pPr>
        <w:pStyle w:val="Caption"/>
      </w:pPr>
      <w:r>
        <w:rPr>
          <w:rFonts w:ascii="Times New Roman" w:hAnsi="Times New Roman"/>
          <w:sz w:val="22"/>
        </w:rPr>
        <w:t>Tabla 2. Métricas e instrumentos de evaluación.</w:t>
      </w:r>
    </w:p>
    <w:tbl>
      <w:tblPr>
        <w:tblW w:type="dxa" w:w="8270"/>
        <w:jc w:val="center"/>
        <w:tblLayout w:type="fixed"/>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1800"/>
        <w:gridCol w:w="3000"/>
        <w:gridCol w:w="3470"/>
      </w:tblGrid>
      <w:tr>
        <w:trPr>
          <w:tblHeader w:val="true"/>
        </w:trPr>
        <w:tc>
          <w:tcPr>
            <w:tcW w:type="dxa" w:w="18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Dimensión</w:t>
            </w:r>
          </w:p>
        </w:tc>
        <w:tc>
          <w:tcPr>
            <w:tcW w:type="dxa" w:w="30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Métrica o criterio</w:t>
            </w:r>
          </w:p>
        </w:tc>
        <w:tc>
          <w:tcPr>
            <w:tcW w:type="dxa" w:w="347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Instrumento</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Cumplimiento funcional</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Requerimientos satisfechos</w:t>
            </w:r>
          </w:p>
        </w:tc>
        <w:tc>
          <w:tcPr>
            <w:tcW w:type="dxa" w:w="34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Matriz requerimiento–prueba</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Integridad</w:t>
            </w:r>
          </w:p>
        </w:tc>
        <w:tc>
          <w:tcPr>
            <w:tcW w:type="dxa" w:w="30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Resultado de las pruebas sobre saldos, doble consumo y estados parciales</w:t>
            </w:r>
          </w:p>
        </w:tc>
        <w:tc>
          <w:tcPr>
            <w:tcW w:type="dxa" w:w="34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Pruebas unitarias, de integración, concurrencia y fallo inducido</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Reconstrucción de la trazabilidad</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Trazas con origen, eventos, transformaciones, cantidades, relaciones y destino recuperables</w:t>
            </w:r>
          </w:p>
        </w:tc>
        <w:tc>
          <w:tcPr>
            <w:tcW w:type="dxa" w:w="34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Guía de reconstrucción</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Evidencia</w:t>
            </w:r>
          </w:p>
        </w:tc>
        <w:tc>
          <w:tcPr>
            <w:tcW w:type="dxa" w:w="30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Ítems respaldados / ítems requeridos</w:t>
            </w:r>
          </w:p>
        </w:tc>
        <w:tc>
          <w:tcPr>
            <w:tcW w:type="dxa" w:w="34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Lista de cotejo documental</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Eficiencia de reconstrucción</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Tiempo para responder el mismo conjunto de preguntas</w:t>
            </w:r>
          </w:p>
        </w:tc>
        <w:tc>
          <w:tcPr>
            <w:tcW w:type="dxa" w:w="34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Cronometraje de la situación actual y la propuesta</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Carga operativa</w:t>
            </w:r>
          </w:p>
        </w:tc>
        <w:tc>
          <w:tcPr>
            <w:tcW w:type="dxa" w:w="30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Tiempo de registro, acciones, reintentos y dificultades</w:t>
            </w:r>
          </w:p>
        </w:tc>
        <w:tc>
          <w:tcPr>
            <w:tcW w:type="dxa" w:w="34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Observación, telemetría disponible y cuestionario</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Percepción</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Claridad y facilidad reportadas</w:t>
            </w:r>
          </w:p>
        </w:tc>
        <w:tc>
          <w:tcPr>
            <w:tcW w:type="dxa" w:w="34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Cuestionario breve y entrevista</w:t>
            </w:r>
          </w:p>
        </w:tc>
      </w:tr>
    </w:tbl>
    <w:p>
      <w:pPr>
        <w:spacing w:after="0"/>
      </w:pPr>
    </w:p>
    <w:p>
      <w:r>
        <w:rPr>
          <w:rFonts w:ascii="Times New Roman" w:hAnsi="Times New Roman"/>
          <w:sz w:val="24"/>
        </w:rPr>
        <w:t xml:space="preserve">La evaluación combinará verificación técnica formativa durante los incrementos y evaluación operativa descriptiva en la situación actual y el piloto. Para caracterizar la </w:t>
      </w:r>
      <w:r>
        <w:rPr>
          <w:rFonts w:ascii="Times New Roman" w:hAnsi="Times New Roman"/>
          <w:b/>
          <w:sz w:val="24"/>
        </w:rPr>
        <w:t>práctica actual</w:t>
      </w:r>
      <w:r>
        <w:rPr>
          <w:rFonts w:ascii="Times New Roman" w:hAnsi="Times New Roman"/>
          <w:sz w:val="24"/>
        </w:rPr>
        <w:t xml:space="preserve">, se intentará responder un conjunto común de preguntas de procedencia, especie, cantidad, fecha, responsable, destino, ubicación y evidencia. Se distinguirá la información encontrada en documentos de aquella complementada mediante la memoria de los responsables. El mismo instrumento se aplicará después a las trazas generadas por la </w:t>
      </w:r>
      <w:r>
        <w:rPr>
          <w:rFonts w:ascii="Times New Roman" w:hAnsi="Times New Roman"/>
          <w:b/>
          <w:sz w:val="24"/>
        </w:rPr>
        <w:t>propuesta</w:t>
      </w:r>
      <w:r>
        <w:rPr>
          <w:rFonts w:ascii="Times New Roman" w:hAnsi="Times New Roman"/>
          <w:sz w:val="24"/>
        </w:rPr>
        <w:t>.</w:t>
      </w:r>
    </w:p>
    <w:p>
      <w:r>
        <w:rPr>
          <w:rFonts w:ascii="Times New Roman" w:hAnsi="Times New Roman"/>
          <w:sz w:val="24"/>
        </w:rPr>
        <w:t>Cuando sea posible, una actividad real se registrará en paralelo con la práctica habitual y con R3Foresta. Si no fuera viable, el contraste se realizará con trazas de complejidad semejante y se declarará que no son equivalentes. Las rutas que no ocurran durante el piloto se evaluarán como casos controlados, no como validación de campo.</w:t>
      </w:r>
    </w:p>
    <w:p>
      <w:r>
        <w:rPr>
          <w:rFonts w:ascii="Times New Roman" w:hAnsi="Times New Roman"/>
          <w:sz w:val="24"/>
        </w:rPr>
        <w:t>Antes de recolectar datos se definirán los criterios para clasificar cada ítem como completo, parcial, ausente o contradictorio; qué se considerará evidencia recuperable; el inicio y fin del cronometraje; y los reintentos, errores o solicitudes de ayuda. El análisis será descriptivo y reportará conteos, porcentajes, medianas, rangos y hallazgos cualitativos, sin pruebas de significación ni afirmaciones causales generalizables. Los resultados se integrarán por traza.</w:t>
      </w:r>
    </w:p>
    <w:p>
      <w:pPr>
        <w:pStyle w:val="Heading2"/>
      </w:pPr>
      <w:r>
        <w:rPr>
          <w:rFonts w:ascii="Times New Roman" w:hAnsi="Times New Roman"/>
          <w:sz w:val="24"/>
        </w:rPr>
        <w:t>8.5. Consideraciones éticas</w:t>
      </w:r>
    </w:p>
    <w:p>
      <w:r>
        <w:rPr>
          <w:rFonts w:ascii="Times New Roman" w:hAnsi="Times New Roman"/>
          <w:sz w:val="24"/>
        </w:rPr>
        <w:t>Antes de entrevistas y observaciones se explicará el propósito académico y se obtendrá consentimiento informado. El uso de datos operativos será coordinado con R3Foresta antes del piloto. Los nombres o ubicaciones podrán incorporarse únicamente cuando sean pertinentes y exista consentimiento; los datos personales no necesarios se omitirán. Los registros de prueba se mantendrán diferenciados de los datos operativos. El protocolo del Proyecto de Grado definirá almacenamiento, acceso, seudonimización, conservación y eliminación de entrevistas, fotografías y coordenadas; los permisos funcionales del sistema no sustituyen estas reglas de investigación.</w:t>
      </w:r>
    </w:p>
    <w:p>
      <w:pPr>
        <w:pStyle w:val="Heading1"/>
      </w:pPr>
      <w:r>
        <w:rPr>
          <w:rFonts w:ascii="Times New Roman" w:hAnsi="Times New Roman"/>
          <w:sz w:val="28"/>
        </w:rPr>
        <w:t>9. Propuesta de solución y aporte de ingeniería</w:t>
      </w:r>
    </w:p>
    <w:p>
      <w:pPr>
        <w:pStyle w:val="Heading2"/>
      </w:pPr>
      <w:r>
        <w:rPr>
          <w:rFonts w:ascii="Times New Roman" w:hAnsi="Times New Roman"/>
          <w:sz w:val="24"/>
        </w:rPr>
        <w:t>9.1. Descripción general</w:t>
      </w:r>
    </w:p>
    <w:p>
      <w:r>
        <w:rPr>
          <w:rFonts w:ascii="Times New Roman" w:hAnsi="Times New Roman"/>
          <w:sz w:val="24"/>
        </w:rPr>
        <w:t>La propuesta integra los procesos de Recolección, Vivero y Plantación para registrar los eventos que atraviesa el material vegetal hasta su plantación. El recorrido podrá comenzar con una recolección de R3Foresta o con un ingreso externo por compra o recepción de terceros en Vivero o Plantación. En el sistema, el material se representará mediante registros y relaciones entre su procedencia, los lotes, las asignaciones y las plantaciones. La información sobre especies, actores y lugares contextualizará los hechos ocurridos, mientras que las cantidades y saldos disponibles deberán conservar relación con la historia que los explica.</w:t>
      </w:r>
    </w:p>
    <w:p>
      <w:pPr>
        <w:pStyle w:val="Caption"/>
      </w:pPr>
      <w:r>
        <w:rPr>
          <w:rFonts w:ascii="Times New Roman" w:hAnsi="Times New Roman"/>
          <w:sz w:val="22"/>
        </w:rPr>
        <w:t>Figura 3. Recorrido principal del material vegetal.</w:t>
      </w:r>
    </w:p>
    <w:p>
      <w:pPr>
        <w:spacing w:after="120"/>
        <w:ind w:firstLine="0"/>
        <w:jc w:val="center"/>
      </w:pPr>
      <w:r>
        <w:drawing>
          <wp:inline xmlns:a="http://schemas.openxmlformats.org/drawingml/2006/main" xmlns:pic="http://schemas.openxmlformats.org/drawingml/2006/picture">
            <wp:extent cx="5230368" cy="1987540"/>
            <wp:docPr id="4" name="Picture 4"/>
            <wp:cNvGraphicFramePr>
              <a:graphicFrameLocks noChangeAspect="1"/>
            </wp:cNvGraphicFramePr>
            <a:graphic>
              <a:graphicData uri="http://schemas.openxmlformats.org/drawingml/2006/picture">
                <pic:pic>
                  <pic:nvPicPr>
                    <pic:cNvPr id="0" name="figura_2.png"/>
                    <pic:cNvPicPr/>
                  </pic:nvPicPr>
                  <pic:blipFill>
                    <a:blip r:embed="rId16"/>
                    <a:stretch>
                      <a:fillRect/>
                    </a:stretch>
                  </pic:blipFill>
                  <pic:spPr>
                    <a:xfrm>
                      <a:off x="0" y="0"/>
                      <a:ext cx="5230368" cy="1987540"/>
                    </a:xfrm>
                    <a:prstGeom prst="rect"/>
                  </pic:spPr>
                </pic:pic>
              </a:graphicData>
            </a:graphic>
          </wp:inline>
        </w:drawing>
      </w:r>
    </w:p>
    <w:p>
      <w:pPr>
        <w:pStyle w:val="Heading2"/>
      </w:pPr>
      <w:r>
        <w:rPr>
          <w:rFonts w:ascii="Times New Roman" w:hAnsi="Times New Roman"/>
          <w:sz w:val="24"/>
        </w:rPr>
        <w:t>9.2. Modelo orientado a eventos, relaciones y consistencia</w:t>
      </w:r>
    </w:p>
    <w:p>
      <w:r>
        <w:rPr>
          <w:rFonts w:ascii="Times New Roman" w:hAnsi="Times New Roman"/>
          <w:sz w:val="24"/>
        </w:rPr>
        <w:t>Cada cambio relevante deberá conservar el hecho que lo produjo y relacionarlo con el material involucrado, las cantidades de entrada o salida, el material resultante cuando exista, el responsable, la fecha, la ubicación y la evidencia disponible. Los saldos actuales deberán poder explicarse mediante los eventos anteriores y las reglas de consistencia deberán prevenir asignaciones, consumos o resultados incoherentes. Una corrección no deberá borrar la historia explicativa; su tratamiento concreto se definirá durante el diseño.</w:t>
      </w:r>
    </w:p>
    <w:p>
      <w:pPr>
        <w:pStyle w:val="Caption"/>
      </w:pPr>
      <w:r>
        <w:rPr>
          <w:rFonts w:ascii="Times New Roman" w:hAnsi="Times New Roman"/>
          <w:sz w:val="22"/>
        </w:rPr>
        <w:t>Figura 4. Relación entre eventos, reglas de consistencia y reconstrucción.</w:t>
      </w:r>
    </w:p>
    <w:p>
      <w:pPr>
        <w:spacing w:after="120"/>
        <w:ind w:firstLine="0"/>
        <w:jc w:val="center"/>
      </w:pPr>
      <w:r>
        <w:drawing>
          <wp:inline xmlns:a="http://schemas.openxmlformats.org/drawingml/2006/main" xmlns:pic="http://schemas.openxmlformats.org/drawingml/2006/picture">
            <wp:extent cx="5230368" cy="2222906"/>
            <wp:docPr id="5" name="Picture 5"/>
            <wp:cNvGraphicFramePr>
              <a:graphicFrameLocks noChangeAspect="1"/>
            </wp:cNvGraphicFramePr>
            <a:graphic>
              <a:graphicData uri="http://schemas.openxmlformats.org/drawingml/2006/picture">
                <pic:pic>
                  <pic:nvPicPr>
                    <pic:cNvPr id="0" name="figura_3.png"/>
                    <pic:cNvPicPr/>
                  </pic:nvPicPr>
                  <pic:blipFill>
                    <a:blip r:embed="rId17"/>
                    <a:stretch>
                      <a:fillRect/>
                    </a:stretch>
                  </pic:blipFill>
                  <pic:spPr>
                    <a:xfrm>
                      <a:off x="0" y="0"/>
                      <a:ext cx="5230368" cy="2222906"/>
                    </a:xfrm>
                    <a:prstGeom prst="rect"/>
                  </pic:spPr>
                </pic:pic>
              </a:graphicData>
            </a:graphic>
          </wp:inline>
        </w:drawing>
      </w:r>
    </w:p>
    <w:p>
      <w:pPr>
        <w:pStyle w:val="Heading2"/>
      </w:pPr>
      <w:r>
        <w:rPr>
          <w:rFonts w:ascii="Times New Roman" w:hAnsi="Times New Roman"/>
          <w:sz w:val="24"/>
        </w:rPr>
        <w:t>9.3. Integración entre etapas</w:t>
      </w:r>
    </w:p>
    <w:p>
      <w:r>
        <w:rPr>
          <w:rFonts w:ascii="Times New Roman" w:hAnsi="Times New Roman"/>
          <w:sz w:val="24"/>
        </w:rPr>
        <w:t>Los puntos críticos son aquellos en los que el material vegetal se mueve o cambia entre etapas. La integración entre Recolección y Vivero deberá conservar la relación entre el material de origen y el material recibido o resultante. La integración entre Vivero y Plantación deberá relacionar las asignaciones y salidas con la disponibilidad y el destino registrado.</w:t>
      </w:r>
    </w:p>
    <w:p>
      <w:r>
        <w:rPr>
          <w:rFonts w:ascii="Times New Roman" w:hAnsi="Times New Roman"/>
          <w:sz w:val="24"/>
        </w:rPr>
        <w:t>El diseño distinguirá las transferencias, que conservan una relación directa de cantidad, de las transformaciones, que pueden producir un cambio de estado, cantidad o unidad de medida. En ambos casos deberán mantenerse relaciones suficientes para explicar el recorrido y evitar salidas sin destino, consumos duplicados o saldos incoherentes. La elección de transacciones, bloqueos u otros mecanismos se justificará en las fases posteriores de diseño e implementación.</w:t>
      </w:r>
    </w:p>
    <w:p>
      <w:pPr>
        <w:pStyle w:val="Heading2"/>
      </w:pPr>
      <w:r>
        <w:rPr>
          <w:rFonts w:ascii="Times New Roman" w:hAnsi="Times New Roman"/>
          <w:sz w:val="24"/>
        </w:rPr>
        <w:t>9.4. Resultados esperados</w:t>
      </w:r>
    </w:p>
    <w:p>
      <w:pPr>
        <w:pStyle w:val="ListParagraph"/>
        <w:numPr>
          <w:ilvl w:val="0"/>
          <w:numId w:val="16"/>
        </w:numPr>
        <w:spacing w:line="360" w:lineRule="auto" w:after="0"/>
        <w:ind w:left="454" w:hanging="283"/>
      </w:pPr>
      <w:r>
        <w:rPr>
          <w:rFonts w:ascii="Times New Roman" w:hAnsi="Times New Roman"/>
          <w:sz w:val="24"/>
        </w:rPr>
        <w:t>modelo consolidado de procesos, actores, entidades, eventos y reglas;</w:t>
      </w:r>
    </w:p>
    <w:p>
      <w:pPr>
        <w:pStyle w:val="ListParagraph"/>
        <w:numPr>
          <w:ilvl w:val="0"/>
          <w:numId w:val="16"/>
        </w:numPr>
        <w:spacing w:line="360" w:lineRule="auto" w:after="0"/>
        <w:ind w:left="454" w:hanging="283"/>
      </w:pPr>
      <w:r>
        <w:rPr>
          <w:rFonts w:ascii="Times New Roman" w:hAnsi="Times New Roman"/>
          <w:sz w:val="24"/>
        </w:rPr>
        <w:t>módulos operativos estabilizados;</w:t>
      </w:r>
    </w:p>
    <w:p>
      <w:pPr>
        <w:pStyle w:val="ListParagraph"/>
        <w:numPr>
          <w:ilvl w:val="0"/>
          <w:numId w:val="16"/>
        </w:numPr>
        <w:spacing w:line="360" w:lineRule="auto" w:after="0"/>
        <w:ind w:left="454" w:hanging="283"/>
      </w:pPr>
      <w:r>
        <w:rPr>
          <w:rFonts w:ascii="Times New Roman" w:hAnsi="Times New Roman"/>
          <w:sz w:val="24"/>
        </w:rPr>
        <w:t>origen y recorrido reconstruibles del material vegetal;</w:t>
      </w:r>
    </w:p>
    <w:p>
      <w:pPr>
        <w:pStyle w:val="ListParagraph"/>
        <w:numPr>
          <w:ilvl w:val="0"/>
          <w:numId w:val="16"/>
        </w:numPr>
        <w:spacing w:line="360" w:lineRule="auto" w:after="0"/>
        <w:ind w:left="454" w:hanging="283"/>
      </w:pPr>
      <w:r>
        <w:rPr>
          <w:rFonts w:ascii="Times New Roman" w:hAnsi="Times New Roman"/>
          <w:sz w:val="24"/>
        </w:rPr>
        <w:t>matriz de trazabilidad entre requerimientos, reglas, invariantes y pruebas;</w:t>
      </w:r>
    </w:p>
    <w:p>
      <w:pPr>
        <w:pStyle w:val="ListParagraph"/>
        <w:numPr>
          <w:ilvl w:val="0"/>
          <w:numId w:val="16"/>
        </w:numPr>
        <w:spacing w:line="360" w:lineRule="auto" w:after="0"/>
        <w:ind w:left="454" w:hanging="283"/>
      </w:pPr>
      <w:r>
        <w:rPr>
          <w:rFonts w:ascii="Times New Roman" w:hAnsi="Times New Roman"/>
          <w:sz w:val="24"/>
        </w:rPr>
        <w:t>resultados de verificación técnica;</w:t>
      </w:r>
    </w:p>
    <w:p>
      <w:pPr>
        <w:pStyle w:val="ListParagraph"/>
        <w:numPr>
          <w:ilvl w:val="0"/>
          <w:numId w:val="16"/>
        </w:numPr>
        <w:spacing w:line="360" w:lineRule="auto" w:after="0"/>
        <w:ind w:left="454" w:hanging="283"/>
      </w:pPr>
      <w:r>
        <w:rPr>
          <w:rFonts w:ascii="Times New Roman" w:hAnsi="Times New Roman"/>
          <w:sz w:val="24"/>
        </w:rPr>
        <w:t>caracterización de la situación actual, evaluación del piloto y contraste descriptivo;</w:t>
      </w:r>
    </w:p>
    <w:p>
      <w:pPr>
        <w:pStyle w:val="ListParagraph"/>
        <w:numPr>
          <w:ilvl w:val="0"/>
          <w:numId w:val="16"/>
        </w:numPr>
        <w:spacing w:line="360" w:lineRule="auto" w:after="0"/>
        <w:ind w:left="454" w:hanging="283"/>
      </w:pPr>
      <w:r>
        <w:rPr>
          <w:rFonts w:ascii="Times New Roman" w:hAnsi="Times New Roman"/>
          <w:sz w:val="24"/>
        </w:rPr>
        <w:t>documentación de limitaciones y recomendaciones.</w:t>
      </w:r>
    </w:p>
    <w:p>
      <w:pPr>
        <w:pStyle w:val="Heading1"/>
      </w:pPr>
      <w:r>
        <w:rPr>
          <w:rFonts w:ascii="Times New Roman" w:hAnsi="Times New Roman"/>
          <w:sz w:val="28"/>
        </w:rPr>
        <w:t>10. Temario tentativo del documento final</w:t>
      </w:r>
    </w:p>
    <w:p>
      <w:pPr>
        <w:spacing w:after="20" w:line="240" w:lineRule="auto"/>
        <w:ind w:firstLine="0" w:left="0"/>
      </w:pPr>
      <w:r>
        <w:rPr>
          <w:rFonts w:ascii="Times New Roman" w:hAnsi="Times New Roman"/>
          <w:b/>
          <w:sz w:val="20"/>
        </w:rPr>
        <w:t>Introducción</w:t>
      </w:r>
    </w:p>
    <w:p>
      <w:pPr>
        <w:spacing w:after="20" w:line="240" w:lineRule="auto"/>
        <w:ind w:firstLine="0" w:left="136"/>
      </w:pPr>
      <w:r>
        <w:rPr>
          <w:rFonts w:ascii="Times New Roman" w:hAnsi="Times New Roman"/>
          <w:b w:val="0"/>
          <w:sz w:val="20"/>
        </w:rPr>
        <w:t>Sección independiente que se redactará al finalizar todos los capítulos</w:t>
      </w:r>
    </w:p>
    <w:p>
      <w:pPr>
        <w:spacing w:after="40"/>
      </w:pPr>
    </w:p>
    <w:p>
      <w:pPr>
        <w:spacing w:after="20" w:line="240" w:lineRule="auto"/>
        <w:ind w:firstLine="0" w:left="0"/>
      </w:pPr>
      <w:r>
        <w:rPr>
          <w:rFonts w:ascii="Times New Roman" w:hAnsi="Times New Roman"/>
          <w:b/>
          <w:sz w:val="20"/>
        </w:rPr>
        <w:t>Capítulo I — Marco introductorio</w:t>
      </w:r>
    </w:p>
    <w:p>
      <w:pPr>
        <w:spacing w:after="20" w:line="240" w:lineRule="auto"/>
        <w:ind w:firstLine="0" w:left="136"/>
      </w:pPr>
      <w:r>
        <w:rPr>
          <w:rFonts w:ascii="Times New Roman" w:hAnsi="Times New Roman"/>
          <w:b w:val="0"/>
          <w:sz w:val="20"/>
        </w:rPr>
        <w:t>1.1 Antecedentes institucionales, operativos y trabajos similares</w:t>
      </w:r>
    </w:p>
    <w:p>
      <w:pPr>
        <w:spacing w:after="20" w:line="240" w:lineRule="auto"/>
        <w:ind w:firstLine="0" w:left="136"/>
      </w:pPr>
      <w:r>
        <w:rPr>
          <w:rFonts w:ascii="Times New Roman" w:hAnsi="Times New Roman"/>
          <w:b w:val="0"/>
          <w:sz w:val="20"/>
        </w:rPr>
        <w:t>1.2 Planteamiento del problema</w:t>
      </w:r>
    </w:p>
    <w:p>
      <w:pPr>
        <w:spacing w:after="20" w:line="240" w:lineRule="auto"/>
        <w:ind w:firstLine="0" w:left="136"/>
      </w:pPr>
      <w:r>
        <w:rPr>
          <w:rFonts w:ascii="Times New Roman" w:hAnsi="Times New Roman"/>
          <w:b w:val="0"/>
          <w:sz w:val="20"/>
        </w:rPr>
        <w:t>1.3 Objetivos</w:t>
      </w:r>
    </w:p>
    <w:p>
      <w:pPr>
        <w:spacing w:after="20" w:line="240" w:lineRule="auto"/>
        <w:ind w:firstLine="0" w:left="136"/>
      </w:pPr>
      <w:r>
        <w:rPr>
          <w:rFonts w:ascii="Times New Roman" w:hAnsi="Times New Roman"/>
          <w:b w:val="0"/>
          <w:sz w:val="20"/>
        </w:rPr>
        <w:t>1.4 Justificación</w:t>
      </w:r>
    </w:p>
    <w:p>
      <w:pPr>
        <w:spacing w:after="20" w:line="240" w:lineRule="auto"/>
        <w:ind w:firstLine="0" w:left="136"/>
      </w:pPr>
      <w:r>
        <w:rPr>
          <w:rFonts w:ascii="Times New Roman" w:hAnsi="Times New Roman"/>
          <w:b w:val="0"/>
          <w:sz w:val="20"/>
        </w:rPr>
        <w:t>1.5 Alcances y límites</w:t>
      </w:r>
    </w:p>
    <w:p>
      <w:pPr>
        <w:spacing w:after="20" w:line="240" w:lineRule="auto"/>
        <w:ind w:firstLine="0" w:left="136"/>
      </w:pPr>
      <w:r>
        <w:rPr>
          <w:rFonts w:ascii="Times New Roman" w:hAnsi="Times New Roman"/>
          <w:b w:val="0"/>
          <w:sz w:val="20"/>
        </w:rPr>
        <w:t>1.6 Aportes esperados</w:t>
      </w:r>
    </w:p>
    <w:p>
      <w:pPr>
        <w:spacing w:after="20" w:line="240" w:lineRule="auto"/>
        <w:ind w:firstLine="0" w:left="136"/>
      </w:pPr>
      <w:r>
        <w:rPr>
          <w:rFonts w:ascii="Times New Roman" w:hAnsi="Times New Roman"/>
          <w:b w:val="0"/>
          <w:sz w:val="20"/>
        </w:rPr>
        <w:t>1.7 Diseño metodológico</w:t>
      </w:r>
    </w:p>
    <w:p>
      <w:pPr>
        <w:spacing w:after="20" w:line="240" w:lineRule="auto"/>
        <w:ind w:firstLine="0" w:left="136"/>
      </w:pPr>
      <w:r>
        <w:rPr>
          <w:rFonts w:ascii="Times New Roman" w:hAnsi="Times New Roman"/>
          <w:b w:val="0"/>
          <w:sz w:val="20"/>
        </w:rPr>
        <w:t>1.8 Organización del documento</w:t>
      </w:r>
    </w:p>
    <w:p>
      <w:pPr>
        <w:spacing w:after="40"/>
      </w:pPr>
    </w:p>
    <w:p>
      <w:pPr>
        <w:spacing w:after="20" w:line="240" w:lineRule="auto"/>
        <w:ind w:firstLine="0" w:left="0"/>
      </w:pPr>
      <w:r>
        <w:rPr>
          <w:rFonts w:ascii="Times New Roman" w:hAnsi="Times New Roman"/>
          <w:b/>
          <w:sz w:val="20"/>
        </w:rPr>
        <w:t>Capítulo II — Marco teórico y conceptual</w:t>
      </w:r>
    </w:p>
    <w:p>
      <w:pPr>
        <w:spacing w:after="20" w:line="240" w:lineRule="auto"/>
        <w:ind w:firstLine="0" w:left="136"/>
      </w:pPr>
      <w:r>
        <w:rPr>
          <w:rFonts w:ascii="Times New Roman" w:hAnsi="Times New Roman"/>
          <w:b w:val="0"/>
          <w:sz w:val="20"/>
        </w:rPr>
        <w:t>2.1 Material vegetal y procesos de reforestación</w:t>
      </w:r>
    </w:p>
    <w:p>
      <w:pPr>
        <w:spacing w:after="20" w:line="240" w:lineRule="auto"/>
        <w:ind w:firstLine="0" w:left="136"/>
      </w:pPr>
      <w:r>
        <w:rPr>
          <w:rFonts w:ascii="Times New Roman" w:hAnsi="Times New Roman"/>
          <w:b w:val="0"/>
          <w:sz w:val="20"/>
        </w:rPr>
        <w:t>2.2 Trazabilidad y cadena de custodia</w:t>
      </w:r>
    </w:p>
    <w:p>
      <w:pPr>
        <w:spacing w:after="20" w:line="240" w:lineRule="auto"/>
        <w:ind w:firstLine="0" w:left="136"/>
      </w:pPr>
      <w:r>
        <w:rPr>
          <w:rFonts w:ascii="Times New Roman" w:hAnsi="Times New Roman"/>
          <w:b w:val="0"/>
          <w:sz w:val="20"/>
        </w:rPr>
        <w:t>2.3 Eventos, transformaciones y procedencia</w:t>
      </w:r>
    </w:p>
    <w:p>
      <w:pPr>
        <w:spacing w:after="20" w:line="240" w:lineRule="auto"/>
        <w:ind w:firstLine="0" w:left="136"/>
      </w:pPr>
      <w:r>
        <w:rPr>
          <w:rFonts w:ascii="Times New Roman" w:hAnsi="Times New Roman"/>
          <w:b w:val="0"/>
          <w:sz w:val="20"/>
        </w:rPr>
        <w:t>2.4 Integridad de cantidades y saldos</w:t>
      </w:r>
    </w:p>
    <w:p>
      <w:pPr>
        <w:spacing w:after="20" w:line="240" w:lineRule="auto"/>
        <w:ind w:firstLine="0" w:left="136"/>
      </w:pPr>
      <w:r>
        <w:rPr>
          <w:rFonts w:ascii="Times New Roman" w:hAnsi="Times New Roman"/>
          <w:b w:val="0"/>
          <w:sz w:val="20"/>
        </w:rPr>
        <w:t>2.5 Evidencia e información geográfica</w:t>
      </w:r>
    </w:p>
    <w:p>
      <w:pPr>
        <w:spacing w:after="20" w:line="240" w:lineRule="auto"/>
        <w:ind w:firstLine="0" w:left="136"/>
      </w:pPr>
      <w:r>
        <w:rPr>
          <w:rFonts w:ascii="Times New Roman" w:hAnsi="Times New Roman"/>
          <w:b w:val="0"/>
          <w:sz w:val="20"/>
        </w:rPr>
        <w:t>2.6 Reconstrucción y evaluación de la trazabilidad</w:t>
      </w:r>
    </w:p>
    <w:p>
      <w:pPr>
        <w:spacing w:after="20" w:line="240" w:lineRule="auto"/>
        <w:ind w:firstLine="0" w:left="136"/>
      </w:pPr>
      <w:r>
        <w:rPr>
          <w:rFonts w:ascii="Times New Roman" w:hAnsi="Times New Roman"/>
          <w:b w:val="0"/>
          <w:sz w:val="20"/>
        </w:rPr>
        <w:t>2.7 Síntesis conceptual adoptada por R3Foresta</w:t>
      </w:r>
    </w:p>
    <w:p>
      <w:pPr>
        <w:spacing w:after="40"/>
      </w:pPr>
    </w:p>
    <w:p>
      <w:pPr>
        <w:spacing w:after="20" w:line="240" w:lineRule="auto"/>
        <w:ind w:firstLine="0" w:left="0"/>
      </w:pPr>
      <w:r>
        <w:rPr>
          <w:rFonts w:ascii="Times New Roman" w:hAnsi="Times New Roman"/>
          <w:b/>
          <w:sz w:val="20"/>
        </w:rPr>
        <w:t>Capítulo III — Marco aplicativo</w:t>
      </w:r>
    </w:p>
    <w:p>
      <w:pPr>
        <w:spacing w:after="20" w:line="240" w:lineRule="auto"/>
        <w:ind w:firstLine="0" w:left="136"/>
      </w:pPr>
      <w:r>
        <w:rPr>
          <w:rFonts w:ascii="Times New Roman" w:hAnsi="Times New Roman"/>
          <w:b w:val="0"/>
          <w:sz w:val="20"/>
        </w:rPr>
        <w:t>Análisis, diseño, construcción e integración de la solución</w:t>
      </w:r>
    </w:p>
    <w:p>
      <w:pPr>
        <w:spacing w:after="20" w:line="240" w:lineRule="auto"/>
        <w:ind w:firstLine="0" w:left="136"/>
      </w:pPr>
      <w:r>
        <w:rPr>
          <w:rFonts w:ascii="Times New Roman" w:hAnsi="Times New Roman"/>
          <w:b w:val="0"/>
          <w:sz w:val="20"/>
        </w:rPr>
        <w:t>Estructura interna pendiente de definición</w:t>
      </w:r>
    </w:p>
    <w:p>
      <w:pPr>
        <w:spacing w:after="40"/>
      </w:pPr>
    </w:p>
    <w:p>
      <w:pPr>
        <w:spacing w:after="20" w:line="240" w:lineRule="auto"/>
        <w:ind w:firstLine="0" w:left="0"/>
      </w:pPr>
      <w:r>
        <w:rPr>
          <w:rFonts w:ascii="Times New Roman" w:hAnsi="Times New Roman"/>
          <w:b/>
          <w:sz w:val="20"/>
        </w:rPr>
        <w:t>Capítulos posteriores</w:t>
      </w:r>
    </w:p>
    <w:p>
      <w:pPr>
        <w:spacing w:after="20" w:line="240" w:lineRule="auto"/>
        <w:ind w:firstLine="0" w:left="136"/>
      </w:pPr>
      <w:r>
        <w:rPr>
          <w:rFonts w:ascii="Times New Roman" w:hAnsi="Times New Roman"/>
          <w:b w:val="0"/>
          <w:sz w:val="20"/>
        </w:rPr>
        <w:t>Verificación y evaluación de resultados</w:t>
      </w:r>
    </w:p>
    <w:p>
      <w:pPr>
        <w:spacing w:after="20" w:line="240" w:lineRule="auto"/>
        <w:ind w:firstLine="0" w:left="136"/>
      </w:pPr>
      <w:r>
        <w:rPr>
          <w:rFonts w:ascii="Times New Roman" w:hAnsi="Times New Roman"/>
          <w:b w:val="0"/>
          <w:sz w:val="20"/>
        </w:rPr>
        <w:t>Conclusiones y recomendaciones</w:t>
      </w:r>
    </w:p>
    <w:p>
      <w:pPr>
        <w:spacing w:after="20" w:line="240" w:lineRule="auto"/>
        <w:ind w:firstLine="0" w:left="136"/>
      </w:pPr>
      <w:r>
        <w:rPr>
          <w:rFonts w:ascii="Times New Roman" w:hAnsi="Times New Roman"/>
          <w:b w:val="0"/>
          <w:sz w:val="20"/>
        </w:rPr>
        <w:t>Denominación y numeración pendientes de definición</w:t>
      </w:r>
    </w:p>
    <w:p>
      <w:pPr>
        <w:spacing w:after="40"/>
      </w:pPr>
    </w:p>
    <w:p>
      <w:pPr>
        <w:spacing w:after="20" w:line="240" w:lineRule="auto"/>
        <w:ind w:firstLine="0" w:left="0"/>
      </w:pPr>
      <w:r>
        <w:rPr>
          <w:rFonts w:ascii="Times New Roman" w:hAnsi="Times New Roman"/>
          <w:b/>
          <w:sz w:val="20"/>
        </w:rPr>
        <w:t>Referencias bibliográficas</w:t>
      </w:r>
    </w:p>
    <w:p>
      <w:pPr>
        <w:spacing w:after="20" w:line="240" w:lineRule="auto"/>
        <w:ind w:firstLine="0" w:left="0"/>
      </w:pPr>
      <w:r>
        <w:rPr>
          <w:rFonts w:ascii="Times New Roman" w:hAnsi="Times New Roman"/>
          <w:b/>
          <w:sz w:val="20"/>
        </w:rPr>
        <w:t>Anexos</w:t>
      </w:r>
    </w:p>
    <w:p>
      <w:pPr>
        <w:pStyle w:val="Caption"/>
      </w:pPr>
      <w:r>
        <w:rPr>
          <w:rFonts w:ascii="Times New Roman" w:hAnsi="Times New Roman"/>
          <w:sz w:val="22"/>
        </w:rPr>
        <w:t>Tabla 3. Correspondencia entre objetivos y resultados.</w:t>
      </w:r>
    </w:p>
    <w:tbl>
      <w:tblPr>
        <w:tblW w:type="dxa" w:w="8270"/>
        <w:jc w:val="center"/>
        <w:tblLayout w:type="fixed"/>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1800"/>
        <w:gridCol w:w="4500"/>
        <w:gridCol w:w="1970"/>
      </w:tblGrid>
      <w:tr>
        <w:trPr>
          <w:tblHeader w:val="true"/>
        </w:trPr>
        <w:tc>
          <w:tcPr>
            <w:tcW w:type="dxa" w:w="18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Objetivo</w:t>
            </w:r>
          </w:p>
        </w:tc>
        <w:tc>
          <w:tcPr>
            <w:tcW w:type="dxa" w:w="45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Resultado principal</w:t>
            </w:r>
          </w:p>
        </w:tc>
        <w:tc>
          <w:tcPr>
            <w:tcW w:type="dxa" w:w="197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Sección prevista</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1. Analizar</w:t>
            </w:r>
          </w:p>
        </w:tc>
        <w:tc>
          <w:tcPr>
            <w:tcW w:type="dxa" w:w="4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Procesos, requerimientos y reglas definidos</w:t>
            </w:r>
          </w:p>
        </w:tc>
        <w:tc>
          <w:tcPr>
            <w:tcW w:type="dxa" w:w="19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Capítulo III, sección por definir</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2. Diseñar</w:t>
            </w:r>
          </w:p>
        </w:tc>
        <w:tc>
          <w:tcPr>
            <w:tcW w:type="dxa" w:w="4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Modelo de trazabilidad, invariantes y contratos</w:t>
            </w:r>
          </w:p>
        </w:tc>
        <w:tc>
          <w:tcPr>
            <w:tcW w:type="dxa" w:w="19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Capítulo III, sección por definir</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3. Implementar</w:t>
            </w:r>
          </w:p>
        </w:tc>
        <w:tc>
          <w:tcPr>
            <w:tcW w:type="dxa" w:w="4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Tres módulos integrados</w:t>
            </w:r>
          </w:p>
        </w:tc>
        <w:tc>
          <w:tcPr>
            <w:tcW w:type="dxa" w:w="19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Capítulo III, sección por definir</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4. Verificar</w:t>
            </w:r>
          </w:p>
        </w:tc>
        <w:tc>
          <w:tcPr>
            <w:tcW w:type="dxa" w:w="4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Matriz de pruebas y resultados técnicos</w:t>
            </w:r>
          </w:p>
        </w:tc>
        <w:tc>
          <w:tcPr>
            <w:tcW w:type="dxa" w:w="19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Capítulo posterior de verificación y evaluación, por definir</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5. Evaluar</w:t>
            </w:r>
          </w:p>
        </w:tc>
        <w:tc>
          <w:tcPr>
            <w:tcW w:type="dxa" w:w="4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Situación actual, piloto, reconstrucción, contraste y carga operativa</w:t>
            </w:r>
          </w:p>
        </w:tc>
        <w:tc>
          <w:tcPr>
            <w:tcW w:type="dxa" w:w="19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Capítulo posterior de verificación y evaluación, por definir</w:t>
            </w:r>
          </w:p>
        </w:tc>
      </w:tr>
    </w:tbl>
    <w:p>
      <w:pPr>
        <w:spacing w:after="0"/>
      </w:pPr>
    </w:p>
    <w:p>
      <w:pPr>
        <w:pStyle w:val="Heading1"/>
      </w:pPr>
      <w:r>
        <w:rPr>
          <w:rFonts w:ascii="Times New Roman" w:hAnsi="Times New Roman"/>
          <w:sz w:val="28"/>
        </w:rPr>
        <w:t>11. Cronograma de actividades</w:t>
      </w:r>
    </w:p>
    <w:p>
      <w:r>
        <w:rPr>
          <w:rFonts w:ascii="Times New Roman" w:hAnsi="Times New Roman"/>
          <w:sz w:val="24"/>
        </w:rPr>
        <w:t>La ejecución formal comienza el 17 de agosto y concluye el 15 de noviembre de 2026. El cronograma incluye el ciclo completo de análisis, desarrollo, integración, pruebas, evaluación y documentación. Las fechas representan compromisos académicos prospectivos; los prototipos anteriores se utilizarán únicamente como referencia técnica y evidencia de factibilidad, no como construcción formal.</w:t>
      </w:r>
    </w:p>
    <w:p>
      <w:pPr>
        <w:pStyle w:val="Caption"/>
      </w:pPr>
      <w:r>
        <w:rPr>
          <w:rFonts w:ascii="Times New Roman" w:hAnsi="Times New Roman"/>
          <w:sz w:val="22"/>
        </w:rPr>
        <w:t>Tabla 4. Cronograma resumido.</w:t>
      </w:r>
    </w:p>
    <w:tbl>
      <w:tblPr>
        <w:tblW w:type="dxa" w:w="8270"/>
        <w:jc w:val="center"/>
        <w:tblLayout w:type="fixed"/>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1700"/>
        <w:gridCol w:w="3900"/>
        <w:gridCol w:w="2670"/>
      </w:tblGrid>
      <w:tr>
        <w:trPr>
          <w:tblHeader w:val="true"/>
        </w:trPr>
        <w:tc>
          <w:tcPr>
            <w:tcW w:type="dxa" w:w="17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Sprint y periodo</w:t>
            </w:r>
          </w:p>
        </w:tc>
        <w:tc>
          <w:tcPr>
            <w:tcW w:type="dxa" w:w="39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Objetivo y actividades principales</w:t>
            </w:r>
          </w:p>
        </w:tc>
        <w:tc>
          <w:tcPr>
            <w:tcW w:type="dxa" w:w="267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Incremento verificable</w:t>
            </w:r>
          </w:p>
        </w:tc>
      </w:tr>
      <w:tr>
        <w:tc>
          <w:tcPr>
            <w:tcW w:type="dxa" w:w="17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Sprint 0 · 17–23 ago</w:t>
            </w:r>
          </w:p>
        </w:tc>
        <w:tc>
          <w:tcPr>
            <w:tcW w:type="dxa" w:w="39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Inicio, perfil, backlog, referencia inicial académica del repositorio, arquitectura, instrumentos iniciales y caracterización de la práctica actual</w:t>
            </w:r>
          </w:p>
        </w:tc>
        <w:tc>
          <w:tcPr>
            <w:tcW w:type="dxa" w:w="26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Perfil, referencia inicial, plan de ejecución y caracterización inicial disponibles</w:t>
            </w:r>
          </w:p>
        </w:tc>
      </w:tr>
      <w:tr>
        <w:tc>
          <w:tcPr>
            <w:tcW w:type="dxa" w:w="17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Sprint 1 · 24 ago–6 sep</w:t>
            </w:r>
          </w:p>
        </w:tc>
        <w:tc>
          <w:tcPr>
            <w:tcW w:type="dxa" w:w="39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Iniciar la construcción formal: analizar, construir, probar y documentar Recolección</w:t>
            </w:r>
          </w:p>
        </w:tc>
        <w:tc>
          <w:tcPr>
            <w:tcW w:type="dxa" w:w="26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M1 construido desde la referencia inicial y revisado</w:t>
            </w:r>
          </w:p>
        </w:tc>
      </w:tr>
      <w:tr>
        <w:tc>
          <w:tcPr>
            <w:tcW w:type="dxa" w:w="17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Sprint 2 · 7–20 sep</w:t>
            </w:r>
          </w:p>
        </w:tc>
        <w:tc>
          <w:tcPr>
            <w:tcW w:type="dxa" w:w="39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Desarrollar Vivero, eventos, saldos y contrato M1→M2</w:t>
            </w:r>
          </w:p>
        </w:tc>
        <w:tc>
          <w:tcPr>
            <w:tcW w:type="dxa" w:w="26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M2 y primera integración cerrados</w:t>
            </w:r>
          </w:p>
        </w:tc>
      </w:tr>
      <w:tr>
        <w:tc>
          <w:tcPr>
            <w:tcW w:type="dxa" w:w="17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Sprint 3 · 21 sep–4 oct</w:t>
            </w:r>
          </w:p>
        </w:tc>
        <w:tc>
          <w:tcPr>
            <w:tcW w:type="dxa" w:w="39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Desarrollar Plantación, asignaciones y contrato M2→M3</w:t>
            </w:r>
          </w:p>
        </w:tc>
        <w:tc>
          <w:tcPr>
            <w:tcW w:type="dxa" w:w="26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M3 y segunda integración cerrados</w:t>
            </w:r>
          </w:p>
        </w:tc>
      </w:tr>
      <w:tr>
        <w:tc>
          <w:tcPr>
            <w:tcW w:type="dxa" w:w="17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Sprint 4 · 5–18 oct</w:t>
            </w:r>
          </w:p>
        </w:tc>
        <w:tc>
          <w:tcPr>
            <w:tcW w:type="dxa" w:w="39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Consolidar reconstrucción y trazabilidad transversal</w:t>
            </w:r>
          </w:p>
        </w:tc>
        <w:tc>
          <w:tcPr>
            <w:tcW w:type="dxa" w:w="26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Recorrido completo reconstruible entre los tres módulos</w:t>
            </w:r>
          </w:p>
        </w:tc>
      </w:tr>
      <w:tr>
        <w:tc>
          <w:tcPr>
            <w:tcW w:type="dxa" w:w="17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Sprint 5 · 19 oct–1 nov</w:t>
            </w:r>
          </w:p>
        </w:tc>
        <w:tc>
          <w:tcPr>
            <w:tcW w:type="dxa" w:w="39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Integración transversal, interfaz y experiencia de uso, seguridad, pruebas y despliegue</w:t>
            </w:r>
          </w:p>
        </w:tc>
        <w:tc>
          <w:tcPr>
            <w:tcW w:type="dxa" w:w="26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Versión candidata para piloto</w:t>
            </w:r>
          </w:p>
        </w:tc>
      </w:tr>
      <w:tr>
        <w:tc>
          <w:tcPr>
            <w:tcW w:type="dxa" w:w="17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Sprint 6 · 2–8 nov</w:t>
            </w:r>
          </w:p>
        </w:tc>
        <w:tc>
          <w:tcPr>
            <w:tcW w:type="dxa" w:w="39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Ejecutar el piloto, evaluar la propuesta y compararla con la situación actual</w:t>
            </w:r>
          </w:p>
        </w:tc>
        <w:tc>
          <w:tcPr>
            <w:tcW w:type="dxa" w:w="26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Evidencia operativa y técnica analizada</w:t>
            </w:r>
          </w:p>
        </w:tc>
      </w:tr>
      <w:tr>
        <w:tc>
          <w:tcPr>
            <w:tcW w:type="dxa" w:w="17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Sprint 7 · 9–15 nov</w:t>
            </w:r>
          </w:p>
        </w:tc>
        <w:tc>
          <w:tcPr>
            <w:tcW w:type="dxa" w:w="39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Redactar resultados, conclusiones, anexos y entrega</w:t>
            </w:r>
          </w:p>
        </w:tc>
        <w:tc>
          <w:tcPr>
            <w:tcW w:type="dxa" w:w="26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Proyecto de Grado concluido</w:t>
            </w:r>
          </w:p>
        </w:tc>
      </w:tr>
    </w:tbl>
    <w:p>
      <w:pPr>
        <w:spacing w:after="0"/>
      </w:pPr>
    </w:p>
    <w:p>
      <w:pPr>
        <w:pStyle w:val="Caption"/>
      </w:pPr>
      <w:r>
        <w:rPr>
          <w:rFonts w:ascii="Times New Roman" w:hAnsi="Times New Roman"/>
          <w:sz w:val="22"/>
        </w:rPr>
        <w:t>Figura 5. Diagrama de Gantt, agosto–noviembre de 2026.</w:t>
      </w:r>
    </w:p>
    <w:p>
      <w:pPr>
        <w:spacing w:after="120"/>
        <w:ind w:firstLine="0"/>
        <w:jc w:val="center"/>
      </w:pPr>
      <w:r>
        <w:drawing>
          <wp:inline xmlns:a="http://schemas.openxmlformats.org/drawingml/2006/main" xmlns:pic="http://schemas.openxmlformats.org/drawingml/2006/picture">
            <wp:extent cx="5230368" cy="3138221"/>
            <wp:docPr id="6" name="Picture 6"/>
            <wp:cNvGraphicFramePr>
              <a:graphicFrameLocks noChangeAspect="1"/>
            </wp:cNvGraphicFramePr>
            <a:graphic>
              <a:graphicData uri="http://schemas.openxmlformats.org/drawingml/2006/picture">
                <pic:pic>
                  <pic:nvPicPr>
                    <pic:cNvPr id="0" name="figura_4.png"/>
                    <pic:cNvPicPr/>
                  </pic:nvPicPr>
                  <pic:blipFill>
                    <a:blip r:embed="rId18"/>
                    <a:stretch>
                      <a:fillRect/>
                    </a:stretch>
                  </pic:blipFill>
                  <pic:spPr>
                    <a:xfrm>
                      <a:off x="0" y="0"/>
                      <a:ext cx="5230368" cy="3138221"/>
                    </a:xfrm>
                    <a:prstGeom prst="rect"/>
                  </pic:spPr>
                </pic:pic>
              </a:graphicData>
            </a:graphic>
          </wp:inline>
        </w:drawing>
      </w:r>
    </w:p>
    <w:p>
      <w:pPr>
        <w:pStyle w:val="Heading1"/>
      </w:pPr>
      <w:r>
        <w:rPr>
          <w:rFonts w:ascii="Times New Roman" w:hAnsi="Times New Roman"/>
          <w:sz w:val="28"/>
        </w:rPr>
        <w:t>12. Recursos</w:t>
      </w:r>
    </w:p>
    <w:p>
      <w:pPr>
        <w:pStyle w:val="Heading2"/>
      </w:pPr>
      <w:r>
        <w:rPr>
          <w:rFonts w:ascii="Times New Roman" w:hAnsi="Times New Roman"/>
          <w:sz w:val="24"/>
        </w:rPr>
        <w:t>12.1. Recursos humanos</w:t>
      </w:r>
    </w:p>
    <w:p>
      <w:pPr>
        <w:pStyle w:val="ListParagraph"/>
        <w:numPr>
          <w:ilvl w:val="0"/>
          <w:numId w:val="17"/>
        </w:numPr>
        <w:spacing w:line="360" w:lineRule="auto" w:after="0"/>
        <w:ind w:left="454" w:hanging="283"/>
      </w:pPr>
      <w:r>
        <w:rPr>
          <w:rFonts w:ascii="Times New Roman" w:hAnsi="Times New Roman"/>
          <w:sz w:val="24"/>
        </w:rPr>
        <w:t>postulante, como responsable principal del análisis, desarrollo, evaluación y documentación;</w:t>
      </w:r>
    </w:p>
    <w:p>
      <w:pPr>
        <w:pStyle w:val="ListParagraph"/>
        <w:numPr>
          <w:ilvl w:val="0"/>
          <w:numId w:val="17"/>
        </w:numPr>
        <w:spacing w:line="360" w:lineRule="auto" w:after="0"/>
        <w:ind w:left="454" w:hanging="283"/>
      </w:pPr>
      <w:r>
        <w:rPr>
          <w:rFonts w:ascii="Times New Roman" w:hAnsi="Times New Roman"/>
          <w:sz w:val="24"/>
        </w:rPr>
        <w:t>tutora académica, para orientación y revisión;</w:t>
      </w:r>
    </w:p>
    <w:p>
      <w:pPr>
        <w:pStyle w:val="ListParagraph"/>
        <w:numPr>
          <w:ilvl w:val="0"/>
          <w:numId w:val="17"/>
        </w:numPr>
        <w:spacing w:line="360" w:lineRule="auto" w:after="0"/>
        <w:ind w:left="454" w:hanging="283"/>
      </w:pPr>
      <w:r>
        <w:rPr>
          <w:rFonts w:ascii="Times New Roman" w:hAnsi="Times New Roman"/>
          <w:sz w:val="24"/>
        </w:rPr>
        <w:t>personal y participantes de R3Foresta, para información del proceso y piloto;</w:t>
      </w:r>
    </w:p>
    <w:p>
      <w:pPr>
        <w:pStyle w:val="ListParagraph"/>
        <w:numPr>
          <w:ilvl w:val="0"/>
          <w:numId w:val="17"/>
        </w:numPr>
        <w:spacing w:line="360" w:lineRule="auto" w:after="0"/>
        <w:ind w:left="454" w:hanging="283"/>
      </w:pPr>
      <w:r>
        <w:rPr>
          <w:rFonts w:ascii="Times New Roman" w:hAnsi="Times New Roman"/>
          <w:sz w:val="24"/>
        </w:rPr>
        <w:t>apoyo puntual de colaboradores, limitado a las contribuciones que se declararán en el documento final.</w:t>
      </w:r>
    </w:p>
    <w:p>
      <w:r>
        <w:rPr>
          <w:rFonts w:ascii="Times New Roman" w:hAnsi="Times New Roman"/>
          <w:sz w:val="24"/>
        </w:rPr>
        <w:t>Las horas del postulante y de los colaboradores se registrarán durante los sprints para documentar el esfuerzo dedicado al proyecto.</w:t>
      </w:r>
    </w:p>
    <w:p>
      <w:pPr>
        <w:pStyle w:val="Heading2"/>
      </w:pPr>
      <w:r>
        <w:rPr>
          <w:rFonts w:ascii="Times New Roman" w:hAnsi="Times New Roman"/>
          <w:sz w:val="24"/>
        </w:rPr>
        <w:t>12.2. Recursos tecnológicos y materiales</w:t>
      </w:r>
    </w:p>
    <w:p>
      <w:pPr>
        <w:pStyle w:val="ListParagraph"/>
        <w:numPr>
          <w:ilvl w:val="0"/>
          <w:numId w:val="18"/>
        </w:numPr>
        <w:spacing w:line="360" w:lineRule="auto" w:after="0"/>
        <w:ind w:left="454" w:hanging="283"/>
      </w:pPr>
      <w:r>
        <w:rPr>
          <w:rFonts w:ascii="Times New Roman" w:hAnsi="Times New Roman"/>
          <w:sz w:val="24"/>
        </w:rPr>
        <w:t>computadora portátil y teléfonos móviles propios, como aporte en especie;</w:t>
      </w:r>
    </w:p>
    <w:p>
      <w:pPr>
        <w:pStyle w:val="ListParagraph"/>
        <w:numPr>
          <w:ilvl w:val="0"/>
          <w:numId w:val="18"/>
        </w:numPr>
        <w:spacing w:line="360" w:lineRule="auto" w:after="0"/>
        <w:ind w:left="454" w:hanging="283"/>
      </w:pPr>
      <w:r>
        <w:rPr>
          <w:rFonts w:ascii="Times New Roman" w:hAnsi="Times New Roman"/>
          <w:sz w:val="24"/>
        </w:rPr>
        <w:t>repositorios Git y GitHub;</w:t>
      </w:r>
    </w:p>
    <w:p>
      <w:pPr>
        <w:pStyle w:val="ListParagraph"/>
        <w:numPr>
          <w:ilvl w:val="0"/>
          <w:numId w:val="18"/>
        </w:numPr>
        <w:spacing w:line="360" w:lineRule="auto" w:after="0"/>
        <w:ind w:left="454" w:hanging="283"/>
      </w:pPr>
      <w:r>
        <w:rPr>
          <w:rFonts w:ascii="Times New Roman" w:hAnsi="Times New Roman"/>
          <w:sz w:val="24"/>
        </w:rPr>
        <w:t>PostgreSQL/PostGIS, Supabase, Vercel y Render en planes gratuitos;</w:t>
      </w:r>
    </w:p>
    <w:p>
      <w:pPr>
        <w:pStyle w:val="ListParagraph"/>
        <w:numPr>
          <w:ilvl w:val="0"/>
          <w:numId w:val="18"/>
        </w:numPr>
        <w:spacing w:line="360" w:lineRule="auto" w:after="0"/>
        <w:ind w:left="454" w:hanging="283"/>
      </w:pPr>
      <w:r>
        <w:rPr>
          <w:rFonts w:ascii="Times New Roman" w:hAnsi="Times New Roman"/>
          <w:sz w:val="24"/>
        </w:rPr>
        <w:t>herramientas de programación, prueba, documentación y diagramación;</w:t>
      </w:r>
    </w:p>
    <w:p>
      <w:pPr>
        <w:pStyle w:val="ListParagraph"/>
        <w:numPr>
          <w:ilvl w:val="0"/>
          <w:numId w:val="18"/>
        </w:numPr>
        <w:spacing w:line="360" w:lineRule="auto" w:after="0"/>
        <w:ind w:left="454" w:hanging="283"/>
      </w:pPr>
      <w:r>
        <w:rPr>
          <w:rFonts w:ascii="Times New Roman" w:hAnsi="Times New Roman"/>
          <w:sz w:val="24"/>
        </w:rPr>
        <w:t>agentes de inteligencia artificial mediante una suscripción mensual alternada entre Claude Code y Codex, sin mantener ambas simultáneamente;</w:t>
      </w:r>
    </w:p>
    <w:p>
      <w:pPr>
        <w:pStyle w:val="ListParagraph"/>
        <w:numPr>
          <w:ilvl w:val="0"/>
          <w:numId w:val="18"/>
        </w:numPr>
        <w:spacing w:line="360" w:lineRule="auto" w:after="0"/>
        <w:ind w:left="454" w:hanging="283"/>
      </w:pPr>
      <w:r>
        <w:rPr>
          <w:rFonts w:ascii="Times New Roman" w:hAnsi="Times New Roman"/>
          <w:sz w:val="24"/>
        </w:rPr>
        <w:t>conexión a Internet y datos móviles;</w:t>
      </w:r>
    </w:p>
    <w:p>
      <w:pPr>
        <w:pStyle w:val="ListParagraph"/>
        <w:numPr>
          <w:ilvl w:val="0"/>
          <w:numId w:val="18"/>
        </w:numPr>
        <w:spacing w:line="360" w:lineRule="auto" w:after="0"/>
        <w:ind w:left="454" w:hanging="283"/>
      </w:pPr>
      <w:r>
        <w:rPr>
          <w:rFonts w:ascii="Times New Roman" w:hAnsi="Times New Roman"/>
          <w:sz w:val="24"/>
        </w:rPr>
        <w:t>transporte y alimentación para las actividades de campo que se coordinen con R3Foresta.</w:t>
      </w:r>
    </w:p>
    <w:p>
      <w:r>
        <w:rPr>
          <w:rFonts w:ascii="Times New Roman" w:hAnsi="Times New Roman"/>
          <w:sz w:val="24"/>
        </w:rPr>
        <w:t>Se utilizará el subdominio gratuito de Vercel. Los servicios blockchain, IPFS y redes RPC no se consideran recursos del proyecto porque se encuentran fuera del alcance.</w:t>
      </w:r>
    </w:p>
    <w:p>
      <w:pPr>
        <w:pStyle w:val="Heading1"/>
      </w:pPr>
      <w:r>
        <w:rPr>
          <w:rFonts w:ascii="Times New Roman" w:hAnsi="Times New Roman"/>
          <w:sz w:val="28"/>
        </w:rPr>
        <w:t>13. Referencias bibliográficas</w:t>
      </w:r>
    </w:p>
    <w:p>
      <w:pPr>
        <w:spacing w:line="360" w:lineRule="auto" w:after="80"/>
        <w:ind w:hanging="720" w:left="720"/>
      </w:pPr>
      <w:r>
        <w:rPr>
          <w:rFonts w:ascii="Times New Roman" w:hAnsi="Times New Roman"/>
          <w:sz w:val="24"/>
        </w:rPr>
        <w:t xml:space="preserve">Basili, V. R., &amp; Turner, A. J. (1975). Iterative enhancement: A practical technique for software development. </w:t>
      </w:r>
      <w:r>
        <w:rPr>
          <w:rFonts w:ascii="Times New Roman" w:hAnsi="Times New Roman"/>
          <w:i/>
          <w:sz w:val="24"/>
        </w:rPr>
        <w:t>IEEE Transactions on Software Engineering, SE-1</w:t>
      </w:r>
      <w:r>
        <w:rPr>
          <w:rFonts w:ascii="Times New Roman" w:hAnsi="Times New Roman"/>
          <w:sz w:val="24"/>
        </w:rPr>
        <w:t xml:space="preserve">(4), 390–396. </w:t>
      </w:r>
      <w:hyperlink r:id="rId19">
        <w:r>
          <w:rPr>
            <w:rFonts w:ascii="Times New Roman" w:hAnsi="Times New Roman"/>
            <w:color w:val="0563C1"/>
            <w:u w:val="single"/>
            <w:sz w:val="24"/>
          </w:rPr>
          <w:t>https://doi.org/10.1109/TSE.1975.6312870</w:t>
        </w:r>
      </w:hyperlink>
    </w:p>
    <w:p>
      <w:pPr>
        <w:spacing w:line="360" w:lineRule="auto" w:after="80"/>
        <w:ind w:hanging="720" w:left="720"/>
      </w:pPr>
      <w:r>
        <w:rPr>
          <w:rFonts w:ascii="Times New Roman" w:hAnsi="Times New Roman"/>
          <w:sz w:val="24"/>
        </w:rPr>
        <w:t xml:space="preserve">Comité Ejecutivo de la Universidad Boliviana. (s. f.). </w:t>
      </w:r>
      <w:r>
        <w:rPr>
          <w:rFonts w:ascii="Times New Roman" w:hAnsi="Times New Roman"/>
          <w:i/>
          <w:sz w:val="24"/>
        </w:rPr>
        <w:t>Reglamento general de tipos y modalidades de graduación</w:t>
      </w:r>
      <w:r>
        <w:rPr>
          <w:rFonts w:ascii="Times New Roman" w:hAnsi="Times New Roman"/>
          <w:sz w:val="24"/>
        </w:rPr>
        <w:t xml:space="preserve">. </w:t>
      </w:r>
      <w:hyperlink r:id="rId20">
        <w:r>
          <w:rPr>
            <w:rFonts w:ascii="Times New Roman" w:hAnsi="Times New Roman"/>
            <w:color w:val="0563C1"/>
            <w:u w:val="single"/>
            <w:sz w:val="24"/>
          </w:rPr>
          <w:t>https://www.umsa.bo/documents/1811251/1811998/5%2BREGLAMENTO%2BDE%2BTIPOS%2BY%2BMODALIDADES%2BDE%2BGRADUACI%C3%93N.pdf/e959340f-87f2-ef65-e2df-f52ef89a2a53</w:t>
        </w:r>
      </w:hyperlink>
    </w:p>
    <w:p>
      <w:pPr>
        <w:spacing w:line="360" w:lineRule="auto" w:after="80"/>
        <w:ind w:hanging="720" w:left="720"/>
      </w:pPr>
      <w:r>
        <w:rPr>
          <w:rFonts w:ascii="Times New Roman" w:hAnsi="Times New Roman"/>
          <w:sz w:val="24"/>
        </w:rPr>
        <w:t xml:space="preserve">Dabbene, F., Gay, P., &amp; Tortia, C. (2014). Traceability issues in food supply chain management: A review. </w:t>
      </w:r>
      <w:r>
        <w:rPr>
          <w:rFonts w:ascii="Times New Roman" w:hAnsi="Times New Roman"/>
          <w:i/>
          <w:sz w:val="24"/>
        </w:rPr>
        <w:t>Biosystems Engineering, 120</w:t>
      </w:r>
      <w:r>
        <w:rPr>
          <w:rFonts w:ascii="Times New Roman" w:hAnsi="Times New Roman"/>
          <w:sz w:val="24"/>
        </w:rPr>
        <w:t xml:space="preserve">, 65–80. </w:t>
      </w:r>
      <w:hyperlink r:id="rId21">
        <w:r>
          <w:rPr>
            <w:rFonts w:ascii="Times New Roman" w:hAnsi="Times New Roman"/>
            <w:color w:val="0563C1"/>
            <w:u w:val="single"/>
            <w:sz w:val="24"/>
          </w:rPr>
          <w:t>https://doi.org/10.1016/j.biosystemseng.2013.09.006</w:t>
        </w:r>
      </w:hyperlink>
    </w:p>
    <w:p>
      <w:pPr>
        <w:spacing w:line="360" w:lineRule="auto" w:after="80"/>
        <w:ind w:hanging="720" w:left="720"/>
      </w:pPr>
      <w:r>
        <w:rPr>
          <w:rFonts w:ascii="Times New Roman" w:hAnsi="Times New Roman"/>
          <w:sz w:val="24"/>
        </w:rPr>
        <w:t xml:space="preserve">Donnelly, K. A.-M., Karlsen, K. M., &amp; Dreyer, B. (2012). A simulated recall study in five major food sectors. </w:t>
      </w:r>
      <w:r>
        <w:rPr>
          <w:rFonts w:ascii="Times New Roman" w:hAnsi="Times New Roman"/>
          <w:i/>
          <w:sz w:val="24"/>
        </w:rPr>
        <w:t>British Food Journal, 114</w:t>
      </w:r>
      <w:r>
        <w:rPr>
          <w:rFonts w:ascii="Times New Roman" w:hAnsi="Times New Roman"/>
          <w:sz w:val="24"/>
        </w:rPr>
        <w:t xml:space="preserve">(7), 1016–1031. </w:t>
      </w:r>
      <w:hyperlink r:id="rId22">
        <w:r>
          <w:rPr>
            <w:rFonts w:ascii="Times New Roman" w:hAnsi="Times New Roman"/>
            <w:color w:val="0563C1"/>
            <w:u w:val="single"/>
            <w:sz w:val="24"/>
          </w:rPr>
          <w:t>https://doi.org/10.1108/00070701211241590</w:t>
        </w:r>
      </w:hyperlink>
    </w:p>
    <w:p>
      <w:pPr>
        <w:spacing w:line="360" w:lineRule="auto" w:after="80"/>
        <w:ind w:hanging="720" w:left="720"/>
      </w:pPr>
      <w:r>
        <w:rPr>
          <w:rFonts w:ascii="Times New Roman" w:hAnsi="Times New Roman"/>
          <w:sz w:val="24"/>
        </w:rPr>
        <w:t xml:space="preserve">Food and Agriculture Organization of the United Nations. (s. f.). </w:t>
      </w:r>
      <w:r>
        <w:rPr>
          <w:rFonts w:ascii="Times New Roman" w:hAnsi="Times New Roman"/>
          <w:i/>
          <w:sz w:val="24"/>
        </w:rPr>
        <w:t>Forest reproductive material</w:t>
      </w:r>
      <w:r>
        <w:rPr>
          <w:rFonts w:ascii="Times New Roman" w:hAnsi="Times New Roman"/>
          <w:sz w:val="24"/>
        </w:rPr>
        <w:t xml:space="preserve">. Sustainable Forest Management Toolbox. Recuperado el 19 de agosto de 2026, de </w:t>
      </w:r>
      <w:hyperlink r:id="rId23">
        <w:r>
          <w:rPr>
            <w:rFonts w:ascii="Times New Roman" w:hAnsi="Times New Roman"/>
            <w:color w:val="0563C1"/>
            <w:u w:val="single"/>
            <w:sz w:val="24"/>
          </w:rPr>
          <w:t>https://www.fao.org/sustainable-forest-management-toolbox/modules/forest-reproductive-material/en</w:t>
        </w:r>
      </w:hyperlink>
    </w:p>
    <w:p>
      <w:pPr>
        <w:spacing w:line="360" w:lineRule="auto" w:after="80"/>
        <w:ind w:hanging="720" w:left="720"/>
      </w:pPr>
      <w:r>
        <w:rPr>
          <w:rFonts w:ascii="Times New Roman" w:hAnsi="Times New Roman"/>
          <w:sz w:val="24"/>
        </w:rPr>
        <w:t xml:space="preserve">Gotel, O. C. Z., &amp; Finkelstein, A. C. W. (1994). An analysis of the requirements traceability problem. </w:t>
      </w:r>
      <w:r>
        <w:rPr>
          <w:rFonts w:ascii="Times New Roman" w:hAnsi="Times New Roman"/>
          <w:i/>
          <w:sz w:val="24"/>
        </w:rPr>
        <w:t>Proceedings of the 1st International Conference on Requirements Engineering</w:t>
      </w:r>
      <w:r>
        <w:rPr>
          <w:rFonts w:ascii="Times New Roman" w:hAnsi="Times New Roman"/>
          <w:sz w:val="24"/>
        </w:rPr>
        <w:t xml:space="preserve">, 94–101. </w:t>
      </w:r>
      <w:hyperlink r:id="rId24">
        <w:r>
          <w:rPr>
            <w:rFonts w:ascii="Times New Roman" w:hAnsi="Times New Roman"/>
            <w:color w:val="0563C1"/>
            <w:u w:val="single"/>
            <w:sz w:val="24"/>
          </w:rPr>
          <w:t>https://doi.org/10.1109/ICRE.1994.292398</w:t>
        </w:r>
      </w:hyperlink>
    </w:p>
    <w:p>
      <w:pPr>
        <w:spacing w:line="360" w:lineRule="auto" w:after="80"/>
        <w:ind w:hanging="720" w:left="720"/>
      </w:pPr>
      <w:r>
        <w:rPr>
          <w:rFonts w:ascii="Times New Roman" w:hAnsi="Times New Roman"/>
          <w:sz w:val="24"/>
        </w:rPr>
        <w:t xml:space="preserve">Härder, T., &amp; Reuter, A. (1983). Principles of transaction-oriented database recovery. </w:t>
      </w:r>
      <w:r>
        <w:rPr>
          <w:rFonts w:ascii="Times New Roman" w:hAnsi="Times New Roman"/>
          <w:i/>
          <w:sz w:val="24"/>
        </w:rPr>
        <w:t>ACM Computing Surveys, 15</w:t>
      </w:r>
      <w:r>
        <w:rPr>
          <w:rFonts w:ascii="Times New Roman" w:hAnsi="Times New Roman"/>
          <w:sz w:val="24"/>
        </w:rPr>
        <w:t xml:space="preserve">(4), 287–317. </w:t>
      </w:r>
      <w:hyperlink r:id="rId25">
        <w:r>
          <w:rPr>
            <w:rFonts w:ascii="Times New Roman" w:hAnsi="Times New Roman"/>
            <w:color w:val="0563C1"/>
            <w:u w:val="single"/>
            <w:sz w:val="24"/>
          </w:rPr>
          <w:t>https://doi.org/10.1145/289.291</w:t>
        </w:r>
      </w:hyperlink>
    </w:p>
    <w:p>
      <w:pPr>
        <w:spacing w:line="360" w:lineRule="auto" w:after="80"/>
        <w:ind w:hanging="720" w:left="720"/>
      </w:pPr>
      <w:r>
        <w:rPr>
          <w:rFonts w:ascii="Times New Roman" w:hAnsi="Times New Roman"/>
          <w:sz w:val="24"/>
        </w:rPr>
        <w:t xml:space="preserve">Hevner, A. R., March, S. T., Park, J., &amp; Ram, S. (2004). Design science in information systems research. </w:t>
      </w:r>
      <w:r>
        <w:rPr>
          <w:rFonts w:ascii="Times New Roman" w:hAnsi="Times New Roman"/>
          <w:i/>
          <w:sz w:val="24"/>
        </w:rPr>
        <w:t>MIS Quarterly, 28</w:t>
      </w:r>
      <w:r>
        <w:rPr>
          <w:rFonts w:ascii="Times New Roman" w:hAnsi="Times New Roman"/>
          <w:sz w:val="24"/>
        </w:rPr>
        <w:t xml:space="preserve">(1), 75–105. </w:t>
      </w:r>
      <w:hyperlink r:id="rId26">
        <w:r>
          <w:rPr>
            <w:rFonts w:ascii="Times New Roman" w:hAnsi="Times New Roman"/>
            <w:color w:val="0563C1"/>
            <w:u w:val="single"/>
            <w:sz w:val="24"/>
          </w:rPr>
          <w:t>https://doi.org/10.2307/25148625</w:t>
        </w:r>
      </w:hyperlink>
    </w:p>
    <w:p>
      <w:pPr>
        <w:spacing w:line="360" w:lineRule="auto" w:after="80"/>
        <w:ind w:hanging="720" w:left="720"/>
      </w:pPr>
      <w:r>
        <w:rPr>
          <w:rFonts w:ascii="Times New Roman" w:hAnsi="Times New Roman"/>
          <w:sz w:val="24"/>
        </w:rPr>
        <w:t xml:space="preserve">IEEE Computer Society. (2025). </w:t>
      </w:r>
      <w:r>
        <w:rPr>
          <w:rFonts w:ascii="Times New Roman" w:hAnsi="Times New Roman"/>
          <w:i/>
          <w:sz w:val="24"/>
        </w:rPr>
        <w:t>Guide to the Software Engineering Body of Knowledge (SWEBOK Guide), version 4.0a</w:t>
      </w:r>
      <w:r>
        <w:rPr>
          <w:rFonts w:ascii="Times New Roman" w:hAnsi="Times New Roman"/>
          <w:sz w:val="24"/>
        </w:rPr>
        <w:t xml:space="preserve">. </w:t>
      </w:r>
      <w:hyperlink r:id="rId27">
        <w:r>
          <w:rPr>
            <w:rFonts w:ascii="Times New Roman" w:hAnsi="Times New Roman"/>
            <w:color w:val="0563C1"/>
            <w:u w:val="single"/>
            <w:sz w:val="24"/>
          </w:rPr>
          <w:t>https://www.computer.org/education/bodies-of-knowledge/software-engineering/v4</w:t>
        </w:r>
      </w:hyperlink>
    </w:p>
    <w:p>
      <w:pPr>
        <w:spacing w:line="360" w:lineRule="auto" w:after="80"/>
        <w:ind w:hanging="720" w:left="720"/>
      </w:pPr>
      <w:r>
        <w:rPr>
          <w:rFonts w:ascii="Times New Roman" w:hAnsi="Times New Roman"/>
          <w:sz w:val="24"/>
        </w:rPr>
        <w:t xml:space="preserve">International Organization for Standardization. (2020). </w:t>
      </w:r>
      <w:r>
        <w:rPr>
          <w:rFonts w:ascii="Times New Roman" w:hAnsi="Times New Roman"/>
          <w:i/>
          <w:sz w:val="24"/>
        </w:rPr>
        <w:t>Chain of custody—General terminology and models</w:t>
      </w:r>
      <w:r>
        <w:rPr>
          <w:rFonts w:ascii="Times New Roman" w:hAnsi="Times New Roman"/>
          <w:sz w:val="24"/>
        </w:rPr>
        <w:t xml:space="preserve"> (ISO Standard No. 22095:2020). </w:t>
      </w:r>
      <w:hyperlink r:id="rId28">
        <w:r>
          <w:rPr>
            <w:rFonts w:ascii="Times New Roman" w:hAnsi="Times New Roman"/>
            <w:color w:val="0563C1"/>
            <w:u w:val="single"/>
            <w:sz w:val="24"/>
          </w:rPr>
          <w:t>https://www.iso.org/standard/72532.html</w:t>
        </w:r>
      </w:hyperlink>
    </w:p>
    <w:p>
      <w:pPr>
        <w:spacing w:line="360" w:lineRule="auto" w:after="80"/>
        <w:ind w:hanging="720" w:left="720"/>
      </w:pPr>
      <w:r>
        <w:rPr>
          <w:rFonts w:ascii="Times New Roman" w:hAnsi="Times New Roman"/>
          <w:sz w:val="24"/>
        </w:rPr>
        <w:t xml:space="preserve">International Organization for Standardization. (2023). </w:t>
      </w:r>
      <w:r>
        <w:rPr>
          <w:rFonts w:ascii="Times New Roman" w:hAnsi="Times New Roman"/>
          <w:i/>
          <w:sz w:val="24"/>
        </w:rPr>
        <w:t>Systems and software engineering—Systems and software Quality Requirements and Evaluation (SQuaRE)—Product quality model</w:t>
      </w:r>
      <w:r>
        <w:rPr>
          <w:rFonts w:ascii="Times New Roman" w:hAnsi="Times New Roman"/>
          <w:sz w:val="24"/>
        </w:rPr>
        <w:t xml:space="preserve"> (ISO/IEC Standard No. 25010:2023). </w:t>
      </w:r>
      <w:hyperlink r:id="rId29">
        <w:r>
          <w:rPr>
            <w:rFonts w:ascii="Times New Roman" w:hAnsi="Times New Roman"/>
            <w:color w:val="0563C1"/>
            <w:u w:val="single"/>
            <w:sz w:val="24"/>
          </w:rPr>
          <w:t>https://www.iso.org/standard/78176.html</w:t>
        </w:r>
      </w:hyperlink>
    </w:p>
    <w:p>
      <w:pPr>
        <w:spacing w:line="360" w:lineRule="auto" w:after="80"/>
        <w:ind w:hanging="720" w:left="720"/>
      </w:pPr>
      <w:r>
        <w:rPr>
          <w:rFonts w:ascii="Times New Roman" w:hAnsi="Times New Roman"/>
          <w:sz w:val="24"/>
        </w:rPr>
        <w:t xml:space="preserve">International Organization for Standardization, International Electrotechnical Commission, &amp; Institute of Electrical and Electronics Engineers. (2026). </w:t>
      </w:r>
      <w:r>
        <w:rPr>
          <w:rFonts w:ascii="Times New Roman" w:hAnsi="Times New Roman"/>
          <w:i/>
          <w:sz w:val="24"/>
        </w:rPr>
        <w:t>Systems and software engineering—Software life cycle processes</w:t>
      </w:r>
      <w:r>
        <w:rPr>
          <w:rFonts w:ascii="Times New Roman" w:hAnsi="Times New Roman"/>
          <w:sz w:val="24"/>
        </w:rPr>
        <w:t xml:space="preserve"> (ISO/IEC/IEEE Standard No. 12207:2026). </w:t>
      </w:r>
      <w:hyperlink r:id="rId30">
        <w:r>
          <w:rPr>
            <w:rFonts w:ascii="Times New Roman" w:hAnsi="Times New Roman"/>
            <w:color w:val="0563C1"/>
            <w:u w:val="single"/>
            <w:sz w:val="24"/>
          </w:rPr>
          <w:t>https://www.iso.org/standard/90219.html</w:t>
        </w:r>
      </w:hyperlink>
    </w:p>
    <w:p>
      <w:pPr>
        <w:spacing w:line="360" w:lineRule="auto" w:after="80"/>
        <w:ind w:hanging="720" w:left="720"/>
      </w:pPr>
      <w:r>
        <w:rPr>
          <w:rFonts w:ascii="Times New Roman" w:hAnsi="Times New Roman"/>
          <w:sz w:val="24"/>
        </w:rPr>
        <w:t xml:space="preserve">Larman, C., &amp; Basili, V. R. (2003). Iterative and incremental development: A brief history. </w:t>
      </w:r>
      <w:r>
        <w:rPr>
          <w:rFonts w:ascii="Times New Roman" w:hAnsi="Times New Roman"/>
          <w:i/>
          <w:sz w:val="24"/>
        </w:rPr>
        <w:t>Computer, 36</w:t>
      </w:r>
      <w:r>
        <w:rPr>
          <w:rFonts w:ascii="Times New Roman" w:hAnsi="Times New Roman"/>
          <w:sz w:val="24"/>
        </w:rPr>
        <w:t xml:space="preserve">(6), 47–56. </w:t>
      </w:r>
      <w:hyperlink r:id="rId31">
        <w:r>
          <w:rPr>
            <w:rFonts w:ascii="Times New Roman" w:hAnsi="Times New Roman"/>
            <w:color w:val="0563C1"/>
            <w:u w:val="single"/>
            <w:sz w:val="24"/>
          </w:rPr>
          <w:t>https://doi.org/10.1109/MC.2003.1204375</w:t>
        </w:r>
      </w:hyperlink>
    </w:p>
    <w:p>
      <w:pPr>
        <w:spacing w:line="360" w:lineRule="auto" w:after="80"/>
        <w:ind w:hanging="720" w:left="720"/>
      </w:pPr>
      <w:r>
        <w:rPr>
          <w:rFonts w:ascii="Times New Roman" w:hAnsi="Times New Roman"/>
          <w:sz w:val="24"/>
        </w:rPr>
        <w:t xml:space="preserve">Limachi Mamani, F. Z. (2020). </w:t>
      </w:r>
      <w:r>
        <w:rPr>
          <w:rFonts w:ascii="Times New Roman" w:hAnsi="Times New Roman"/>
          <w:i/>
          <w:sz w:val="24"/>
        </w:rPr>
        <w:t>Sistema de registro geolocalización de viveros en el departamento de La Paz. Caso ABT</w:t>
      </w:r>
      <w:r>
        <w:rPr>
          <w:rFonts w:ascii="Times New Roman" w:hAnsi="Times New Roman"/>
          <w:sz w:val="24"/>
        </w:rPr>
        <w:t xml:space="preserve"> [Proyecto de grado, Universidad Pública de El Alto]. </w:t>
      </w:r>
      <w:hyperlink r:id="rId32">
        <w:r>
          <w:rPr>
            <w:rFonts w:ascii="Times New Roman" w:hAnsi="Times New Roman"/>
            <w:color w:val="0563C1"/>
            <w:u w:val="single"/>
            <w:sz w:val="24"/>
          </w:rPr>
          <w:t>https://repositorio.upea.bo/jspui/handle/123456789/172</w:t>
        </w:r>
      </w:hyperlink>
    </w:p>
    <w:p>
      <w:pPr>
        <w:spacing w:line="360" w:lineRule="auto" w:after="80"/>
        <w:ind w:hanging="720" w:left="720"/>
      </w:pPr>
      <w:r>
        <w:rPr>
          <w:rFonts w:ascii="Times New Roman" w:hAnsi="Times New Roman"/>
          <w:sz w:val="24"/>
        </w:rPr>
        <w:t xml:space="preserve">Mayorga Vásquez, L. C., Riccardi Martillo, G. A., Bermeo Almeida, O. X., &amp; Guevara Arias, V. I. (2022). Sistema web para los procesos administrativos y de producción en viveros del cantón Milagro. </w:t>
      </w:r>
      <w:r>
        <w:rPr>
          <w:rFonts w:ascii="Times New Roman" w:hAnsi="Times New Roman"/>
          <w:i/>
          <w:sz w:val="24"/>
        </w:rPr>
        <w:t>Revista Ingeniería, 6</w:t>
      </w:r>
      <w:r>
        <w:rPr>
          <w:rFonts w:ascii="Times New Roman" w:hAnsi="Times New Roman"/>
          <w:sz w:val="24"/>
        </w:rPr>
        <w:t xml:space="preserve">(16), 200–213. </w:t>
      </w:r>
      <w:hyperlink r:id="rId33">
        <w:r>
          <w:rPr>
            <w:rFonts w:ascii="Times New Roman" w:hAnsi="Times New Roman"/>
            <w:color w:val="0563C1"/>
            <w:u w:val="single"/>
            <w:sz w:val="24"/>
          </w:rPr>
          <w:t>https://doi.org/10.33996/revistaingenieria.v6i16.100</w:t>
        </w:r>
      </w:hyperlink>
    </w:p>
    <w:p>
      <w:pPr>
        <w:spacing w:line="360" w:lineRule="auto" w:after="80"/>
        <w:ind w:hanging="720" w:left="720"/>
      </w:pPr>
      <w:r>
        <w:rPr>
          <w:rFonts w:ascii="Times New Roman" w:hAnsi="Times New Roman"/>
          <w:sz w:val="24"/>
        </w:rPr>
        <w:t xml:space="preserve">Meyer, B. (1992). Applying design by contract. </w:t>
      </w:r>
      <w:r>
        <w:rPr>
          <w:rFonts w:ascii="Times New Roman" w:hAnsi="Times New Roman"/>
          <w:i/>
          <w:sz w:val="24"/>
        </w:rPr>
        <w:t>Computer, 25</w:t>
      </w:r>
      <w:r>
        <w:rPr>
          <w:rFonts w:ascii="Times New Roman" w:hAnsi="Times New Roman"/>
          <w:sz w:val="24"/>
        </w:rPr>
        <w:t xml:space="preserve">(10), 40–51. </w:t>
      </w:r>
      <w:hyperlink r:id="rId34">
        <w:r>
          <w:rPr>
            <w:rFonts w:ascii="Times New Roman" w:hAnsi="Times New Roman"/>
            <w:color w:val="0563C1"/>
            <w:u w:val="single"/>
            <w:sz w:val="24"/>
          </w:rPr>
          <w:t>https://doi.org/10.1109/2.161279</w:t>
        </w:r>
      </w:hyperlink>
    </w:p>
    <w:p>
      <w:pPr>
        <w:spacing w:line="360" w:lineRule="auto" w:after="80"/>
        <w:ind w:hanging="720" w:left="720"/>
      </w:pPr>
      <w:r>
        <w:rPr>
          <w:rFonts w:ascii="Times New Roman" w:hAnsi="Times New Roman"/>
          <w:sz w:val="24"/>
        </w:rPr>
        <w:t xml:space="preserve">Moe, T. (1998). Perspectives on traceability in food manufacture. </w:t>
      </w:r>
      <w:r>
        <w:rPr>
          <w:rFonts w:ascii="Times New Roman" w:hAnsi="Times New Roman"/>
          <w:i/>
          <w:sz w:val="24"/>
        </w:rPr>
        <w:t>Trends in Food Science &amp; Technology, 9</w:t>
      </w:r>
      <w:r>
        <w:rPr>
          <w:rFonts w:ascii="Times New Roman" w:hAnsi="Times New Roman"/>
          <w:sz w:val="24"/>
        </w:rPr>
        <w:t xml:space="preserve">(5), 211–214. </w:t>
      </w:r>
      <w:hyperlink r:id="rId35">
        <w:r>
          <w:rPr>
            <w:rFonts w:ascii="Times New Roman" w:hAnsi="Times New Roman"/>
            <w:color w:val="0563C1"/>
            <w:u w:val="single"/>
            <w:sz w:val="24"/>
          </w:rPr>
          <w:t>https://doi.org/10.1016/S0924-2244(98</w:t>
        </w:r>
      </w:hyperlink>
      <w:r>
        <w:rPr>
          <w:rFonts w:ascii="Times New Roman" w:hAnsi="Times New Roman"/>
          <w:sz w:val="24"/>
        </w:rPr>
        <w:t>)00037-5</w:t>
      </w:r>
    </w:p>
    <w:p>
      <w:pPr>
        <w:spacing w:line="360" w:lineRule="auto" w:after="80"/>
        <w:ind w:hanging="720" w:left="720"/>
      </w:pPr>
      <w:r>
        <w:rPr>
          <w:rFonts w:ascii="Times New Roman" w:hAnsi="Times New Roman"/>
          <w:sz w:val="24"/>
        </w:rPr>
        <w:t xml:space="preserve">Olsen, P., &amp; Borit, M. (2013). How to define traceability. </w:t>
      </w:r>
      <w:r>
        <w:rPr>
          <w:rFonts w:ascii="Times New Roman" w:hAnsi="Times New Roman"/>
          <w:i/>
          <w:sz w:val="24"/>
        </w:rPr>
        <w:t>Trends in Food Science &amp; Technology, 29</w:t>
      </w:r>
      <w:r>
        <w:rPr>
          <w:rFonts w:ascii="Times New Roman" w:hAnsi="Times New Roman"/>
          <w:sz w:val="24"/>
        </w:rPr>
        <w:t xml:space="preserve">(2), 142–150. </w:t>
      </w:r>
      <w:hyperlink r:id="rId36">
        <w:r>
          <w:rPr>
            <w:rFonts w:ascii="Times New Roman" w:hAnsi="Times New Roman"/>
            <w:color w:val="0563C1"/>
            <w:u w:val="single"/>
            <w:sz w:val="24"/>
          </w:rPr>
          <w:t>https://doi.org/10.1016/j.tifs.2012.10.003</w:t>
        </w:r>
      </w:hyperlink>
    </w:p>
    <w:p>
      <w:pPr>
        <w:spacing w:line="360" w:lineRule="auto" w:after="80"/>
        <w:ind w:hanging="720" w:left="720"/>
      </w:pPr>
      <w:r>
        <w:rPr>
          <w:rFonts w:ascii="Times New Roman" w:hAnsi="Times New Roman"/>
          <w:sz w:val="24"/>
        </w:rPr>
        <w:t xml:space="preserve">Olsen, P., &amp; Borit, M. (2018). The components of a food traceability system. </w:t>
      </w:r>
      <w:r>
        <w:rPr>
          <w:rFonts w:ascii="Times New Roman" w:hAnsi="Times New Roman"/>
          <w:i/>
          <w:sz w:val="24"/>
        </w:rPr>
        <w:t>Trends in Food Science &amp; Technology, 77</w:t>
      </w:r>
      <w:r>
        <w:rPr>
          <w:rFonts w:ascii="Times New Roman" w:hAnsi="Times New Roman"/>
          <w:sz w:val="24"/>
        </w:rPr>
        <w:t xml:space="preserve">, 143–149. </w:t>
      </w:r>
      <w:hyperlink r:id="rId37">
        <w:r>
          <w:rPr>
            <w:rFonts w:ascii="Times New Roman" w:hAnsi="Times New Roman"/>
            <w:color w:val="0563C1"/>
            <w:u w:val="single"/>
            <w:sz w:val="24"/>
          </w:rPr>
          <w:t>https://doi.org/10.1016/j.tifs.2018.05.004</w:t>
        </w:r>
      </w:hyperlink>
    </w:p>
    <w:p>
      <w:pPr>
        <w:spacing w:line="360" w:lineRule="auto" w:after="80"/>
        <w:ind w:hanging="720" w:left="720"/>
      </w:pPr>
      <w:r>
        <w:rPr>
          <w:rFonts w:ascii="Times New Roman" w:hAnsi="Times New Roman"/>
          <w:sz w:val="24"/>
        </w:rPr>
        <w:t xml:space="preserve">Peffers, K., Tuunanen, T., Rothenberger, M. A., &amp; Chatterjee, S. (2007). A design science research methodology for information systems research. </w:t>
      </w:r>
      <w:r>
        <w:rPr>
          <w:rFonts w:ascii="Times New Roman" w:hAnsi="Times New Roman"/>
          <w:i/>
          <w:sz w:val="24"/>
        </w:rPr>
        <w:t>Journal of Management Information Systems, 24</w:t>
      </w:r>
      <w:r>
        <w:rPr>
          <w:rFonts w:ascii="Times New Roman" w:hAnsi="Times New Roman"/>
          <w:sz w:val="24"/>
        </w:rPr>
        <w:t xml:space="preserve">(3), 45–77. </w:t>
      </w:r>
      <w:hyperlink r:id="rId38">
        <w:r>
          <w:rPr>
            <w:rFonts w:ascii="Times New Roman" w:hAnsi="Times New Roman"/>
            <w:color w:val="0563C1"/>
            <w:u w:val="single"/>
            <w:sz w:val="24"/>
          </w:rPr>
          <w:t>https://doi.org/10.2753/MIS0742-1222240302</w:t>
        </w:r>
      </w:hyperlink>
    </w:p>
    <w:p>
      <w:pPr>
        <w:spacing w:line="360" w:lineRule="auto" w:after="80"/>
        <w:ind w:hanging="720" w:left="720"/>
      </w:pPr>
      <w:r>
        <w:rPr>
          <w:rFonts w:ascii="Times New Roman" w:hAnsi="Times New Roman"/>
          <w:sz w:val="24"/>
        </w:rPr>
        <w:t xml:space="preserve">R3Foresta. (2026, 23 de agosto). </w:t>
      </w:r>
      <w:r>
        <w:rPr>
          <w:rFonts w:ascii="Times New Roman" w:hAnsi="Times New Roman"/>
          <w:i/>
          <w:sz w:val="24"/>
        </w:rPr>
        <w:t>Resumen Ejecutivo Institucional: Modelo Integral de Bioregeneración, Innovación Ambiental y Desarrollo Comunitario</w:t>
      </w:r>
      <w:r>
        <w:rPr>
          <w:rFonts w:ascii="Times New Roman" w:hAnsi="Times New Roman"/>
          <w:sz w:val="24"/>
        </w:rPr>
        <w:t xml:space="preserve"> [Documento institucional no publicado].</w:t>
      </w:r>
    </w:p>
    <w:p>
      <w:pPr>
        <w:spacing w:line="360" w:lineRule="auto" w:after="80"/>
        <w:ind w:hanging="720" w:left="720"/>
      </w:pPr>
      <w:r>
        <w:rPr>
          <w:rFonts w:ascii="Times New Roman" w:hAnsi="Times New Roman"/>
          <w:sz w:val="24"/>
        </w:rPr>
        <w:t xml:space="preserve">Runeson, P., &amp; Höst, M. (2009). Guidelines for conducting and reporting case study research in software engineering. </w:t>
      </w:r>
      <w:r>
        <w:rPr>
          <w:rFonts w:ascii="Times New Roman" w:hAnsi="Times New Roman"/>
          <w:i/>
          <w:sz w:val="24"/>
        </w:rPr>
        <w:t>Empirical Software Engineering, 14</w:t>
      </w:r>
      <w:r>
        <w:rPr>
          <w:rFonts w:ascii="Times New Roman" w:hAnsi="Times New Roman"/>
          <w:sz w:val="24"/>
        </w:rPr>
        <w:t xml:space="preserve">, 131–164. </w:t>
      </w:r>
      <w:hyperlink r:id="rId39">
        <w:r>
          <w:rPr>
            <w:rFonts w:ascii="Times New Roman" w:hAnsi="Times New Roman"/>
            <w:color w:val="0563C1"/>
            <w:u w:val="single"/>
            <w:sz w:val="24"/>
          </w:rPr>
          <w:t>https://doi.org/10.1007/s10664-008-9102-8</w:t>
        </w:r>
      </w:hyperlink>
    </w:p>
    <w:p>
      <w:pPr>
        <w:spacing w:line="360" w:lineRule="auto" w:after="80"/>
        <w:ind w:hanging="720" w:left="720"/>
      </w:pPr>
      <w:r>
        <w:rPr>
          <w:rFonts w:ascii="Times New Roman" w:hAnsi="Times New Roman"/>
          <w:sz w:val="24"/>
        </w:rPr>
        <w:t xml:space="preserve">Salamanca Contreras, F. R. (2024). </w:t>
      </w:r>
      <w:r>
        <w:rPr>
          <w:rFonts w:ascii="Times New Roman" w:hAnsi="Times New Roman"/>
          <w:i/>
          <w:sz w:val="24"/>
        </w:rPr>
        <w:t>Influencia del sistema web con notificaciones en el proceso de control interno y seguimiento del inventario en el vivero Tu Semilla E.I.R.L. sede Tacna, 2022</w:t>
      </w:r>
      <w:r>
        <w:rPr>
          <w:rFonts w:ascii="Times New Roman" w:hAnsi="Times New Roman"/>
          <w:sz w:val="24"/>
        </w:rPr>
        <w:t xml:space="preserve"> [Tesis, Universidad Privada de Tacna]. </w:t>
      </w:r>
      <w:hyperlink r:id="rId40">
        <w:r>
          <w:rPr>
            <w:rFonts w:ascii="Times New Roman" w:hAnsi="Times New Roman"/>
            <w:color w:val="0563C1"/>
            <w:u w:val="single"/>
            <w:sz w:val="24"/>
          </w:rPr>
          <w:t>https://repositorio.upt.edu.pe/handle/20.500.12969/3690</w:t>
        </w:r>
      </w:hyperlink>
    </w:p>
    <w:p>
      <w:pPr>
        <w:spacing w:line="360" w:lineRule="auto" w:after="80"/>
        <w:ind w:hanging="720" w:left="720"/>
      </w:pPr>
      <w:r>
        <w:rPr>
          <w:rFonts w:ascii="Times New Roman" w:hAnsi="Times New Roman"/>
          <w:sz w:val="24"/>
        </w:rPr>
        <w:t xml:space="preserve">Solanki, M., &amp; Brewster, C. (2014). Modelling and linking transformations in EPCIS governing supply chain business processes. In M. Hepp &amp; Y. Hoffner (Eds.), </w:t>
      </w:r>
      <w:r>
        <w:rPr>
          <w:rFonts w:ascii="Times New Roman" w:hAnsi="Times New Roman"/>
          <w:i/>
          <w:sz w:val="24"/>
        </w:rPr>
        <w:t>E-Commerce and Web Technologies</w:t>
      </w:r>
      <w:r>
        <w:rPr>
          <w:rFonts w:ascii="Times New Roman" w:hAnsi="Times New Roman"/>
          <w:sz w:val="24"/>
        </w:rPr>
        <w:t xml:space="preserve"> (Lecture Notes in Business Information Processing, Vol. 188, pp. 46–57). Springer. </w:t>
      </w:r>
      <w:hyperlink r:id="rId41">
        <w:r>
          <w:rPr>
            <w:rFonts w:ascii="Times New Roman" w:hAnsi="Times New Roman"/>
            <w:color w:val="0563C1"/>
            <w:u w:val="single"/>
            <w:sz w:val="24"/>
          </w:rPr>
          <w:t>https://doi.org/10.1007/978-3-319-10491-1_5</w:t>
        </w:r>
      </w:hyperlink>
    </w:p>
    <w:p>
      <w:pPr>
        <w:spacing w:line="360" w:lineRule="auto" w:after="80"/>
        <w:ind w:hanging="720" w:left="720"/>
      </w:pPr>
      <w:r>
        <w:rPr>
          <w:rFonts w:ascii="Times New Roman" w:hAnsi="Times New Roman"/>
          <w:sz w:val="24"/>
        </w:rPr>
        <w:t xml:space="preserve">Thakur, M., Sørensen, C. F., Bjørnson, F. O., Forås, E., &amp; Hurburgh, C. R. (2011). Managing food traceability information using EPCIS framework. </w:t>
      </w:r>
      <w:r>
        <w:rPr>
          <w:rFonts w:ascii="Times New Roman" w:hAnsi="Times New Roman"/>
          <w:i/>
          <w:sz w:val="24"/>
        </w:rPr>
        <w:t>Journal of Food Engineering, 103</w:t>
      </w:r>
      <w:r>
        <w:rPr>
          <w:rFonts w:ascii="Times New Roman" w:hAnsi="Times New Roman"/>
          <w:sz w:val="24"/>
        </w:rPr>
        <w:t xml:space="preserve">(4), 417–433. </w:t>
      </w:r>
      <w:hyperlink r:id="rId42">
        <w:r>
          <w:rPr>
            <w:rFonts w:ascii="Times New Roman" w:hAnsi="Times New Roman"/>
            <w:color w:val="0563C1"/>
            <w:u w:val="single"/>
            <w:sz w:val="24"/>
          </w:rPr>
          <w:t>https://doi.org/10.1016/j.jfoodeng.2010.11.012</w:t>
        </w:r>
      </w:hyperlink>
    </w:p>
    <w:p>
      <w:pPr>
        <w:spacing w:line="360" w:lineRule="auto" w:after="80"/>
        <w:ind w:hanging="720" w:left="720"/>
      </w:pPr>
      <w:r>
        <w:rPr>
          <w:rFonts w:ascii="Times New Roman" w:hAnsi="Times New Roman"/>
          <w:sz w:val="24"/>
        </w:rPr>
        <w:t xml:space="preserve">World Wide Web Consortium. (2013). </w:t>
      </w:r>
      <w:r>
        <w:rPr>
          <w:rFonts w:ascii="Times New Roman" w:hAnsi="Times New Roman"/>
          <w:i/>
          <w:sz w:val="24"/>
        </w:rPr>
        <w:t>PROV-O: The PROV ontology</w:t>
      </w:r>
      <w:r>
        <w:rPr>
          <w:rFonts w:ascii="Times New Roman" w:hAnsi="Times New Roman"/>
          <w:sz w:val="24"/>
        </w:rPr>
        <w:t xml:space="preserve">. </w:t>
      </w:r>
      <w:hyperlink r:id="rId43">
        <w:r>
          <w:rPr>
            <w:rFonts w:ascii="Times New Roman" w:hAnsi="Times New Roman"/>
            <w:color w:val="0563C1"/>
            <w:u w:val="single"/>
            <w:sz w:val="24"/>
          </w:rPr>
          <w:t>https://www.w3.org/TR/prov-o/</w:t>
        </w:r>
      </w:hyperlink>
    </w:p>
    <w:p>
      <w:pPr>
        <w:pStyle w:val="Heading1"/>
      </w:pPr>
      <w:r>
        <w:rPr>
          <w:rFonts w:ascii="Times New Roman" w:hAnsi="Times New Roman"/>
          <w:sz w:val="28"/>
        </w:rPr>
        <w:t>Anexos previstos para el documento final</w:t>
      </w:r>
    </w:p>
    <w:p>
      <w:r>
        <w:rPr>
          <w:rFonts w:ascii="Times New Roman" w:hAnsi="Times New Roman"/>
          <w:sz w:val="24"/>
        </w:rPr>
        <w:t>Los anexos no se desarrollan en esta versión del perfil. Para el Proyecto de Grado se prevén:</w:t>
      </w:r>
    </w:p>
    <w:p>
      <w:pPr>
        <w:pStyle w:val="ListParagraph"/>
        <w:numPr>
          <w:ilvl w:val="0"/>
          <w:numId w:val="19"/>
        </w:numPr>
        <w:spacing w:line="360" w:lineRule="auto" w:after="0"/>
        <w:ind w:left="454" w:hanging="283"/>
      </w:pPr>
      <w:r>
        <w:rPr>
          <w:rFonts w:ascii="Times New Roman" w:hAnsi="Times New Roman"/>
          <w:sz w:val="24"/>
        </w:rPr>
        <w:t>guía de entrevista y cuestionario para comparar la situación actual con la propuesta;</w:t>
      </w:r>
    </w:p>
    <w:p>
      <w:pPr>
        <w:pStyle w:val="ListParagraph"/>
        <w:numPr>
          <w:ilvl w:val="0"/>
          <w:numId w:val="19"/>
        </w:numPr>
        <w:spacing w:line="360" w:lineRule="auto" w:after="0"/>
        <w:ind w:left="454" w:hanging="283"/>
      </w:pPr>
      <w:r>
        <w:rPr>
          <w:rFonts w:ascii="Times New Roman" w:hAnsi="Times New Roman"/>
          <w:sz w:val="24"/>
        </w:rPr>
        <w:t>consentimiento informado;</w:t>
      </w:r>
    </w:p>
    <w:p>
      <w:pPr>
        <w:pStyle w:val="ListParagraph"/>
        <w:numPr>
          <w:ilvl w:val="0"/>
          <w:numId w:val="19"/>
        </w:numPr>
        <w:spacing w:line="360" w:lineRule="auto" w:after="0"/>
        <w:ind w:left="454" w:hanging="283"/>
      </w:pPr>
      <w:r>
        <w:rPr>
          <w:rFonts w:ascii="Times New Roman" w:hAnsi="Times New Roman"/>
          <w:sz w:val="24"/>
        </w:rPr>
        <w:t>matriz requerimiento–regla–invariante–prueba;</w:t>
      </w:r>
    </w:p>
    <w:p>
      <w:pPr>
        <w:pStyle w:val="ListParagraph"/>
        <w:numPr>
          <w:ilvl w:val="0"/>
          <w:numId w:val="19"/>
        </w:numPr>
        <w:spacing w:line="360" w:lineRule="auto" w:after="0"/>
        <w:ind w:left="454" w:hanging="283"/>
      </w:pPr>
      <w:r>
        <w:rPr>
          <w:rFonts w:ascii="Times New Roman" w:hAnsi="Times New Roman"/>
          <w:sz w:val="24"/>
        </w:rPr>
        <w:t>diagramas técnicos consolidados;</w:t>
      </w:r>
    </w:p>
    <w:p>
      <w:pPr>
        <w:pStyle w:val="ListParagraph"/>
        <w:numPr>
          <w:ilvl w:val="0"/>
          <w:numId w:val="19"/>
        </w:numPr>
        <w:spacing w:line="360" w:lineRule="auto" w:after="0"/>
        <w:ind w:left="454" w:hanging="283"/>
      </w:pPr>
      <w:r>
        <w:rPr>
          <w:rFonts w:ascii="Times New Roman" w:hAnsi="Times New Roman"/>
          <w:sz w:val="24"/>
        </w:rPr>
        <w:t>evidencias y resultados del piloto;</w:t>
      </w:r>
    </w:p>
    <w:p>
      <w:pPr>
        <w:pStyle w:val="ListParagraph"/>
        <w:numPr>
          <w:ilvl w:val="0"/>
          <w:numId w:val="19"/>
        </w:numPr>
        <w:spacing w:line="360" w:lineRule="auto" w:after="0"/>
        <w:ind w:left="454" w:hanging="283"/>
      </w:pPr>
      <w:r>
        <w:rPr>
          <w:rFonts w:ascii="Times New Roman" w:hAnsi="Times New Roman"/>
          <w:sz w:val="24"/>
        </w:rPr>
        <w:t>resultados detallados de pruebas.</w:t>
      </w:r>
    </w:p>
    <w:sectPr w:rsidR="00FC693F" w:rsidRPr="0006063C" w:rsidSect="00034616">
      <w:headerReference w:type="default" r:id="rId12"/>
      <w:footerReference w:type="default" r:id="rId13"/>
      <w:pgSz w:w="12240" w:h="15840"/>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6B7280"/>
        <w:sz w:val="18"/>
      </w:rPr>
      <w:t>Perfil de Proyecto de Grado · R3Foresta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abstractNum w:abstractNumId="12">
    <w:multiLevelType w:val="singleLevel"/>
    <w:lvl w:ilvl="0">
      <w:start w:val="1"/>
      <w:numFmt w:val="bullet"/>
      <w:lvlText w:val="•"/>
      <w:lvlJc w:val="left"/>
      <w:pPr>
        <w:tabs>
          <w:tab w:val="num" w:pos="720"/>
        </w:tabs>
        <w:ind w:left="720" w:hanging="360"/>
      </w:pPr>
      <w:rPr>
        <w:rFonts w:ascii="Times New Roman" w:hAnsi="Times New Roman"/>
      </w:rPr>
    </w:lvl>
  </w:abstractNum>
  <w:num w:numId="13">
    <w:abstractNumId w:val="12"/>
  </w:num>
  <w:abstractNum w:abstractNumId="13">
    <w:multiLevelType w:val="singleLevel"/>
    <w:lvl w:ilvl="0">
      <w:start w:val="1"/>
      <w:numFmt w:val="bullet"/>
      <w:lvlText w:val="•"/>
      <w:lvlJc w:val="left"/>
      <w:pPr>
        <w:tabs>
          <w:tab w:val="num" w:pos="720"/>
        </w:tabs>
        <w:ind w:left="720" w:hanging="360"/>
      </w:pPr>
      <w:rPr>
        <w:rFonts w:ascii="Times New Roman" w:hAnsi="Times New Roman"/>
      </w:rPr>
    </w:lvl>
  </w:abstractNum>
  <w:num w:numId="14">
    <w:abstractNumId w:val="13"/>
  </w:num>
  <w:abstractNum w:abstractNumId="14">
    <w:multiLevelType w:val="singleLevel"/>
    <w:lvl w:ilvl="0">
      <w:start w:val="1"/>
      <w:numFmt w:val="bullet"/>
      <w:lvlText w:val="•"/>
      <w:lvlJc w:val="left"/>
      <w:pPr>
        <w:tabs>
          <w:tab w:val="num" w:pos="720"/>
        </w:tabs>
        <w:ind w:left="720" w:hanging="360"/>
      </w:pPr>
      <w:rPr>
        <w:rFonts w:ascii="Times New Roman" w:hAnsi="Times New Roman"/>
      </w:rPr>
    </w:lvl>
  </w:abstractNum>
  <w:num w:numId="15">
    <w:abstractNumId w:val="14"/>
  </w:num>
  <w:abstractNum w:abstractNumId="15">
    <w:multiLevelType w:val="singleLevel"/>
    <w:lvl w:ilvl="0">
      <w:start w:val="1"/>
      <w:numFmt w:val="bullet"/>
      <w:lvlText w:val="•"/>
      <w:lvlJc w:val="left"/>
      <w:pPr>
        <w:tabs>
          <w:tab w:val="num" w:pos="720"/>
        </w:tabs>
        <w:ind w:left="720" w:hanging="360"/>
      </w:pPr>
      <w:rPr>
        <w:rFonts w:ascii="Times New Roman" w:hAnsi="Times New Roman"/>
      </w:rPr>
    </w:lvl>
  </w:abstractNum>
  <w:num w:numId="16">
    <w:abstractNumId w:val="15"/>
  </w:num>
  <w:abstractNum w:abstractNumId="16">
    <w:multiLevelType w:val="singleLevel"/>
    <w:lvl w:ilvl="0">
      <w:start w:val="1"/>
      <w:numFmt w:val="bullet"/>
      <w:lvlText w:val="•"/>
      <w:lvlJc w:val="left"/>
      <w:pPr>
        <w:tabs>
          <w:tab w:val="num" w:pos="720"/>
        </w:tabs>
        <w:ind w:left="720" w:hanging="360"/>
      </w:pPr>
      <w:rPr>
        <w:rFonts w:ascii="Times New Roman" w:hAnsi="Times New Roman"/>
      </w:rPr>
    </w:lvl>
  </w:abstractNum>
  <w:num w:numId="17">
    <w:abstractNumId w:val="16"/>
  </w:num>
  <w:abstractNum w:abstractNumId="17">
    <w:multiLevelType w:val="singleLevel"/>
    <w:lvl w:ilvl="0">
      <w:start w:val="1"/>
      <w:numFmt w:val="bullet"/>
      <w:lvlText w:val="•"/>
      <w:lvlJc w:val="left"/>
      <w:pPr>
        <w:tabs>
          <w:tab w:val="num" w:pos="720"/>
        </w:tabs>
        <w:ind w:left="720" w:hanging="360"/>
      </w:pPr>
      <w:rPr>
        <w:rFonts w:ascii="Times New Roman" w:hAnsi="Times New Roman"/>
      </w:rPr>
    </w:lvl>
  </w:abstractNum>
  <w:num w:numId="18">
    <w:abstractNumId w:val="17"/>
  </w:num>
  <w:abstractNum w:abstractNumId="18">
    <w:multiLevelType w:val="singleLevel"/>
    <w:lvl w:ilvl="0">
      <w:start w:val="1"/>
      <w:numFmt w:val="bullet"/>
      <w:lvlText w:val="•"/>
      <w:lvlJc w:val="left"/>
      <w:pPr>
        <w:tabs>
          <w:tab w:val="num" w:pos="720"/>
        </w:tabs>
        <w:ind w:left="720" w:hanging="360"/>
      </w:pPr>
      <w:rPr>
        <w:rFonts w:ascii="Times New Roman" w:hAnsi="Times New Roman"/>
      </w:r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276" w:lineRule="auto"/>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ind w:firstLine="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76" w:lineRule="auto"/>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center"/>
    </w:pPr>
    <w:rPr>
      <w:rFonts w:ascii="Times New Roman" w:hAnsi="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yperlink" Target="https://doi.org/10.1109/TSE.1975.6312870" TargetMode="External"/><Relationship Id="rId20" Type="http://schemas.openxmlformats.org/officeDocument/2006/relationships/hyperlink" Target="https://www.umsa.bo/documents/1811251/1811998/5%2BREGLAMENTO%2BDE%2BTIPOS%2BY%2BMODALIDADES%2BDE%2BGRADUACI%C3%93N.pdf/e959340f-87f2-ef65-e2df-f52ef89a2a53" TargetMode="External"/><Relationship Id="rId21" Type="http://schemas.openxmlformats.org/officeDocument/2006/relationships/hyperlink" Target="https://doi.org/10.1016/j.biosystemseng.2013.09.006" TargetMode="External"/><Relationship Id="rId22" Type="http://schemas.openxmlformats.org/officeDocument/2006/relationships/hyperlink" Target="https://doi.org/10.1108/00070701211241590" TargetMode="External"/><Relationship Id="rId23" Type="http://schemas.openxmlformats.org/officeDocument/2006/relationships/hyperlink" Target="https://www.fao.org/sustainable-forest-management-toolbox/modules/forest-reproductive-material/en" TargetMode="External"/><Relationship Id="rId24" Type="http://schemas.openxmlformats.org/officeDocument/2006/relationships/hyperlink" Target="https://doi.org/10.1109/ICRE.1994.292398" TargetMode="External"/><Relationship Id="rId25" Type="http://schemas.openxmlformats.org/officeDocument/2006/relationships/hyperlink" Target="https://doi.org/10.1145/289.291" TargetMode="External"/><Relationship Id="rId26" Type="http://schemas.openxmlformats.org/officeDocument/2006/relationships/hyperlink" Target="https://doi.org/10.2307/25148625" TargetMode="External"/><Relationship Id="rId27" Type="http://schemas.openxmlformats.org/officeDocument/2006/relationships/hyperlink" Target="https://www.computer.org/education/bodies-of-knowledge/software-engineering/v4" TargetMode="External"/><Relationship Id="rId28" Type="http://schemas.openxmlformats.org/officeDocument/2006/relationships/hyperlink" Target="https://www.iso.org/standard/72532.html" TargetMode="External"/><Relationship Id="rId29" Type="http://schemas.openxmlformats.org/officeDocument/2006/relationships/hyperlink" Target="https://www.iso.org/standard/78176.html" TargetMode="External"/><Relationship Id="rId30" Type="http://schemas.openxmlformats.org/officeDocument/2006/relationships/hyperlink" Target="https://www.iso.org/standard/90219.html" TargetMode="External"/><Relationship Id="rId31" Type="http://schemas.openxmlformats.org/officeDocument/2006/relationships/hyperlink" Target="https://doi.org/10.1109/MC.2003.1204375" TargetMode="External"/><Relationship Id="rId32" Type="http://schemas.openxmlformats.org/officeDocument/2006/relationships/hyperlink" Target="https://repositorio.upea.bo/jspui/handle/123456789/172" TargetMode="External"/><Relationship Id="rId33" Type="http://schemas.openxmlformats.org/officeDocument/2006/relationships/hyperlink" Target="https://doi.org/10.33996/revistaingenieria.v6i16.100" TargetMode="External"/><Relationship Id="rId34" Type="http://schemas.openxmlformats.org/officeDocument/2006/relationships/hyperlink" Target="https://doi.org/10.1109/2.161279" TargetMode="External"/><Relationship Id="rId35" Type="http://schemas.openxmlformats.org/officeDocument/2006/relationships/hyperlink" Target="https://doi.org/10.1016/S0924-2244(98" TargetMode="External"/><Relationship Id="rId36" Type="http://schemas.openxmlformats.org/officeDocument/2006/relationships/hyperlink" Target="https://doi.org/10.1016/j.tifs.2012.10.003" TargetMode="External"/><Relationship Id="rId37" Type="http://schemas.openxmlformats.org/officeDocument/2006/relationships/hyperlink" Target="https://doi.org/10.1016/j.tifs.2018.05.004" TargetMode="External"/><Relationship Id="rId38" Type="http://schemas.openxmlformats.org/officeDocument/2006/relationships/hyperlink" Target="https://doi.org/10.2753/MIS0742-1222240302" TargetMode="External"/><Relationship Id="rId39" Type="http://schemas.openxmlformats.org/officeDocument/2006/relationships/hyperlink" Target="https://doi.org/10.1007/s10664-008-9102-8" TargetMode="External"/><Relationship Id="rId40" Type="http://schemas.openxmlformats.org/officeDocument/2006/relationships/hyperlink" Target="https://repositorio.upt.edu.pe/handle/20.500.12969/3690" TargetMode="External"/><Relationship Id="rId41" Type="http://schemas.openxmlformats.org/officeDocument/2006/relationships/hyperlink" Target="https://doi.org/10.1007/978-3-319-10491-1_5" TargetMode="External"/><Relationship Id="rId42" Type="http://schemas.openxmlformats.org/officeDocument/2006/relationships/hyperlink" Target="https://doi.org/10.1016/j.jfoodeng.2010.11.012" TargetMode="External"/><Relationship Id="rId43" Type="http://schemas.openxmlformats.org/officeDocument/2006/relationships/hyperlink" Target="https://www.w3.org/TR/prov-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de Grado R3Foresta</dc:title>
  <dc:subject>Sistema de trazabilidad de material vegetal para reforestación: caso R3Foresta</dc:subject>
  <dc:creator>Pablo Andres Fernandez Cari</dc:creator>
  <cp:keywords>trazabilidad, cadena de custodia, material vegetal, reforestación, R3Foresta</cp:keywords>
  <dc:description>generated by python-docx</dc:description>
  <cp:lastModifiedBy/>
  <cp:revision>1</cp:revision>
  <dcterms:created xsi:type="dcterms:W3CDTF">2013-12-23T23:15:00Z</dcterms:created>
  <dcterms:modified xsi:type="dcterms:W3CDTF">2013-12-23T23:15:00Z</dcterms:modified>
  <cp:category/>
</cp:coreProperties>
</file>