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left"/>
      </w:pPr>
      <w:r>
        <w:rPr>
          <w:rFonts w:ascii="Calibri" w:hAnsi="Calibri"/>
          <w:b/>
          <w:i w:val="0"/>
          <w:color w:val="2D3848"/>
          <w:sz w:val="84"/>
        </w:rPr>
        <w:t>E2I VoIP</w:t>
      </w:r>
    </w:p>
    <w:p>
      <w:r>
        <w:rPr>
          <w:rFonts w:ascii="Calibri" w:hAnsi="Calibri"/>
          <w:b w:val="0"/>
          <w:i/>
          <w:color w:val="818096"/>
          <w:sz w:val="28"/>
        </w:rPr>
        <w:t>La téléphonie d'entreprise, simple et évolutive.</w:t>
      </w:r>
    </w:p>
    <w:p>
      <w:pPr>
        <w:pBdr>
          <w:bottom w:val="single" w:sz="24" w:space="1" w:color="E53E3E"/>
        </w:pBdr>
      </w:pPr>
    </w:p>
    <w:p>
      <w:pPr>
        <w:spacing w:before="800"/>
      </w:pPr>
      <w:r>
        <w:rPr>
          <w:rFonts w:ascii="Calibri" w:hAnsi="Calibri"/>
          <w:b/>
          <w:i w:val="0"/>
          <w:color w:val="E53E3E"/>
          <w:sz w:val="52"/>
        </w:rPr>
        <w:t>Spécification — Stratégie de Vente &amp; Marketing</w:t>
      </w:r>
    </w:p>
    <w:p>
      <w:r>
        <w:rPr>
          <w:rFonts w:ascii="Calibri" w:hAnsi="Calibri"/>
          <w:b w:val="0"/>
          <w:i w:val="0"/>
          <w:color w:val="1F2937"/>
          <w:sz w:val="28"/>
        </w:rPr>
        <w:t>Document de référence interne</w:t>
      </w:r>
    </w:p>
    <w:p>
      <w:pPr>
        <w:spacing w:before="1200"/>
      </w:pPr>
      <w:r>
        <w:rPr>
          <w:rFonts w:ascii="Calibri" w:hAnsi="Calibri"/>
          <w:b/>
          <w:i w:val="0"/>
          <w:color w:val="2D3848"/>
          <w:sz w:val="22"/>
        </w:rPr>
        <w:t xml:space="preserve">Version : </w:t>
      </w:r>
      <w:r>
        <w:rPr>
          <w:rFonts w:ascii="Calibri" w:hAnsi="Calibri"/>
          <w:b w:val="0"/>
          <w:i w:val="0"/>
          <w:color w:val="1F2937"/>
          <w:sz w:val="22"/>
        </w:rPr>
        <w:t>1.0</w:t>
        <w:br/>
      </w:r>
      <w:r>
        <w:rPr>
          <w:rFonts w:ascii="Calibri" w:hAnsi="Calibri"/>
          <w:b/>
          <w:i w:val="0"/>
          <w:color w:val="2D3848"/>
          <w:sz w:val="22"/>
        </w:rPr>
        <w:t xml:space="preserve">Date : </w:t>
      </w:r>
      <w:r>
        <w:rPr>
          <w:rFonts w:ascii="Calibri" w:hAnsi="Calibri"/>
          <w:b w:val="0"/>
          <w:i w:val="0"/>
          <w:color w:val="1F2937"/>
          <w:sz w:val="22"/>
        </w:rPr>
        <w:t>28 avril 2026</w:t>
        <w:br/>
      </w:r>
      <w:r>
        <w:rPr>
          <w:rFonts w:ascii="Calibri" w:hAnsi="Calibri"/>
          <w:b/>
          <w:i w:val="0"/>
          <w:color w:val="2D3848"/>
          <w:sz w:val="22"/>
        </w:rPr>
        <w:t xml:space="preserve">Auteur : </w:t>
      </w:r>
      <w:r>
        <w:rPr>
          <w:rFonts w:ascii="Calibri" w:hAnsi="Calibri"/>
          <w:b w:val="0"/>
          <w:i w:val="0"/>
          <w:color w:val="1F2937"/>
          <w:sz w:val="22"/>
        </w:rPr>
        <w:t>Alban Renier — Direction</w:t>
        <w:br/>
      </w:r>
      <w:r>
        <w:rPr>
          <w:rFonts w:ascii="Calibri" w:hAnsi="Calibri"/>
          <w:b/>
          <w:i w:val="0"/>
          <w:color w:val="2D3848"/>
          <w:sz w:val="22"/>
        </w:rPr>
        <w:t xml:space="preserve">Statut : </w:t>
      </w:r>
      <w:r>
        <w:rPr>
          <w:rFonts w:ascii="Calibri" w:hAnsi="Calibri"/>
          <w:b w:val="0"/>
          <w:i w:val="0"/>
          <w:color w:val="1F2937"/>
          <w:sz w:val="22"/>
        </w:rPr>
        <w:t>Document de référence — Diffusion interne</w:t>
        <w:br/>
      </w:r>
    </w:p>
    <w:p>
      <w:pPr>
        <w:spacing w:before="400"/>
      </w:pPr>
      <w:r>
        <w:rPr>
          <w:rFonts w:ascii="Calibri" w:hAnsi="Calibri"/>
          <w:b/>
          <w:i w:val="0"/>
          <w:color w:val="2D3848"/>
          <w:sz w:val="24"/>
        </w:rPr>
        <w:t>Sources consolidées</w:t>
      </w:r>
    </w:p>
    <w:p>
      <w:pPr>
        <w:pStyle w:val="ListBullet"/>
      </w:pPr>
      <w:r>
        <w:rPr>
          <w:rFonts w:ascii="Calibri" w:hAnsi="Calibri"/>
          <w:b w:val="0"/>
          <w:i w:val="0"/>
          <w:color w:val="1F2937"/>
          <w:sz w:val="20"/>
        </w:rPr>
        <w:t>docs/BrandBrief_e2ivoip.md — positionnement, ICP, offres, processus</w:t>
      </w:r>
    </w:p>
    <w:p>
      <w:pPr>
        <w:pStyle w:val="ListBullet"/>
      </w:pPr>
      <w:r>
        <w:rPr>
          <w:rFonts w:ascii="Calibri" w:hAnsi="Calibri"/>
          <w:b w:val="0"/>
          <w:i w:val="0"/>
          <w:color w:val="1F2937"/>
          <w:sz w:val="20"/>
        </w:rPr>
        <w:t>.planning/PROJECT.md — objectifs business, KPIs, contraintes</w:t>
      </w:r>
    </w:p>
    <w:p>
      <w:pPr>
        <w:pStyle w:val="ListBullet"/>
      </w:pPr>
      <w:r>
        <w:rPr>
          <w:rFonts w:ascii="Calibri" w:hAnsi="Calibri"/>
          <w:b w:val="0"/>
          <w:i w:val="0"/>
          <w:color w:val="1F2937"/>
          <w:sz w:val="20"/>
        </w:rPr>
        <w:t>.planning/ROADMAP.md — phases d'activation digitale</w:t>
      </w:r>
    </w:p>
    <w:p>
      <w:pPr>
        <w:pStyle w:val="ListBullet"/>
      </w:pPr>
      <w:r>
        <w:rPr>
          <w:rFonts w:ascii="Calibri" w:hAnsi="Calibri"/>
          <w:b w:val="0"/>
          <w:i w:val="0"/>
          <w:color w:val="1F2937"/>
          <w:sz w:val="20"/>
        </w:rPr>
        <w:t>.planning/REQUIREMENTS.md — exigences mesurables</w:t>
      </w:r>
    </w:p>
    <w:p>
      <w:pPr>
        <w:pStyle w:val="ListBullet"/>
      </w:pPr>
      <w:r>
        <w:rPr>
          <w:rFonts w:ascii="Calibri" w:hAnsi="Calibri"/>
          <w:b w:val="0"/>
          <w:i w:val="0"/>
          <w:color w:val="1F2937"/>
          <w:sz w:val="20"/>
        </w:rPr>
        <w:t>Travaux GSD (Get Shit Done) — Phases 1, 2, 3</w:t>
      </w:r>
    </w:p>
    <w:p>
      <w:pPr>
        <w:pStyle w:val="ListBullet"/>
      </w:pPr>
      <w:r>
        <w:rPr>
          <w:rFonts w:ascii="Calibri" w:hAnsi="Calibri"/>
          <w:b w:val="0"/>
          <w:i w:val="0"/>
          <w:color w:val="1F2937"/>
          <w:sz w:val="20"/>
        </w:rPr>
        <w:t>Travaux Superpowers — brainstorming, plans d'exécution</w:t>
      </w:r>
    </w:p>
    <w:p>
      <w:r>
        <w:br w:type="page"/>
      </w:r>
    </w:p>
    <w:p>
      <w:pPr>
        <w:pStyle w:val="Heading1"/>
        <w:pBdr>
          <w:bottom w:val="single" w:sz="16" w:space="1" w:color="E53E3E"/>
        </w:pBdr>
      </w:pPr>
      <w:r>
        <w:t>1. Synthèse Exécutive</w:t>
      </w:r>
    </w:p>
    <w:p>
      <w:r>
        <w:rPr>
          <w:rFonts w:ascii="Calibri" w:hAnsi="Calibri"/>
          <w:b w:val="0"/>
          <w:i w:val="0"/>
          <w:color w:val="1F2937"/>
          <w:sz w:val="22"/>
        </w:rPr>
        <w:t>E2I VoIP est un opérateur de services télécom et intégrateur VoIP spécialisé dans l'accompagnement des PME et groupes multisites en téléphonie IP, avec une double implantation Antilles-Guyane / La Réunion / Métropole et une expertise certifiée 3CX et Yeastar.</w:t>
      </w:r>
    </w:p>
    <w:p>
      <w:r>
        <w:rPr>
          <w:rFonts w:ascii="Calibri" w:hAnsi="Calibri"/>
          <w:b/>
          <w:i w:val="0"/>
          <w:color w:val="1F2937"/>
          <w:sz w:val="22"/>
        </w:rPr>
        <w:t>La stratégie commerciale s'articule autour de trois leviers :</w:t>
      </w:r>
    </w:p>
    <w:p>
      <w:pPr>
        <w:pStyle w:val="ListBullet"/>
      </w:pPr>
      <w:r>
        <w:rPr>
          <w:rFonts w:ascii="Calibri" w:hAnsi="Calibri"/>
          <w:b w:val="0"/>
          <w:i w:val="0"/>
          <w:color w:val="1F2937"/>
          <w:sz w:val="22"/>
        </w:rPr>
        <w:t>Différenciation par le Customer Success — un Customer Success Manager dédié à chaque client, plutôt qu'une logique transactionnelle.</w:t>
      </w:r>
    </w:p>
    <w:p>
      <w:pPr>
        <w:pStyle w:val="ListBullet"/>
      </w:pPr>
      <w:r>
        <w:rPr>
          <w:rFonts w:ascii="Calibri" w:hAnsi="Calibri"/>
          <w:b w:val="0"/>
          <w:i w:val="0"/>
          <w:color w:val="1F2937"/>
          <w:sz w:val="22"/>
        </w:rPr>
        <w:t>Proximité géographique — équipes locales dans les DROM et en Métropole, support technique en interne.</w:t>
      </w:r>
    </w:p>
    <w:p>
      <w:pPr>
        <w:pStyle w:val="ListBullet"/>
      </w:pPr>
      <w:r>
        <w:rPr>
          <w:rFonts w:ascii="Calibri" w:hAnsi="Calibri"/>
          <w:b w:val="0"/>
          <w:i w:val="0"/>
          <w:color w:val="1F2937"/>
          <w:sz w:val="22"/>
        </w:rPr>
        <w:t>Profondeur technique — certification 3CX Silver, maîtrise du Call Flow Designer (CFD), intégrations CRM avancées.</w:t>
      </w:r>
    </w:p>
    <w:p>
      <w:r>
        <w:rPr>
          <w:rFonts w:ascii="Calibri" w:hAnsi="Calibri"/>
          <w:b w:val="0"/>
          <w:i w:val="0"/>
          <w:color w:val="1F2937"/>
          <w:sz w:val="22"/>
        </w:rPr>
        <w:t>L'objectif business à court terme (milestone Ship &amp; Measure) est de doubler les leads qualifiés générés par le site web (baseline actuelle &lt; 20 leads/mois) via :</w:t>
      </w:r>
    </w:p>
    <w:p>
      <w:pPr>
        <w:pStyle w:val="ListBullet"/>
      </w:pPr>
      <w:r>
        <w:rPr>
          <w:rFonts w:ascii="Calibri" w:hAnsi="Calibri"/>
          <w:b w:val="0"/>
          <w:i w:val="0"/>
          <w:color w:val="1F2937"/>
          <w:sz w:val="22"/>
        </w:rPr>
        <w:t>Le déploiement du redesign Monolithe 2026</w:t>
      </w:r>
    </w:p>
    <w:p>
      <w:pPr>
        <w:pStyle w:val="ListBullet"/>
      </w:pPr>
      <w:r>
        <w:rPr>
          <w:rFonts w:ascii="Calibri" w:hAnsi="Calibri"/>
          <w:b w:val="0"/>
          <w:i w:val="0"/>
          <w:color w:val="1F2937"/>
          <w:sz w:val="22"/>
        </w:rPr>
        <w:t>L'ajout de social proof crédible (témoignages réels + badge 3CX)</w:t>
      </w:r>
    </w:p>
    <w:p>
      <w:pPr>
        <w:pStyle w:val="ListBullet"/>
      </w:pPr>
      <w:r>
        <w:rPr>
          <w:rFonts w:ascii="Calibri" w:hAnsi="Calibri"/>
          <w:b w:val="0"/>
          <w:i w:val="0"/>
          <w:color w:val="1F2937"/>
          <w:sz w:val="22"/>
        </w:rPr>
        <w:t>L'optimisation des chemins de conversion (1 CTA primaire above-the-fold par page)</w:t>
      </w:r>
    </w:p>
    <w:p>
      <w:pPr>
        <w:pStyle w:val="ListBullet"/>
      </w:pPr>
      <w:r>
        <w:rPr>
          <w:rFonts w:ascii="Calibri" w:hAnsi="Calibri"/>
          <w:b w:val="0"/>
          <w:i w:val="0"/>
          <w:color w:val="1F2937"/>
          <w:sz w:val="22"/>
        </w:rPr>
        <w:t>L'instrumentation analytics PostHog pour mesurer avant/après</w:t>
      </w:r>
    </w:p>
    <w:p>
      <w:pPr>
        <w:pStyle w:val="Heading1"/>
        <w:pBdr>
          <w:bottom w:val="single" w:sz="16" w:space="1" w:color="E53E3E"/>
        </w:pBdr>
      </w:pPr>
      <w:r>
        <w:t>2. Positionnement &amp; Promesse de Marque</w:t>
      </w:r>
    </w:p>
    <w:p>
      <w:pPr>
        <w:pStyle w:val="Heading2"/>
      </w:pPr>
      <w:r>
        <w:t>2.1. Slogan officiel</w:t>
      </w:r>
    </w:p>
    <w:p>
      <w:pPr>
        <w:spacing w:before="160" w:after="160"/>
        <w:ind w:left="340"/>
        <w:pBdr>
          <w:left w:val="single" w:sz="24" w:space="8" w:color="E53E3E"/>
        </w:pBdr>
      </w:pPr>
      <w:r>
        <w:rPr>
          <w:rFonts w:ascii="Calibri" w:hAnsi="Calibri"/>
          <w:b/>
          <w:i/>
          <w:color w:val="2D3848"/>
          <w:sz w:val="24"/>
        </w:rPr>
        <w:t>« La téléphonie d'entreprise, simple et évolutive. »</w:t>
      </w:r>
    </w:p>
    <w:p>
      <w:pPr>
        <w:pStyle w:val="Heading2"/>
      </w:pPr>
      <w:r>
        <w:t>2.2. Promesse de valeur</w:t>
      </w:r>
    </w:p>
    <w:p>
      <w:pPr>
        <w:spacing w:before="160" w:after="160"/>
        <w:ind w:left="340"/>
        <w:pBdr>
          <w:left w:val="single" w:sz="24" w:space="8" w:color="E53E3E"/>
        </w:pBdr>
      </w:pPr>
      <w:r>
        <w:rPr>
          <w:rFonts w:ascii="Calibri" w:hAnsi="Calibri"/>
          <w:b/>
          <w:i/>
          <w:color w:val="2D3848"/>
          <w:sz w:val="24"/>
        </w:rPr>
        <w:t>Chaque visiteur doit comprendre en 10 secondes qu'E2I VoIP est un expert local de confiance en téléphonie d'entreprise, et avoir un chemin clair pour prendre contact.</w:t>
      </w:r>
    </w:p>
    <w:p>
      <w:pPr>
        <w:pStyle w:val="Heading2"/>
      </w:pPr>
      <w:r>
        <w:t>2.3. Thèse compétitive</w:t>
      </w:r>
    </w:p>
    <w:p>
      <w:r>
        <w:rPr>
          <w:rFonts w:ascii="Calibri" w:hAnsi="Calibri"/>
          <w:b w:val="0"/>
          <w:i w:val="0"/>
          <w:color w:val="1F2937"/>
          <w:sz w:val="22"/>
        </w:rPr>
        <w:t>La proximité combinée à l'expertise locale bat les solutions universelles (Teams, Zoom Phone) sur le segment PME, particulièrement dans les DROM où la maîtrise des contraintes techniques territoriales est un avantage décisif.</w:t>
      </w:r>
    </w:p>
    <w:p>
      <w:pPr>
        <w:pStyle w:val="Heading2"/>
      </w:pPr>
      <w:r>
        <w:t>2.4. Différenciateur central</w:t>
      </w:r>
    </w:p>
    <w:p>
      <w:r>
        <w:rPr>
          <w:rFonts w:ascii="Calibri" w:hAnsi="Calibri"/>
          <w:b w:val="0"/>
          <w:i w:val="0"/>
          <w:color w:val="1F2937"/>
          <w:sz w:val="22"/>
        </w:rPr>
        <w:t>Là où la majorité des concurrents considèrent la signature du contrat comme un aboutissement, E2I VoIP la considère comme le début d'une collaboration. Le Customer Success Manager n'est pas un contact administratif : c'est un partenaire opérationnel engagé dans la réussite du projet client.</w:t>
      </w:r>
    </w:p>
    <w:p>
      <w:pPr>
        <w:pStyle w:val="Heading2"/>
      </w:pPr>
      <w:r>
        <w:t>2.5. Tagline alternative B2B</w:t>
      </w:r>
    </w:p>
    <w:p>
      <w:pPr>
        <w:spacing w:before="160" w:after="160"/>
        <w:ind w:left="340"/>
        <w:pBdr>
          <w:left w:val="single" w:sz="24" w:space="8" w:color="E53E3E"/>
        </w:pBdr>
      </w:pPr>
      <w:r>
        <w:rPr>
          <w:rFonts w:ascii="Calibri" w:hAnsi="Calibri"/>
          <w:b/>
          <w:i/>
          <w:color w:val="2D3848"/>
          <w:sz w:val="24"/>
        </w:rPr>
        <w:t>Votre opérateur télécom DOM &amp; Métropole. Certifié 3CX. Hébergé en France.</w:t>
      </w:r>
    </w:p>
    <w:p>
      <w:pPr>
        <w:pStyle w:val="Heading1"/>
        <w:pBdr>
          <w:bottom w:val="single" w:sz="16" w:space="1" w:color="E53E3E"/>
        </w:pBdr>
      </w:pPr>
      <w:r>
        <w:t>3. Profil Client Idéal (ICP)</w:t>
      </w:r>
    </w:p>
    <w:p>
      <w:pPr>
        <w:pStyle w:val="Heading2"/>
      </w:pPr>
      <w:r>
        <w:t>3.1. Critères de qualification</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2D3848"/>
            <w:tcBorders>
              <w:top w:val="single" w:sz="4" w:color="2D3848"/>
              <w:left w:val="single" w:sz="4" w:color="2D3848"/>
              <w:bottom w:val="single" w:sz="4" w:color="2D3848"/>
              <w:right w:val="single" w:sz="4" w:color="2D3848"/>
            </w:tcBorders>
          </w:tcPr>
          <w:p>
            <w:r/>
            <w:r>
              <w:rPr>
                <w:rFonts w:ascii="Calibri" w:hAnsi="Calibri"/>
                <w:b/>
                <w:i w:val="0"/>
                <w:color w:val="FFFFFF"/>
                <w:sz w:val="21"/>
              </w:rPr>
              <w:t>Critère</w:t>
            </w:r>
          </w:p>
        </w:tc>
        <w:tc>
          <w:tcPr>
            <w:tcW w:type="dxa" w:w="4873"/>
            <w:vAlign w:val="center"/>
            <w:shd w:val="clear" w:color="auto" w:fill="2D3848"/>
            <w:tcBorders>
              <w:top w:val="single" w:sz="4" w:color="2D3848"/>
              <w:left w:val="single" w:sz="4" w:color="2D3848"/>
              <w:bottom w:val="single" w:sz="4" w:color="2D3848"/>
              <w:right w:val="single" w:sz="4" w:color="2D3848"/>
            </w:tcBorders>
          </w:tcPr>
          <w:p>
            <w:r/>
            <w:r>
              <w:rPr>
                <w:rFonts w:ascii="Calibri" w:hAnsi="Calibri"/>
                <w:b/>
                <w:i w:val="0"/>
                <w:color w:val="FFFFFF"/>
                <w:sz w:val="21"/>
              </w:rPr>
              <w:t>Cible</w:t>
            </w:r>
          </w:p>
        </w:tc>
      </w:tr>
      <w:tr>
        <w:tc>
          <w:tcPr>
            <w:tcW w:type="dxa" w:w="4873"/>
            <w:vAlign w:val="top"/>
            <w:tcBorders>
              <w:top w:val="single" w:sz="4" w:color="D6D6DC"/>
              <w:left w:val="single" w:sz="4" w:color="D6D6DC"/>
              <w:bottom w:val="single" w:sz="4" w:color="D6D6DC"/>
              <w:right w:val="single" w:sz="4" w:color="D6D6DC"/>
            </w:tcBorders>
          </w:tcPr>
          <w:p>
            <w:r/>
            <w:r>
              <w:rPr>
                <w:rFonts w:ascii="Calibri" w:hAnsi="Calibri"/>
                <w:b w:val="0"/>
                <w:i w:val="0"/>
                <w:color w:val="1F2937"/>
                <w:sz w:val="21"/>
              </w:rPr>
              <w:t>Taille</w:t>
            </w:r>
          </w:p>
        </w:tc>
        <w:tc>
          <w:tcPr>
            <w:tcW w:type="dxa" w:w="4873"/>
            <w:vAlign w:val="top"/>
            <w:tcBorders>
              <w:top w:val="single" w:sz="4" w:color="D6D6DC"/>
              <w:left w:val="single" w:sz="4" w:color="D6D6DC"/>
              <w:bottom w:val="single" w:sz="4" w:color="D6D6DC"/>
              <w:right w:val="single" w:sz="4" w:color="D6D6DC"/>
            </w:tcBorders>
          </w:tcPr>
          <w:p>
            <w:r/>
            <w:r>
              <w:rPr>
                <w:rFonts w:ascii="Calibri" w:hAnsi="Calibri"/>
                <w:b w:val="0"/>
                <w:i w:val="0"/>
                <w:color w:val="1F2937"/>
                <w:sz w:val="21"/>
              </w:rPr>
              <w:t>TPE (≥ 3 utilisateurs) à PME / groupes (60 à 90+ utilisateurs)</w:t>
            </w:r>
          </w:p>
        </w:tc>
      </w:tr>
      <w:tr>
        <w:tc>
          <w:tcPr>
            <w:tcW w:type="dxa" w:w="4873"/>
            <w:vAlign w:val="top"/>
            <w:shd w:val="clear" w:color="auto" w:fill="F4F4F6"/>
            <w:tcBorders>
              <w:top w:val="single" w:sz="4" w:color="D6D6DC"/>
              <w:left w:val="single" w:sz="4" w:color="D6D6DC"/>
              <w:bottom w:val="single" w:sz="4" w:color="D6D6DC"/>
              <w:right w:val="single" w:sz="4" w:color="D6D6DC"/>
            </w:tcBorders>
          </w:tcPr>
          <w:p>
            <w:r/>
            <w:r>
              <w:rPr>
                <w:rFonts w:ascii="Calibri" w:hAnsi="Calibri"/>
                <w:b w:val="0"/>
                <w:i w:val="0"/>
                <w:color w:val="1F2937"/>
                <w:sz w:val="21"/>
              </w:rPr>
              <w:t>Géographie</w:t>
            </w:r>
          </w:p>
        </w:tc>
        <w:tc>
          <w:tcPr>
            <w:tcW w:type="dxa" w:w="4873"/>
            <w:vAlign w:val="top"/>
            <w:shd w:val="clear" w:color="auto" w:fill="F4F4F6"/>
            <w:tcBorders>
              <w:top w:val="single" w:sz="4" w:color="D6D6DC"/>
              <w:left w:val="single" w:sz="4" w:color="D6D6DC"/>
              <w:bottom w:val="single" w:sz="4" w:color="D6D6DC"/>
              <w:right w:val="single" w:sz="4" w:color="D6D6DC"/>
            </w:tcBorders>
          </w:tcPr>
          <w:p>
            <w:r/>
            <w:r>
              <w:rPr>
                <w:rFonts w:ascii="Calibri" w:hAnsi="Calibri"/>
                <w:b w:val="0"/>
                <w:i w:val="0"/>
                <w:color w:val="1F2937"/>
                <w:sz w:val="21"/>
              </w:rPr>
              <w:t>Guadeloupe, Martinique, Guyane, La Réunion, France métropolitaine</w:t>
            </w:r>
          </w:p>
        </w:tc>
      </w:tr>
      <w:tr>
        <w:tc>
          <w:tcPr>
            <w:tcW w:type="dxa" w:w="4873"/>
            <w:vAlign w:val="top"/>
            <w:tcBorders>
              <w:top w:val="single" w:sz="4" w:color="D6D6DC"/>
              <w:left w:val="single" w:sz="4" w:color="D6D6DC"/>
              <w:bottom w:val="single" w:sz="4" w:color="D6D6DC"/>
              <w:right w:val="single" w:sz="4" w:color="D6D6DC"/>
            </w:tcBorders>
          </w:tcPr>
          <w:p>
            <w:r/>
            <w:r>
              <w:rPr>
                <w:rFonts w:ascii="Calibri" w:hAnsi="Calibri"/>
                <w:b w:val="0"/>
                <w:i w:val="0"/>
                <w:color w:val="1F2937"/>
                <w:sz w:val="21"/>
              </w:rPr>
              <w:t>Maturité</w:t>
            </w:r>
          </w:p>
        </w:tc>
        <w:tc>
          <w:tcPr>
            <w:tcW w:type="dxa" w:w="4873"/>
            <w:vAlign w:val="top"/>
            <w:tcBorders>
              <w:top w:val="single" w:sz="4" w:color="D6D6DC"/>
              <w:left w:val="single" w:sz="4" w:color="D6D6DC"/>
              <w:bottom w:val="single" w:sz="4" w:color="D6D6DC"/>
              <w:right w:val="single" w:sz="4" w:color="D6D6DC"/>
            </w:tcBorders>
          </w:tcPr>
          <w:p>
            <w:r/>
            <w:r>
              <w:rPr>
                <w:rFonts w:ascii="Calibri" w:hAnsi="Calibri"/>
                <w:b w:val="0"/>
                <w:i w:val="0"/>
                <w:color w:val="1F2937"/>
                <w:sz w:val="21"/>
              </w:rPr>
              <w:t>5+ ans d'activité (préférence pour relations durables)</w:t>
            </w:r>
          </w:p>
        </w:tc>
      </w:tr>
      <w:tr>
        <w:tc>
          <w:tcPr>
            <w:tcW w:type="dxa" w:w="4873"/>
            <w:vAlign w:val="top"/>
            <w:shd w:val="clear" w:color="auto" w:fill="F4F4F6"/>
            <w:tcBorders>
              <w:top w:val="single" w:sz="4" w:color="D6D6DC"/>
              <w:left w:val="single" w:sz="4" w:color="D6D6DC"/>
              <w:bottom w:val="single" w:sz="4" w:color="D6D6DC"/>
              <w:right w:val="single" w:sz="4" w:color="D6D6DC"/>
            </w:tcBorders>
          </w:tcPr>
          <w:p>
            <w:r/>
            <w:r>
              <w:rPr>
                <w:rFonts w:ascii="Calibri" w:hAnsi="Calibri"/>
                <w:b w:val="0"/>
                <w:i w:val="0"/>
                <w:color w:val="1F2937"/>
                <w:sz w:val="21"/>
              </w:rPr>
              <w:t>Multisite</w:t>
            </w:r>
          </w:p>
        </w:tc>
        <w:tc>
          <w:tcPr>
            <w:tcW w:type="dxa" w:w="4873"/>
            <w:vAlign w:val="top"/>
            <w:shd w:val="clear" w:color="auto" w:fill="F4F4F6"/>
            <w:tcBorders>
              <w:top w:val="single" w:sz="4" w:color="D6D6DC"/>
              <w:left w:val="single" w:sz="4" w:color="D6D6DC"/>
              <w:bottom w:val="single" w:sz="4" w:color="D6D6DC"/>
              <w:right w:val="single" w:sz="4" w:color="D6D6DC"/>
            </w:tcBorders>
          </w:tcPr>
          <w:p>
            <w:r/>
            <w:r>
              <w:rPr>
                <w:rFonts w:ascii="Calibri" w:hAnsi="Calibri"/>
                <w:b w:val="0"/>
                <w:i w:val="0"/>
                <w:color w:val="1F2937"/>
                <w:sz w:val="21"/>
              </w:rPr>
              <w:t>Forte valeur si présence DROM + Métropole simultanée</w:t>
            </w:r>
          </w:p>
        </w:tc>
      </w:tr>
      <w:tr>
        <w:tc>
          <w:tcPr>
            <w:tcW w:type="dxa" w:w="4873"/>
            <w:vAlign w:val="top"/>
            <w:tcBorders>
              <w:top w:val="single" w:sz="4" w:color="D6D6DC"/>
              <w:left w:val="single" w:sz="4" w:color="D6D6DC"/>
              <w:bottom w:val="single" w:sz="4" w:color="D6D6DC"/>
              <w:right w:val="single" w:sz="4" w:color="D6D6DC"/>
            </w:tcBorders>
          </w:tcPr>
          <w:p>
            <w:r/>
            <w:r>
              <w:rPr>
                <w:rFonts w:ascii="Calibri" w:hAnsi="Calibri"/>
                <w:b w:val="0"/>
                <w:i w:val="0"/>
                <w:color w:val="1F2937"/>
                <w:sz w:val="21"/>
              </w:rPr>
              <w:t>Stack</w:t>
            </w:r>
          </w:p>
        </w:tc>
        <w:tc>
          <w:tcPr>
            <w:tcW w:type="dxa" w:w="4873"/>
            <w:vAlign w:val="top"/>
            <w:tcBorders>
              <w:top w:val="single" w:sz="4" w:color="D6D6DC"/>
              <w:left w:val="single" w:sz="4" w:color="D6D6DC"/>
              <w:bottom w:val="single" w:sz="4" w:color="D6D6DC"/>
              <w:right w:val="single" w:sz="4" w:color="D6D6DC"/>
            </w:tcBorders>
          </w:tcPr>
          <w:p>
            <w:r/>
            <w:r>
              <w:rPr>
                <w:rFonts w:ascii="Calibri" w:hAnsi="Calibri"/>
                <w:b w:val="0"/>
                <w:i w:val="0"/>
                <w:color w:val="1F2937"/>
                <w:sz w:val="21"/>
              </w:rPr>
              <w:t>Migration cuivre → VoIP, remplacement PABX legacy, modernisation</w:t>
            </w:r>
          </w:p>
        </w:tc>
      </w:tr>
    </w:tbl>
    <w:p>
      <w:pPr>
        <w:spacing w:after="40"/>
      </w:pPr>
    </w:p>
    <w:p>
      <w:pPr>
        <w:pStyle w:val="Heading2"/>
      </w:pPr>
      <w:r>
        <w:t>3.2. Verticales prioritaires</w:t>
      </w:r>
    </w:p>
    <w:p>
      <w:pPr>
        <w:pStyle w:val="ListBullet"/>
      </w:pPr>
      <w:r>
        <w:rPr>
          <w:rFonts w:ascii="Calibri" w:hAnsi="Calibri"/>
          <w:b w:val="0"/>
          <w:i w:val="0"/>
          <w:color w:val="1F2937"/>
          <w:sz w:val="22"/>
        </w:rPr>
        <w:t>Cabinets d'expertise : avocats, experts-comptables, bureaux d'études (BTP), conseils, assurances</w:t>
      </w:r>
    </w:p>
    <w:p>
      <w:pPr>
        <w:pStyle w:val="ListBullet"/>
      </w:pPr>
      <w:r>
        <w:rPr>
          <w:rFonts w:ascii="Calibri" w:hAnsi="Calibri"/>
          <w:b w:val="0"/>
          <w:i w:val="0"/>
          <w:color w:val="1F2937"/>
          <w:sz w:val="22"/>
        </w:rPr>
        <w:t>Santé &amp; Médico-social : cliniques, cabinets médicaux, maisons de santé, EHPAD</w:t>
      </w:r>
    </w:p>
    <w:p>
      <w:pPr>
        <w:pStyle w:val="ListBullet"/>
      </w:pPr>
      <w:r>
        <w:rPr>
          <w:rFonts w:ascii="Calibri" w:hAnsi="Calibri"/>
          <w:b w:val="0"/>
          <w:i w:val="0"/>
          <w:color w:val="1F2937"/>
          <w:sz w:val="22"/>
        </w:rPr>
        <w:t>Commerce &amp; Distribution : enseignes locales, bijouteries (ex. Eurogold/Titeca BEAUPORT), franchises</w:t>
      </w:r>
    </w:p>
    <w:p>
      <w:pPr>
        <w:pStyle w:val="ListBullet"/>
      </w:pPr>
      <w:r>
        <w:rPr>
          <w:rFonts w:ascii="Calibri" w:hAnsi="Calibri"/>
          <w:b w:val="0"/>
          <w:i w:val="0"/>
          <w:color w:val="1F2937"/>
          <w:sz w:val="22"/>
        </w:rPr>
        <w:t>Hôtellerie &amp; Restauration</w:t>
      </w:r>
    </w:p>
    <w:p>
      <w:pPr>
        <w:pStyle w:val="ListBullet"/>
      </w:pPr>
      <w:r>
        <w:rPr>
          <w:rFonts w:ascii="Calibri" w:hAnsi="Calibri"/>
          <w:b w:val="0"/>
          <w:i w:val="0"/>
          <w:color w:val="1F2937"/>
          <w:sz w:val="22"/>
        </w:rPr>
        <w:t>Administrations &amp; collectivités</w:t>
      </w:r>
    </w:p>
    <w:p>
      <w:pPr>
        <w:pStyle w:val="ListBullet"/>
      </w:pPr>
      <w:r>
        <w:rPr>
          <w:rFonts w:ascii="Calibri" w:hAnsi="Calibri"/>
          <w:b w:val="0"/>
          <w:i w:val="0"/>
          <w:color w:val="1F2937"/>
          <w:sz w:val="22"/>
        </w:rPr>
        <w:t>Sociétés d'infogérance (revente B2B2B)</w:t>
      </w:r>
    </w:p>
    <w:p>
      <w:pPr>
        <w:pStyle w:val="ListBullet"/>
      </w:pPr>
      <w:r>
        <w:rPr>
          <w:rFonts w:ascii="Calibri" w:hAnsi="Calibri"/>
          <w:b w:val="0"/>
          <w:i w:val="0"/>
          <w:color w:val="1F2937"/>
          <w:sz w:val="22"/>
        </w:rPr>
        <w:t>Industrie &amp; BTP</w:t>
      </w:r>
    </w:p>
    <w:p>
      <w:pPr>
        <w:pStyle w:val="Heading2"/>
      </w:pPr>
      <w:r>
        <w:t>3.3. Persona décideur</w:t>
      </w:r>
    </w:p>
    <w:p>
      <w:r>
        <w:rPr>
          <w:rFonts w:ascii="Calibri" w:hAnsi="Calibri"/>
          <w:b/>
          <w:i w:val="0"/>
          <w:color w:val="2D3848"/>
          <w:sz w:val="22"/>
        </w:rPr>
        <w:t xml:space="preserve">Rôle : </w:t>
      </w:r>
      <w:r>
        <w:rPr>
          <w:rFonts w:ascii="Calibri" w:hAnsi="Calibri"/>
          <w:b w:val="0"/>
          <w:i w:val="0"/>
          <w:color w:val="1F2937"/>
          <w:sz w:val="22"/>
        </w:rPr>
        <w:t>Dirigeant TPE/PME, DSI, responsable IT, office manager</w:t>
      </w:r>
    </w:p>
    <w:p>
      <w:r>
        <w:rPr>
          <w:rFonts w:ascii="Calibri" w:hAnsi="Calibri"/>
          <w:b/>
          <w:i w:val="0"/>
          <w:color w:val="2D3848"/>
          <w:sz w:val="22"/>
        </w:rPr>
        <w:t xml:space="preserve">Pain points principaux : </w:t>
      </w:r>
      <w:r>
        <w:rPr>
          <w:rFonts w:ascii="Calibri" w:hAnsi="Calibri"/>
          <w:b w:val="0"/>
          <w:i w:val="0"/>
          <w:color w:val="1F2937"/>
          <w:sz w:val="22"/>
        </w:rPr>
        <w:t>Saturation système, coûts opaques, obsolescence (fin du cuivre), manque de centralisation multisite, exigences RGPD</w:t>
      </w:r>
    </w:p>
    <w:p>
      <w:r>
        <w:rPr>
          <w:rFonts w:ascii="Calibri" w:hAnsi="Calibri"/>
          <w:b/>
          <w:i w:val="0"/>
          <w:color w:val="2D3848"/>
          <w:sz w:val="22"/>
        </w:rPr>
        <w:t xml:space="preserve">Critères de décision : </w:t>
      </w:r>
      <w:r>
        <w:rPr>
          <w:rFonts w:ascii="Calibri" w:hAnsi="Calibri"/>
          <w:b w:val="0"/>
          <w:i w:val="0"/>
          <w:color w:val="1F2937"/>
          <w:sz w:val="22"/>
        </w:rPr>
        <w:t>Réactivité support · Transparence tarifaire · Certifications · Portabilité numéros · Flexibilité financière</w:t>
      </w:r>
    </w:p>
    <w:p>
      <w:pPr>
        <w:pStyle w:val="Heading1"/>
        <w:pBdr>
          <w:bottom w:val="single" w:sz="16" w:space="1" w:color="E53E3E"/>
        </w:pBdr>
      </w:pPr>
      <w:r>
        <w:t>4. Catalogue des Offres</w:t>
      </w:r>
    </w:p>
    <w:p>
      <w:pPr>
        <w:pStyle w:val="Heading2"/>
      </w:pPr>
      <w:r>
        <w:t>4.1. Trunk SIP (cœur opérateur)</w:t>
      </w:r>
    </w:p>
    <w:p>
      <w:pPr>
        <w:pStyle w:val="ListBullet"/>
      </w:pPr>
      <w:r>
        <w:rPr>
          <w:rFonts w:ascii="Calibri" w:hAnsi="Calibri"/>
          <w:b w:val="0"/>
          <w:i w:val="0"/>
          <w:color w:val="1F2937"/>
          <w:sz w:val="22"/>
        </w:rPr>
        <w:t>4 / 8 / 16 / 24 / 32 / 64+ appels simultanés</w:t>
      </w:r>
    </w:p>
    <w:p>
      <w:pPr>
        <w:pStyle w:val="ListBullet"/>
      </w:pPr>
      <w:r>
        <w:rPr>
          <w:rFonts w:ascii="Calibri" w:hAnsi="Calibri"/>
          <w:b w:val="0"/>
          <w:i w:val="0"/>
          <w:color w:val="1F2937"/>
          <w:sz w:val="22"/>
        </w:rPr>
        <w:t>Modes : au compteur (recommandé) ou illimité (sur étude)</w:t>
      </w:r>
    </w:p>
    <w:p>
      <w:pPr>
        <w:pStyle w:val="ListBullet"/>
      </w:pPr>
      <w:r>
        <w:rPr>
          <w:rFonts w:ascii="Calibri" w:hAnsi="Calibri"/>
          <w:b w:val="0"/>
          <w:i w:val="0"/>
          <w:color w:val="1F2937"/>
          <w:sz w:val="22"/>
        </w:rPr>
        <w:t>Compatibilité : 3CX, Yeastar, Grandstream, Avaya, Alcatel, FreePBX</w:t>
      </w:r>
    </w:p>
    <w:p>
      <w:pPr>
        <w:pStyle w:val="ListBullet"/>
      </w:pPr>
      <w:r>
        <w:rPr>
          <w:rFonts w:ascii="Calibri" w:hAnsi="Calibri"/>
          <w:b w:val="0"/>
          <w:i w:val="0"/>
          <w:color w:val="1F2937"/>
          <w:sz w:val="22"/>
        </w:rPr>
        <w:t>Sécurité : authentification user/password ou restriction IP</w:t>
      </w:r>
    </w:p>
    <w:p>
      <w:pPr>
        <w:pStyle w:val="ListBullet"/>
      </w:pPr>
      <w:r>
        <w:rPr>
          <w:rFonts w:ascii="Calibri" w:hAnsi="Calibri"/>
          <w:b w:val="0"/>
          <w:i w:val="0"/>
          <w:color w:val="1F2937"/>
          <w:sz w:val="22"/>
        </w:rPr>
        <w:t>Engagement : 24 mois (E2I) / 36 mois (partenariat SFR Business)</w:t>
      </w:r>
    </w:p>
    <w:p>
      <w:pPr>
        <w:pStyle w:val="ListBullet"/>
      </w:pPr>
      <w:r>
        <w:rPr>
          <w:rFonts w:ascii="Calibri" w:hAnsi="Calibri"/>
          <w:b w:val="0"/>
          <w:i w:val="0"/>
          <w:color w:val="1F2937"/>
          <w:sz w:val="22"/>
        </w:rPr>
        <w:t>Création de numéros locaux DOM + portabilité entrante</w:t>
      </w:r>
    </w:p>
    <w:p>
      <w:pPr>
        <w:pStyle w:val="Heading2"/>
      </w:pPr>
      <w:r>
        <w:t>4.2. Solutions IPBX 3CX</w:t>
      </w:r>
    </w:p>
    <w:tbl>
      <w:tblPr>
        <w:tblW w:type="auto" w:w="0"/>
        <w:jc w:val="center"/>
        <w:tblLayout w:type="autofit"/>
        <w:tblLook w:firstColumn="1" w:firstRow="1" w:lastColumn="0" w:lastRow="0" w:noHBand="0" w:noVBand="1" w:val="04A0"/>
      </w:tblPr>
      <w:tblGrid>
        <w:gridCol w:w="3249"/>
        <w:gridCol w:w="3249"/>
        <w:gridCol w:w="3249"/>
      </w:tblGrid>
      <w:tr>
        <w:tc>
          <w:tcPr>
            <w:tcW w:type="dxa" w:w="3249"/>
            <w:vAlign w:val="center"/>
            <w:shd w:val="clear" w:color="auto" w:fill="2D3848"/>
            <w:tcBorders>
              <w:top w:val="single" w:sz="4" w:color="2D3848"/>
              <w:left w:val="single" w:sz="4" w:color="2D3848"/>
              <w:bottom w:val="single" w:sz="4" w:color="2D3848"/>
              <w:right w:val="single" w:sz="4" w:color="2D3848"/>
            </w:tcBorders>
          </w:tcPr>
          <w:p>
            <w:r/>
            <w:r>
              <w:rPr>
                <w:rFonts w:ascii="Calibri" w:hAnsi="Calibri"/>
                <w:b/>
                <w:i w:val="0"/>
                <w:color w:val="FFFFFF"/>
                <w:sz w:val="21"/>
              </w:rPr>
              <w:t>Offre</w:t>
            </w:r>
          </w:p>
        </w:tc>
        <w:tc>
          <w:tcPr>
            <w:tcW w:type="dxa" w:w="3249"/>
            <w:vAlign w:val="center"/>
            <w:shd w:val="clear" w:color="auto" w:fill="2D3848"/>
            <w:tcBorders>
              <w:top w:val="single" w:sz="4" w:color="2D3848"/>
              <w:left w:val="single" w:sz="4" w:color="2D3848"/>
              <w:bottom w:val="single" w:sz="4" w:color="2D3848"/>
              <w:right w:val="single" w:sz="4" w:color="2D3848"/>
            </w:tcBorders>
          </w:tcPr>
          <w:p>
            <w:r/>
            <w:r>
              <w:rPr>
                <w:rFonts w:ascii="Calibri" w:hAnsi="Calibri"/>
                <w:b/>
                <w:i w:val="0"/>
                <w:color w:val="FFFFFF"/>
                <w:sz w:val="21"/>
              </w:rPr>
              <w:t>Cible</w:t>
            </w:r>
          </w:p>
        </w:tc>
        <w:tc>
          <w:tcPr>
            <w:tcW w:type="dxa" w:w="3249"/>
            <w:vAlign w:val="center"/>
            <w:shd w:val="clear" w:color="auto" w:fill="2D3848"/>
            <w:tcBorders>
              <w:top w:val="single" w:sz="4" w:color="2D3848"/>
              <w:left w:val="single" w:sz="4" w:color="2D3848"/>
              <w:bottom w:val="single" w:sz="4" w:color="2D3848"/>
              <w:right w:val="single" w:sz="4" w:color="2D3848"/>
            </w:tcBorders>
          </w:tcPr>
          <w:p>
            <w:r/>
            <w:r>
              <w:rPr>
                <w:rFonts w:ascii="Calibri" w:hAnsi="Calibri"/>
                <w:b/>
                <w:i w:val="0"/>
                <w:color w:val="FFFFFF"/>
                <w:sz w:val="21"/>
              </w:rPr>
              <w:t>Caractéristiques</w:t>
            </w:r>
          </w:p>
        </w:tc>
      </w:tr>
      <w:tr>
        <w:tc>
          <w:tcPr>
            <w:tcW w:type="dxa" w:w="3249"/>
            <w:vAlign w:val="top"/>
            <w:tcBorders>
              <w:top w:val="single" w:sz="4" w:color="D6D6DC"/>
              <w:left w:val="single" w:sz="4" w:color="D6D6DC"/>
              <w:bottom w:val="single" w:sz="4" w:color="D6D6DC"/>
              <w:right w:val="single" w:sz="4" w:color="D6D6DC"/>
            </w:tcBorders>
          </w:tcPr>
          <w:p>
            <w:r/>
            <w:r>
              <w:rPr>
                <w:rFonts w:ascii="Calibri" w:hAnsi="Calibri"/>
                <w:b w:val="0"/>
                <w:i w:val="0"/>
                <w:color w:val="1F2937"/>
                <w:sz w:val="21"/>
              </w:rPr>
              <w:t>3CX SMB Pro (mutualisé)</w:t>
            </w:r>
          </w:p>
        </w:tc>
        <w:tc>
          <w:tcPr>
            <w:tcW w:type="dxa" w:w="3249"/>
            <w:vAlign w:val="top"/>
            <w:tcBorders>
              <w:top w:val="single" w:sz="4" w:color="D6D6DC"/>
              <w:left w:val="single" w:sz="4" w:color="D6D6DC"/>
              <w:bottom w:val="single" w:sz="4" w:color="D6D6DC"/>
              <w:right w:val="single" w:sz="4" w:color="D6D6DC"/>
            </w:tcBorders>
          </w:tcPr>
          <w:p>
            <w:r/>
            <w:r>
              <w:rPr>
                <w:rFonts w:ascii="Calibri" w:hAnsi="Calibri"/>
                <w:b w:val="0"/>
                <w:i w:val="0"/>
                <w:color w:val="1F2937"/>
                <w:sz w:val="21"/>
              </w:rPr>
              <w:t>TPE 3-15 utilisateurs</w:t>
            </w:r>
          </w:p>
        </w:tc>
        <w:tc>
          <w:tcPr>
            <w:tcW w:type="dxa" w:w="3249"/>
            <w:vAlign w:val="top"/>
            <w:tcBorders>
              <w:top w:val="single" w:sz="4" w:color="D6D6DC"/>
              <w:left w:val="single" w:sz="4" w:color="D6D6DC"/>
              <w:bottom w:val="single" w:sz="4" w:color="D6D6DC"/>
              <w:right w:val="single" w:sz="4" w:color="D6D6DC"/>
            </w:tcBorders>
          </w:tcPr>
          <w:p>
            <w:r/>
            <w:r>
              <w:rPr>
                <w:rFonts w:ascii="Calibri" w:hAnsi="Calibri"/>
                <w:b w:val="0"/>
                <w:i w:val="0"/>
                <w:color w:val="1F2937"/>
                <w:sz w:val="21"/>
              </w:rPr>
              <w:t>Multisociétés, package clé en main, tarif accessible. Limitations volontaires : pas de CRM/M365, pas de musique perso.</w:t>
            </w:r>
          </w:p>
        </w:tc>
      </w:tr>
      <w:tr>
        <w:tc>
          <w:tcPr>
            <w:tcW w:type="dxa" w:w="3249"/>
            <w:vAlign w:val="top"/>
            <w:shd w:val="clear" w:color="auto" w:fill="F4F4F6"/>
            <w:tcBorders>
              <w:top w:val="single" w:sz="4" w:color="D6D6DC"/>
              <w:left w:val="single" w:sz="4" w:color="D6D6DC"/>
              <w:bottom w:val="single" w:sz="4" w:color="D6D6DC"/>
              <w:right w:val="single" w:sz="4" w:color="D6D6DC"/>
            </w:tcBorders>
          </w:tcPr>
          <w:p>
            <w:r/>
            <w:r>
              <w:rPr>
                <w:rFonts w:ascii="Calibri" w:hAnsi="Calibri"/>
                <w:b w:val="0"/>
                <w:i w:val="0"/>
                <w:color w:val="1F2937"/>
                <w:sz w:val="21"/>
              </w:rPr>
              <w:t>3CX Pro / Entreprise (dédié)</w:t>
            </w:r>
          </w:p>
        </w:tc>
        <w:tc>
          <w:tcPr>
            <w:tcW w:type="dxa" w:w="3249"/>
            <w:vAlign w:val="top"/>
            <w:shd w:val="clear" w:color="auto" w:fill="F4F4F6"/>
            <w:tcBorders>
              <w:top w:val="single" w:sz="4" w:color="D6D6DC"/>
              <w:left w:val="single" w:sz="4" w:color="D6D6DC"/>
              <w:bottom w:val="single" w:sz="4" w:color="D6D6DC"/>
              <w:right w:val="single" w:sz="4" w:color="D6D6DC"/>
            </w:tcBorders>
          </w:tcPr>
          <w:p>
            <w:r/>
            <w:r>
              <w:rPr>
                <w:rFonts w:ascii="Calibri" w:hAnsi="Calibri"/>
                <w:b w:val="0"/>
                <w:i w:val="0"/>
                <w:color w:val="1F2937"/>
                <w:sz w:val="21"/>
              </w:rPr>
              <w:t>PME 8+ utilisateurs, multisite</w:t>
            </w:r>
          </w:p>
        </w:tc>
        <w:tc>
          <w:tcPr>
            <w:tcW w:type="dxa" w:w="3249"/>
            <w:vAlign w:val="top"/>
            <w:shd w:val="clear" w:color="auto" w:fill="F4F4F6"/>
            <w:tcBorders>
              <w:top w:val="single" w:sz="4" w:color="D6D6DC"/>
              <w:left w:val="single" w:sz="4" w:color="D6D6DC"/>
              <w:bottom w:val="single" w:sz="4" w:color="D6D6DC"/>
              <w:right w:val="single" w:sz="4" w:color="D6D6DC"/>
            </w:tcBorders>
          </w:tcPr>
          <w:p>
            <w:r/>
            <w:r>
              <w:rPr>
                <w:rFonts w:ascii="Calibri" w:hAnsi="Calibri"/>
                <w:b w:val="0"/>
                <w:i w:val="0"/>
                <w:color w:val="1F2937"/>
                <w:sz w:val="21"/>
              </w:rPr>
              <w:t>Instance isolée AWS/Azure France-UE, intégrations CRM, multi-tenant, ≥ 90 utilisateurs simultanés possibles.</w:t>
            </w:r>
          </w:p>
        </w:tc>
      </w:tr>
    </w:tbl>
    <w:p>
      <w:pPr>
        <w:spacing w:after="40"/>
      </w:pPr>
    </w:p>
    <w:p>
      <w:r>
        <w:rPr>
          <w:rFonts w:ascii="Calibri" w:hAnsi="Calibri"/>
          <w:b w:val="0"/>
          <w:i/>
          <w:color w:val="818096"/>
          <w:sz w:val="22"/>
        </w:rPr>
        <w:t>Certification : Partenaire 3CX Silver, expertise 3CX CFD (Call Flow Designer).</w:t>
      </w:r>
    </w:p>
    <w:p>
      <w:pPr>
        <w:pStyle w:val="Heading2"/>
      </w:pPr>
      <w:r>
        <w:t>4.3. Yeastar / Grandstream (alternative)</w:t>
      </w:r>
    </w:p>
    <w:p>
      <w:pPr>
        <w:pStyle w:val="ListBullet"/>
      </w:pPr>
      <w:r>
        <w:rPr>
          <w:rFonts w:ascii="Calibri" w:hAnsi="Calibri"/>
          <w:b w:val="0"/>
          <w:i w:val="0"/>
          <w:color w:val="1F2937"/>
          <w:sz w:val="22"/>
        </w:rPr>
        <w:t>Déploiement on-premise ou cloud</w:t>
      </w:r>
    </w:p>
    <w:p>
      <w:pPr>
        <w:pStyle w:val="ListBullet"/>
      </w:pPr>
      <w:r>
        <w:rPr>
          <w:rFonts w:ascii="Calibri" w:hAnsi="Calibri"/>
          <w:b w:val="0"/>
          <w:i w:val="0"/>
          <w:color w:val="1F2937"/>
          <w:sz w:val="22"/>
        </w:rPr>
        <w:t>Cible : petits cabinets médicaux, structures locales souhaitant garder l'infrastructure en interne</w:t>
      </w:r>
    </w:p>
    <w:p>
      <w:pPr>
        <w:pStyle w:val="ListBullet"/>
      </w:pPr>
      <w:r>
        <w:rPr>
          <w:rFonts w:ascii="Calibri" w:hAnsi="Calibri"/>
          <w:b w:val="0"/>
          <w:i w:val="0"/>
          <w:color w:val="1F2937"/>
          <w:sz w:val="22"/>
        </w:rPr>
        <w:t>Compatible Trunk SIP E2I ou SFR</w:t>
      </w:r>
    </w:p>
    <w:p>
      <w:pPr>
        <w:pStyle w:val="Heading2"/>
      </w:pPr>
      <w:r>
        <w:t>4.4. Studio d'enregistrement vocal pro</w:t>
      </w:r>
    </w:p>
    <w:p>
      <w:pPr>
        <w:pStyle w:val="ListBullet"/>
      </w:pPr>
      <w:r>
        <w:rPr>
          <w:rFonts w:ascii="Calibri" w:hAnsi="Calibri"/>
          <w:b w:val="0"/>
          <w:i w:val="0"/>
          <w:color w:val="1F2937"/>
          <w:sz w:val="22"/>
        </w:rPr>
        <w:t>Messages d'accueil SVI, prédécroché, musique d'attente</w:t>
      </w:r>
    </w:p>
    <w:p>
      <w:pPr>
        <w:pStyle w:val="ListBullet"/>
      </w:pPr>
      <w:r>
        <w:rPr>
          <w:rFonts w:ascii="Calibri" w:hAnsi="Calibri"/>
          <w:b w:val="0"/>
          <w:i w:val="0"/>
          <w:color w:val="1F2937"/>
          <w:sz w:val="22"/>
        </w:rPr>
        <w:t>1 voix masculine + 2 voix féminines</w:t>
      </w:r>
    </w:p>
    <w:p>
      <w:pPr>
        <w:pStyle w:val="ListBullet"/>
      </w:pPr>
      <w:r>
        <w:rPr>
          <w:rFonts w:ascii="Calibri" w:hAnsi="Calibri"/>
          <w:b w:val="0"/>
          <w:i w:val="0"/>
          <w:color w:val="1F2937"/>
          <w:sz w:val="22"/>
        </w:rPr>
        <w:t>Livraison sous 48h, formats WAV/MP3/OGG</w:t>
      </w:r>
    </w:p>
    <w:p>
      <w:pPr>
        <w:pStyle w:val="ListBullet"/>
      </w:pPr>
      <w:r>
        <w:rPr>
          <w:rFonts w:ascii="Calibri" w:hAnsi="Calibri"/>
          <w:b w:val="0"/>
          <w:i w:val="0"/>
          <w:color w:val="1F2937"/>
          <w:sz w:val="22"/>
        </w:rPr>
        <w:t>Optimisé codecs téléphonie (G.711, G.729)</w:t>
      </w:r>
    </w:p>
    <w:p>
      <w:pPr>
        <w:pStyle w:val="Heading2"/>
      </w:pPr>
      <w:r>
        <w:t>4.5. Assistants vocaux IA (différenciation 2026)</w:t>
      </w:r>
    </w:p>
    <w:p>
      <w:pPr>
        <w:pStyle w:val="ListBullet"/>
      </w:pPr>
      <w:r>
        <w:rPr>
          <w:rFonts w:ascii="Calibri" w:hAnsi="Calibri"/>
          <w:b w:val="0"/>
          <w:i w:val="0"/>
          <w:color w:val="1F2937"/>
          <w:sz w:val="22"/>
        </w:rPr>
        <w:t>Plateformes : ElevenLabs, Rounded</w:t>
      </w:r>
    </w:p>
    <w:p>
      <w:pPr>
        <w:pStyle w:val="ListBullet"/>
      </w:pPr>
      <w:r>
        <w:rPr>
          <w:rFonts w:ascii="Calibri" w:hAnsi="Calibri"/>
          <w:b w:val="0"/>
          <w:i w:val="0"/>
          <w:color w:val="1F2937"/>
          <w:sz w:val="22"/>
        </w:rPr>
        <w:t>Cas d'usage : accueil 24/7, qualification leads, prise de RDV, transfert intelligent</w:t>
      </w:r>
    </w:p>
    <w:p>
      <w:pPr>
        <w:pStyle w:val="ListBullet"/>
      </w:pPr>
      <w:r>
        <w:rPr>
          <w:rFonts w:ascii="Calibri" w:hAnsi="Calibri"/>
          <w:b w:val="0"/>
          <w:i w:val="0"/>
          <w:color w:val="1F2937"/>
          <w:sz w:val="22"/>
        </w:rPr>
        <w:t>Forfaits sans engagement, démo gratuite</w:t>
      </w:r>
    </w:p>
    <w:p>
      <w:pPr>
        <w:pStyle w:val="Heading2"/>
      </w:pPr>
      <w:r>
        <w:t>4.6. Services complémentaires</w:t>
      </w:r>
    </w:p>
    <w:p>
      <w:pPr>
        <w:pStyle w:val="ListBullet"/>
      </w:pPr>
      <w:r>
        <w:rPr>
          <w:rFonts w:ascii="Calibri" w:hAnsi="Calibri"/>
          <w:b w:val="0"/>
          <w:i w:val="0"/>
          <w:color w:val="1F2937"/>
          <w:sz w:val="22"/>
        </w:rPr>
        <w:t>Étude de portabilité opérateur</w:t>
      </w:r>
    </w:p>
    <w:p>
      <w:pPr>
        <w:pStyle w:val="ListBullet"/>
      </w:pPr>
      <w:r>
        <w:rPr>
          <w:rFonts w:ascii="Calibri" w:hAnsi="Calibri"/>
          <w:b w:val="0"/>
          <w:i w:val="0"/>
          <w:color w:val="1F2937"/>
          <w:sz w:val="22"/>
        </w:rPr>
        <w:t>Audit &amp; conseil téléphonie IP</w:t>
      </w:r>
    </w:p>
    <w:p>
      <w:pPr>
        <w:pStyle w:val="ListBullet"/>
      </w:pPr>
      <w:r>
        <w:rPr>
          <w:rFonts w:ascii="Calibri" w:hAnsi="Calibri"/>
          <w:b w:val="0"/>
          <w:i w:val="0"/>
          <w:color w:val="1F2937"/>
          <w:sz w:val="22"/>
        </w:rPr>
        <w:t>Formations utilisateurs et administrateurs</w:t>
      </w:r>
    </w:p>
    <w:p>
      <w:pPr>
        <w:pStyle w:val="ListBullet"/>
      </w:pPr>
      <w:r>
        <w:rPr>
          <w:rFonts w:ascii="Calibri" w:hAnsi="Calibri"/>
          <w:b w:val="0"/>
          <w:i w:val="0"/>
          <w:color w:val="1F2937"/>
          <w:sz w:val="22"/>
        </w:rPr>
        <w:t>Déploiement matériel (Fanvil, Yealink, Snom, Patton, Grandstream)</w:t>
      </w:r>
    </w:p>
    <w:p>
      <w:pPr>
        <w:pStyle w:val="ListBullet"/>
      </w:pPr>
      <w:r>
        <w:rPr>
          <w:rFonts w:ascii="Calibri" w:hAnsi="Calibri"/>
          <w:b w:val="0"/>
          <w:i w:val="0"/>
          <w:color w:val="1F2937"/>
          <w:sz w:val="22"/>
        </w:rPr>
        <w:t>SBC 3CX pour sites multi-postes</w:t>
      </w:r>
    </w:p>
    <w:p>
      <w:pPr>
        <w:pStyle w:val="Heading1"/>
        <w:pBdr>
          <w:bottom w:val="single" w:sz="16" w:space="1" w:color="E53E3E"/>
        </w:pBdr>
      </w:pPr>
      <w:r>
        <w:t>5. Atouts Différenciants</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2D3848"/>
            <w:tcBorders>
              <w:top w:val="single" w:sz="4" w:color="2D3848"/>
              <w:left w:val="single" w:sz="4" w:color="2D3848"/>
              <w:bottom w:val="single" w:sz="4" w:color="2D3848"/>
              <w:right w:val="single" w:sz="4" w:color="2D3848"/>
            </w:tcBorders>
          </w:tcPr>
          <w:p>
            <w:r/>
            <w:r>
              <w:rPr>
                <w:rFonts w:ascii="Calibri" w:hAnsi="Calibri"/>
                <w:b/>
                <w:i w:val="0"/>
                <w:color w:val="FFFFFF"/>
                <w:sz w:val="21"/>
              </w:rPr>
              <w:t>Atout</w:t>
            </w:r>
          </w:p>
        </w:tc>
        <w:tc>
          <w:tcPr>
            <w:tcW w:type="dxa" w:w="4873"/>
            <w:vAlign w:val="center"/>
            <w:shd w:val="clear" w:color="auto" w:fill="2D3848"/>
            <w:tcBorders>
              <w:top w:val="single" w:sz="4" w:color="2D3848"/>
              <w:left w:val="single" w:sz="4" w:color="2D3848"/>
              <w:bottom w:val="single" w:sz="4" w:color="2D3848"/>
              <w:right w:val="single" w:sz="4" w:color="2D3848"/>
            </w:tcBorders>
          </w:tcPr>
          <w:p>
            <w:r/>
            <w:r>
              <w:rPr>
                <w:rFonts w:ascii="Calibri" w:hAnsi="Calibri"/>
                <w:b/>
                <w:i w:val="0"/>
                <w:color w:val="FFFFFF"/>
                <w:sz w:val="21"/>
              </w:rPr>
              <w:t>Détail</w:t>
            </w:r>
          </w:p>
        </w:tc>
      </w:tr>
      <w:tr>
        <w:tc>
          <w:tcPr>
            <w:tcW w:type="dxa" w:w="4873"/>
            <w:vAlign w:val="top"/>
            <w:tcBorders>
              <w:top w:val="single" w:sz="4" w:color="D6D6DC"/>
              <w:left w:val="single" w:sz="4" w:color="D6D6DC"/>
              <w:bottom w:val="single" w:sz="4" w:color="D6D6DC"/>
              <w:right w:val="single" w:sz="4" w:color="D6D6DC"/>
            </w:tcBorders>
          </w:tcPr>
          <w:p>
            <w:r/>
            <w:r>
              <w:rPr>
                <w:rFonts w:ascii="Calibri" w:hAnsi="Calibri"/>
                <w:b w:val="0"/>
                <w:i w:val="0"/>
                <w:color w:val="1F2937"/>
                <w:sz w:val="21"/>
              </w:rPr>
              <w:t>Réactivité</w:t>
            </w:r>
          </w:p>
        </w:tc>
        <w:tc>
          <w:tcPr>
            <w:tcW w:type="dxa" w:w="4873"/>
            <w:vAlign w:val="top"/>
            <w:tcBorders>
              <w:top w:val="single" w:sz="4" w:color="D6D6DC"/>
              <w:left w:val="single" w:sz="4" w:color="D6D6DC"/>
              <w:bottom w:val="single" w:sz="4" w:color="D6D6DC"/>
              <w:right w:val="single" w:sz="4" w:color="D6D6DC"/>
            </w:tcBorders>
          </w:tcPr>
          <w:p>
            <w:r/>
            <w:r>
              <w:rPr>
                <w:rFonts w:ascii="Calibri" w:hAnsi="Calibri"/>
                <w:b w:val="0"/>
                <w:i w:val="0"/>
                <w:color w:val="1F2937"/>
                <w:sz w:val="21"/>
              </w:rPr>
              <w:t>Techniciens présents localement (Guyane, Antilles, Métropole). Supervision cloud du parc Fanvil/Yealink, prise en main à distance.</w:t>
            </w:r>
          </w:p>
        </w:tc>
      </w:tr>
      <w:tr>
        <w:tc>
          <w:tcPr>
            <w:tcW w:type="dxa" w:w="4873"/>
            <w:vAlign w:val="top"/>
            <w:shd w:val="clear" w:color="auto" w:fill="F4F4F6"/>
            <w:tcBorders>
              <w:top w:val="single" w:sz="4" w:color="D6D6DC"/>
              <w:left w:val="single" w:sz="4" w:color="D6D6DC"/>
              <w:bottom w:val="single" w:sz="4" w:color="D6D6DC"/>
              <w:right w:val="single" w:sz="4" w:color="D6D6DC"/>
            </w:tcBorders>
          </w:tcPr>
          <w:p>
            <w:r/>
            <w:r>
              <w:rPr>
                <w:rFonts w:ascii="Calibri" w:hAnsi="Calibri"/>
                <w:b w:val="0"/>
                <w:i w:val="0"/>
                <w:color w:val="1F2937"/>
                <w:sz w:val="21"/>
              </w:rPr>
              <w:t>Expertise</w:t>
            </w:r>
          </w:p>
        </w:tc>
        <w:tc>
          <w:tcPr>
            <w:tcW w:type="dxa" w:w="4873"/>
            <w:vAlign w:val="top"/>
            <w:shd w:val="clear" w:color="auto" w:fill="F4F4F6"/>
            <w:tcBorders>
              <w:top w:val="single" w:sz="4" w:color="D6D6DC"/>
              <w:left w:val="single" w:sz="4" w:color="D6D6DC"/>
              <w:bottom w:val="single" w:sz="4" w:color="D6D6DC"/>
              <w:right w:val="single" w:sz="4" w:color="D6D6DC"/>
            </w:tcBorders>
          </w:tcPr>
          <w:p>
            <w:r/>
            <w:r>
              <w:rPr>
                <w:rFonts w:ascii="Calibri" w:hAnsi="Calibri"/>
                <w:b w:val="0"/>
                <w:i w:val="0"/>
                <w:color w:val="1F2937"/>
                <w:sz w:val="21"/>
              </w:rPr>
              <w:t>Certifié 3CX/Yeastar, maîtrise CFD &amp; intégrations avancées (HubSpot, Zoho, Salesforce, Organilog, M365, Google Workspace).</w:t>
            </w:r>
          </w:p>
        </w:tc>
      </w:tr>
      <w:tr>
        <w:tc>
          <w:tcPr>
            <w:tcW w:type="dxa" w:w="4873"/>
            <w:vAlign w:val="top"/>
            <w:tcBorders>
              <w:top w:val="single" w:sz="4" w:color="D6D6DC"/>
              <w:left w:val="single" w:sz="4" w:color="D6D6DC"/>
              <w:bottom w:val="single" w:sz="4" w:color="D6D6DC"/>
              <w:right w:val="single" w:sz="4" w:color="D6D6DC"/>
            </w:tcBorders>
          </w:tcPr>
          <w:p>
            <w:r/>
            <w:r>
              <w:rPr>
                <w:rFonts w:ascii="Calibri" w:hAnsi="Calibri"/>
                <w:b w:val="0"/>
                <w:i w:val="0"/>
                <w:color w:val="1F2937"/>
                <w:sz w:val="21"/>
              </w:rPr>
              <w:t>Hébergement souverain</w:t>
            </w:r>
          </w:p>
        </w:tc>
        <w:tc>
          <w:tcPr>
            <w:tcW w:type="dxa" w:w="4873"/>
            <w:vAlign w:val="top"/>
            <w:tcBorders>
              <w:top w:val="single" w:sz="4" w:color="D6D6DC"/>
              <w:left w:val="single" w:sz="4" w:color="D6D6DC"/>
              <w:bottom w:val="single" w:sz="4" w:color="D6D6DC"/>
              <w:right w:val="single" w:sz="4" w:color="D6D6DC"/>
            </w:tcBorders>
          </w:tcPr>
          <w:p>
            <w:r/>
            <w:r>
              <w:rPr>
                <w:rFonts w:ascii="Calibri" w:hAnsi="Calibri"/>
                <w:b w:val="0"/>
                <w:i w:val="0"/>
                <w:color w:val="1F2937"/>
                <w:sz w:val="21"/>
              </w:rPr>
              <w:t>AWS + Azure France/UE, infrastructure redondée, conformité RGPD, monitoring permanent.</w:t>
            </w:r>
          </w:p>
        </w:tc>
      </w:tr>
      <w:tr>
        <w:tc>
          <w:tcPr>
            <w:tcW w:type="dxa" w:w="4873"/>
            <w:vAlign w:val="top"/>
            <w:shd w:val="clear" w:color="auto" w:fill="F4F4F6"/>
            <w:tcBorders>
              <w:top w:val="single" w:sz="4" w:color="D6D6DC"/>
              <w:left w:val="single" w:sz="4" w:color="D6D6DC"/>
              <w:bottom w:val="single" w:sz="4" w:color="D6D6DC"/>
              <w:right w:val="single" w:sz="4" w:color="D6D6DC"/>
            </w:tcBorders>
          </w:tcPr>
          <w:p>
            <w:r/>
            <w:r>
              <w:rPr>
                <w:rFonts w:ascii="Calibri" w:hAnsi="Calibri"/>
                <w:b w:val="0"/>
                <w:i w:val="0"/>
                <w:color w:val="1F2937"/>
                <w:sz w:val="21"/>
              </w:rPr>
              <w:t>Proximité</w:t>
            </w:r>
          </w:p>
        </w:tc>
        <w:tc>
          <w:tcPr>
            <w:tcW w:type="dxa" w:w="4873"/>
            <w:vAlign w:val="top"/>
            <w:shd w:val="clear" w:color="auto" w:fill="F4F4F6"/>
            <w:tcBorders>
              <w:top w:val="single" w:sz="4" w:color="D6D6DC"/>
              <w:left w:val="single" w:sz="4" w:color="D6D6DC"/>
              <w:bottom w:val="single" w:sz="4" w:color="D6D6DC"/>
              <w:right w:val="single" w:sz="4" w:color="D6D6DC"/>
            </w:tcBorders>
          </w:tcPr>
          <w:p>
            <w:r/>
            <w:r>
              <w:rPr>
                <w:rFonts w:ascii="Calibri" w:hAnsi="Calibri"/>
                <w:b w:val="0"/>
                <w:i w:val="0"/>
                <w:color w:val="1F2937"/>
                <w:sz w:val="21"/>
              </w:rPr>
              <w:t>Équipes joignables, offres flexibles, documentation accessible.</w:t>
            </w:r>
          </w:p>
        </w:tc>
      </w:tr>
      <w:tr>
        <w:tc>
          <w:tcPr>
            <w:tcW w:type="dxa" w:w="4873"/>
            <w:vAlign w:val="top"/>
            <w:tcBorders>
              <w:top w:val="single" w:sz="4" w:color="D6D6DC"/>
              <w:left w:val="single" w:sz="4" w:color="D6D6DC"/>
              <w:bottom w:val="single" w:sz="4" w:color="D6D6DC"/>
              <w:right w:val="single" w:sz="4" w:color="D6D6DC"/>
            </w:tcBorders>
          </w:tcPr>
          <w:p>
            <w:r/>
            <w:r>
              <w:rPr>
                <w:rFonts w:ascii="Calibri" w:hAnsi="Calibri"/>
                <w:b w:val="0"/>
                <w:i w:val="0"/>
                <w:color w:val="1F2937"/>
                <w:sz w:val="21"/>
              </w:rPr>
              <w:t>Réseau partenaires</w:t>
            </w:r>
          </w:p>
        </w:tc>
        <w:tc>
          <w:tcPr>
            <w:tcW w:type="dxa" w:w="4873"/>
            <w:vAlign w:val="top"/>
            <w:tcBorders>
              <w:top w:val="single" w:sz="4" w:color="D6D6DC"/>
              <w:left w:val="single" w:sz="4" w:color="D6D6DC"/>
              <w:bottom w:val="single" w:sz="4" w:color="D6D6DC"/>
              <w:right w:val="single" w:sz="4" w:color="D6D6DC"/>
            </w:tcBorders>
          </w:tcPr>
          <w:p>
            <w:r/>
            <w:r>
              <w:rPr>
                <w:rFonts w:ascii="Calibri" w:hAnsi="Calibri"/>
                <w:b w:val="0"/>
                <w:i w:val="0"/>
                <w:color w:val="1F2937"/>
                <w:sz w:val="21"/>
              </w:rPr>
              <w:t>Prestataires IT et infogérants présents dans les DOM pour interventions urgentes sur site.</w:t>
            </w:r>
          </w:p>
        </w:tc>
      </w:tr>
      <w:tr>
        <w:tc>
          <w:tcPr>
            <w:tcW w:type="dxa" w:w="4873"/>
            <w:vAlign w:val="top"/>
            <w:shd w:val="clear" w:color="auto" w:fill="F4F4F6"/>
            <w:tcBorders>
              <w:top w:val="single" w:sz="4" w:color="D6D6DC"/>
              <w:left w:val="single" w:sz="4" w:color="D6D6DC"/>
              <w:bottom w:val="single" w:sz="4" w:color="D6D6DC"/>
              <w:right w:val="single" w:sz="4" w:color="D6D6DC"/>
            </w:tcBorders>
          </w:tcPr>
          <w:p>
            <w:r/>
            <w:r>
              <w:rPr>
                <w:rFonts w:ascii="Calibri" w:hAnsi="Calibri"/>
                <w:b w:val="0"/>
                <w:i w:val="0"/>
                <w:color w:val="1F2937"/>
                <w:sz w:val="21"/>
              </w:rPr>
              <w:t>Customer Success</w:t>
            </w:r>
          </w:p>
        </w:tc>
        <w:tc>
          <w:tcPr>
            <w:tcW w:type="dxa" w:w="4873"/>
            <w:vAlign w:val="top"/>
            <w:shd w:val="clear" w:color="auto" w:fill="F4F4F6"/>
            <w:tcBorders>
              <w:top w:val="single" w:sz="4" w:color="D6D6DC"/>
              <w:left w:val="single" w:sz="4" w:color="D6D6DC"/>
              <w:bottom w:val="single" w:sz="4" w:color="D6D6DC"/>
              <w:right w:val="single" w:sz="4" w:color="D6D6DC"/>
            </w:tcBorders>
          </w:tcPr>
          <w:p>
            <w:r/>
            <w:r>
              <w:rPr>
                <w:rFonts w:ascii="Calibri" w:hAnsi="Calibri"/>
                <w:b w:val="0"/>
                <w:i w:val="0"/>
                <w:color w:val="1F2937"/>
                <w:sz w:val="21"/>
              </w:rPr>
              <w:t>Accompagnement structuré : implémentation → formation → suivi continu (revues 30j / 90j / annuelles).</w:t>
            </w:r>
          </w:p>
        </w:tc>
      </w:tr>
    </w:tbl>
    <w:p>
      <w:pPr>
        <w:spacing w:after="40"/>
      </w:pPr>
    </w:p>
    <w:p>
      <w:pPr>
        <w:pStyle w:val="Heading1"/>
        <w:pBdr>
          <w:bottom w:val="single" w:sz="16" w:space="1" w:color="E53E3E"/>
        </w:pBdr>
      </w:pPr>
      <w:r>
        <w:t>6. Stratégie Tarifaire &amp; Modèle Économique</w:t>
      </w:r>
    </w:p>
    <w:p>
      <w:pPr>
        <w:pStyle w:val="Heading2"/>
      </w:pPr>
      <w:r>
        <w:t>6.1. Principes</w:t>
      </w:r>
    </w:p>
    <w:p>
      <w:pPr>
        <w:pStyle w:val="ListBullet"/>
      </w:pPr>
      <w:r>
        <w:rPr>
          <w:rFonts w:ascii="Calibri" w:hAnsi="Calibri"/>
          <w:b w:val="0"/>
          <w:i w:val="0"/>
          <w:color w:val="1F2937"/>
          <w:sz w:val="22"/>
        </w:rPr>
        <w:t>Récurrence mensuelle dominante (Trunk SIP, IPBX cloud, mobile)</w:t>
      </w:r>
    </w:p>
    <w:p>
      <w:pPr>
        <w:pStyle w:val="ListBullet"/>
      </w:pPr>
      <w:r>
        <w:rPr>
          <w:rFonts w:ascii="Calibri" w:hAnsi="Calibri"/>
          <w:b w:val="0"/>
          <w:i w:val="0"/>
          <w:color w:val="1F2937"/>
          <w:sz w:val="22"/>
        </w:rPr>
        <w:t>Tarification ajustée à l'usage (au compteur recommandé) ou forfait illimité sur étude</w:t>
      </w:r>
    </w:p>
    <w:p>
      <w:pPr>
        <w:pStyle w:val="ListBullet"/>
      </w:pPr>
      <w:r>
        <w:rPr>
          <w:rFonts w:ascii="Calibri" w:hAnsi="Calibri"/>
          <w:b w:val="0"/>
          <w:i w:val="0"/>
          <w:color w:val="1F2937"/>
          <w:sz w:val="22"/>
        </w:rPr>
        <w:t>Acompte 50 % sur frais de mise en service et coûts ponctuels</w:t>
      </w:r>
    </w:p>
    <w:p>
      <w:pPr>
        <w:pStyle w:val="ListBullet"/>
      </w:pPr>
      <w:r>
        <w:rPr>
          <w:rFonts w:ascii="Calibri" w:hAnsi="Calibri"/>
          <w:b w:val="0"/>
          <w:i w:val="0"/>
          <w:color w:val="1F2937"/>
          <w:sz w:val="22"/>
        </w:rPr>
        <w:t>Mensualités démarrent le mois suivant la mise en service</w:t>
      </w:r>
    </w:p>
    <w:p>
      <w:pPr>
        <w:pStyle w:val="Heading2"/>
      </w:pPr>
      <w:r>
        <w:t>6.2. Modalités de paiement</w:t>
      </w:r>
    </w:p>
    <w:p>
      <w:pPr>
        <w:pStyle w:val="ListBullet"/>
      </w:pPr>
      <w:r>
        <w:rPr>
          <w:rFonts w:ascii="Calibri" w:hAnsi="Calibri"/>
          <w:b w:val="0"/>
          <w:i w:val="0"/>
          <w:color w:val="1F2937"/>
          <w:sz w:val="22"/>
        </w:rPr>
        <w:t>Virement SEPA</w:t>
      </w:r>
    </w:p>
    <w:p>
      <w:pPr>
        <w:pStyle w:val="ListBullet"/>
      </w:pPr>
      <w:r>
        <w:rPr>
          <w:rFonts w:ascii="Calibri" w:hAnsi="Calibri"/>
          <w:b w:val="0"/>
          <w:i w:val="0"/>
          <w:color w:val="1F2937"/>
          <w:sz w:val="22"/>
        </w:rPr>
        <w:t>Prélèvement bancaire via GoCardless</w:t>
      </w:r>
    </w:p>
    <w:p>
      <w:pPr>
        <w:pStyle w:val="ListBullet"/>
      </w:pPr>
      <w:r>
        <w:rPr>
          <w:rFonts w:ascii="Calibri" w:hAnsi="Calibri"/>
          <w:b w:val="0"/>
          <w:i w:val="0"/>
          <w:color w:val="1F2937"/>
          <w:sz w:val="22"/>
        </w:rPr>
        <w:t>Signature électronique via plateforme intégrée HubSpot</w:t>
      </w:r>
    </w:p>
    <w:p>
      <w:pPr>
        <w:pStyle w:val="Heading2"/>
      </w:pPr>
      <w:r>
        <w:t>6.3. Engagements contractuels</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2D3848"/>
            <w:tcBorders>
              <w:top w:val="single" w:sz="4" w:color="2D3848"/>
              <w:left w:val="single" w:sz="4" w:color="2D3848"/>
              <w:bottom w:val="single" w:sz="4" w:color="2D3848"/>
              <w:right w:val="single" w:sz="4" w:color="2D3848"/>
            </w:tcBorders>
          </w:tcPr>
          <w:p>
            <w:r/>
            <w:r>
              <w:rPr>
                <w:rFonts w:ascii="Calibri" w:hAnsi="Calibri"/>
                <w:b/>
                <w:i w:val="0"/>
                <w:color w:val="FFFFFF"/>
                <w:sz w:val="21"/>
              </w:rPr>
              <w:t>Service</w:t>
            </w:r>
          </w:p>
        </w:tc>
        <w:tc>
          <w:tcPr>
            <w:tcW w:type="dxa" w:w="4873"/>
            <w:vAlign w:val="center"/>
            <w:shd w:val="clear" w:color="auto" w:fill="2D3848"/>
            <w:tcBorders>
              <w:top w:val="single" w:sz="4" w:color="2D3848"/>
              <w:left w:val="single" w:sz="4" w:color="2D3848"/>
              <w:bottom w:val="single" w:sz="4" w:color="2D3848"/>
              <w:right w:val="single" w:sz="4" w:color="2D3848"/>
            </w:tcBorders>
          </w:tcPr>
          <w:p>
            <w:r/>
            <w:r>
              <w:rPr>
                <w:rFonts w:ascii="Calibri" w:hAnsi="Calibri"/>
                <w:b/>
                <w:i w:val="0"/>
                <w:color w:val="FFFFFF"/>
                <w:sz w:val="21"/>
              </w:rPr>
              <w:t>Engagement</w:t>
            </w:r>
          </w:p>
        </w:tc>
      </w:tr>
      <w:tr>
        <w:tc>
          <w:tcPr>
            <w:tcW w:type="dxa" w:w="4873"/>
            <w:vAlign w:val="top"/>
            <w:tcBorders>
              <w:top w:val="single" w:sz="4" w:color="D6D6DC"/>
              <w:left w:val="single" w:sz="4" w:color="D6D6DC"/>
              <w:bottom w:val="single" w:sz="4" w:color="D6D6DC"/>
              <w:right w:val="single" w:sz="4" w:color="D6D6DC"/>
            </w:tcBorders>
          </w:tcPr>
          <w:p>
            <w:r/>
            <w:r>
              <w:rPr>
                <w:rFonts w:ascii="Calibri" w:hAnsi="Calibri"/>
                <w:b w:val="0"/>
                <w:i w:val="0"/>
                <w:color w:val="1F2937"/>
                <w:sz w:val="21"/>
              </w:rPr>
              <w:t>Trunk SIP E2I VoIP</w:t>
            </w:r>
          </w:p>
        </w:tc>
        <w:tc>
          <w:tcPr>
            <w:tcW w:type="dxa" w:w="4873"/>
            <w:vAlign w:val="top"/>
            <w:tcBorders>
              <w:top w:val="single" w:sz="4" w:color="D6D6DC"/>
              <w:left w:val="single" w:sz="4" w:color="D6D6DC"/>
              <w:bottom w:val="single" w:sz="4" w:color="D6D6DC"/>
              <w:right w:val="single" w:sz="4" w:color="D6D6DC"/>
            </w:tcBorders>
          </w:tcPr>
          <w:p>
            <w:r/>
            <w:r>
              <w:rPr>
                <w:rFonts w:ascii="Calibri" w:hAnsi="Calibri"/>
                <w:b w:val="0"/>
                <w:i w:val="0"/>
                <w:color w:val="1F2937"/>
                <w:sz w:val="21"/>
              </w:rPr>
              <w:t>24 mois</w:t>
            </w:r>
          </w:p>
        </w:tc>
      </w:tr>
      <w:tr>
        <w:tc>
          <w:tcPr>
            <w:tcW w:type="dxa" w:w="4873"/>
            <w:vAlign w:val="top"/>
            <w:shd w:val="clear" w:color="auto" w:fill="F4F4F6"/>
            <w:tcBorders>
              <w:top w:val="single" w:sz="4" w:color="D6D6DC"/>
              <w:left w:val="single" w:sz="4" w:color="D6D6DC"/>
              <w:bottom w:val="single" w:sz="4" w:color="D6D6DC"/>
              <w:right w:val="single" w:sz="4" w:color="D6D6DC"/>
            </w:tcBorders>
          </w:tcPr>
          <w:p>
            <w:r/>
            <w:r>
              <w:rPr>
                <w:rFonts w:ascii="Calibri" w:hAnsi="Calibri"/>
                <w:b w:val="0"/>
                <w:i w:val="0"/>
                <w:color w:val="1F2937"/>
                <w:sz w:val="21"/>
              </w:rPr>
              <w:t>Partenariat SFR Business (Trunk + fibre)</w:t>
            </w:r>
          </w:p>
        </w:tc>
        <w:tc>
          <w:tcPr>
            <w:tcW w:type="dxa" w:w="4873"/>
            <w:vAlign w:val="top"/>
            <w:shd w:val="clear" w:color="auto" w:fill="F4F4F6"/>
            <w:tcBorders>
              <w:top w:val="single" w:sz="4" w:color="D6D6DC"/>
              <w:left w:val="single" w:sz="4" w:color="D6D6DC"/>
              <w:bottom w:val="single" w:sz="4" w:color="D6D6DC"/>
              <w:right w:val="single" w:sz="4" w:color="D6D6DC"/>
            </w:tcBorders>
          </w:tcPr>
          <w:p>
            <w:r/>
            <w:r>
              <w:rPr>
                <w:rFonts w:ascii="Calibri" w:hAnsi="Calibri"/>
                <w:b w:val="0"/>
                <w:i w:val="0"/>
                <w:color w:val="1F2937"/>
                <w:sz w:val="21"/>
              </w:rPr>
              <w:t>36 mois</w:t>
            </w:r>
          </w:p>
        </w:tc>
      </w:tr>
      <w:tr>
        <w:tc>
          <w:tcPr>
            <w:tcW w:type="dxa" w:w="4873"/>
            <w:vAlign w:val="top"/>
            <w:tcBorders>
              <w:top w:val="single" w:sz="4" w:color="D6D6DC"/>
              <w:left w:val="single" w:sz="4" w:color="D6D6DC"/>
              <w:bottom w:val="single" w:sz="4" w:color="D6D6DC"/>
              <w:right w:val="single" w:sz="4" w:color="D6D6DC"/>
            </w:tcBorders>
          </w:tcPr>
          <w:p>
            <w:r/>
            <w:r>
              <w:rPr>
                <w:rFonts w:ascii="Calibri" w:hAnsi="Calibri"/>
                <w:b w:val="0"/>
                <w:i w:val="0"/>
                <w:color w:val="1F2937"/>
                <w:sz w:val="21"/>
              </w:rPr>
              <w:t>Assistants vocaux IA</w:t>
            </w:r>
          </w:p>
        </w:tc>
        <w:tc>
          <w:tcPr>
            <w:tcW w:type="dxa" w:w="4873"/>
            <w:vAlign w:val="top"/>
            <w:tcBorders>
              <w:top w:val="single" w:sz="4" w:color="D6D6DC"/>
              <w:left w:val="single" w:sz="4" w:color="D6D6DC"/>
              <w:bottom w:val="single" w:sz="4" w:color="D6D6DC"/>
              <w:right w:val="single" w:sz="4" w:color="D6D6DC"/>
            </w:tcBorders>
          </w:tcPr>
          <w:p>
            <w:r/>
            <w:r>
              <w:rPr>
                <w:rFonts w:ascii="Calibri" w:hAnsi="Calibri"/>
                <w:b w:val="0"/>
                <w:i w:val="0"/>
                <w:color w:val="1F2937"/>
                <w:sz w:val="21"/>
              </w:rPr>
              <w:t>Sans engagement</w:t>
            </w:r>
          </w:p>
        </w:tc>
      </w:tr>
    </w:tbl>
    <w:p>
      <w:pPr>
        <w:spacing w:after="40"/>
      </w:pPr>
    </w:p>
    <w:p>
      <w:pPr>
        <w:pStyle w:val="Heading2"/>
      </w:pPr>
      <w:r>
        <w:t>6.4. Financement matériel</w:t>
      </w:r>
    </w:p>
    <w:p>
      <w:pPr>
        <w:pStyle w:val="ListBullet"/>
      </w:pPr>
      <w:r>
        <w:rPr>
          <w:rFonts w:ascii="Calibri" w:hAnsi="Calibri"/>
          <w:b w:val="0"/>
          <w:i w:val="0"/>
          <w:color w:val="1F2937"/>
          <w:sz w:val="22"/>
        </w:rPr>
        <w:t>Achat direct</w:t>
      </w:r>
    </w:p>
    <w:p>
      <w:pPr>
        <w:pStyle w:val="ListBullet"/>
      </w:pPr>
      <w:r>
        <w:rPr>
          <w:rFonts w:ascii="Calibri" w:hAnsi="Calibri"/>
          <w:b w:val="0"/>
          <w:i w:val="0"/>
          <w:color w:val="1F2937"/>
          <w:sz w:val="22"/>
        </w:rPr>
        <w:t>Location simple (E2I)</w:t>
      </w:r>
    </w:p>
    <w:p>
      <w:pPr>
        <w:pStyle w:val="ListBullet"/>
      </w:pPr>
      <w:r>
        <w:rPr>
          <w:rFonts w:ascii="Calibri" w:hAnsi="Calibri"/>
          <w:b w:val="0"/>
          <w:i w:val="0"/>
          <w:color w:val="1F2937"/>
          <w:sz w:val="22"/>
        </w:rPr>
        <w:t>Location financière via Grenke et Cleodis : loyers déductibles, renouvellement/restitution/prolongation, démarche RSE</w:t>
      </w:r>
    </w:p>
    <w:p>
      <w:pPr>
        <w:pStyle w:val="Heading1"/>
        <w:pBdr>
          <w:bottom w:val="single" w:sz="16" w:space="1" w:color="E53E3E"/>
        </w:pBdr>
      </w:pPr>
      <w:r>
        <w:t>7. Processus de Vente</w:t>
      </w:r>
    </w:p>
    <w:p>
      <w:pPr>
        <w:pStyle w:val="Heading2"/>
      </w:pPr>
      <w:r>
        <w:t>7.1. Funnel téléphonie fixe / IPBX 3CX</w:t>
      </w:r>
    </w:p>
    <w:p>
      <w:pPr>
        <w:pStyle w:val="Heading3"/>
      </w:pPr>
      <w:r>
        <w:t>Étape 1 — Capture du lead</w:t>
      </w:r>
    </w:p>
    <w:p>
      <w:r>
        <w:rPr>
          <w:rFonts w:ascii="Calibri" w:hAnsi="Calibri"/>
          <w:b w:val="0"/>
          <w:i w:val="0"/>
          <w:color w:val="1F2937"/>
          <w:sz w:val="22"/>
        </w:rPr>
        <w:t>Sources : téléphone, formulaire web, email, recommandation, apporteur d'affaires. Saisie immédiate dans HubSpot CRM avec coordonnées complètes (mail, fixe, mobile, entreprise) + contexte dans le champ Notes. Renseigner périmètre décisionnel et particularités.</w:t>
      </w:r>
    </w:p>
    <w:p>
      <w:pPr>
        <w:pStyle w:val="Heading3"/>
      </w:pPr>
      <w:r>
        <w:t>Étape 2 — Qualification</w:t>
      </w:r>
    </w:p>
    <w:p>
      <w:r>
        <w:rPr>
          <w:rFonts w:ascii="Calibri" w:hAnsi="Calibri"/>
          <w:b w:val="0"/>
          <w:i w:val="0"/>
          <w:color w:val="1F2937"/>
          <w:sz w:val="22"/>
        </w:rPr>
        <w:t>Premier contact téléphone ou Teams. Comprendre les pain points (saturation, coût, obsolescence). Adapter le discours en conséquence. Closing : caler une démo produit Teams immédiatement. Demander la complétion du formulaire Tally.</w:t>
      </w:r>
    </w:p>
    <w:p>
      <w:pPr>
        <w:pStyle w:val="Heading3"/>
      </w:pPr>
      <w:r>
        <w:t>Étape 3 — Démonstration produit</w:t>
      </w:r>
    </w:p>
    <w:p>
      <w:r>
        <w:rPr>
          <w:rFonts w:ascii="Calibri" w:hAnsi="Calibri"/>
          <w:b w:val="0"/>
          <w:i w:val="0"/>
          <w:color w:val="1F2937"/>
          <w:sz w:val="22"/>
        </w:rPr>
        <w:t>Démo 3CX sur Teams, structurée autour des besoins identifiés. Montrer comment la solution résout les problèmes (pas une simple liste de fonctionnalités). Closing : caler immédiatement le RDV de présentation du devis. Si Tally non rempli, poster le lien dans le chat Teams.</w:t>
      </w:r>
    </w:p>
    <w:p>
      <w:pPr>
        <w:pStyle w:val="Heading3"/>
      </w:pPr>
      <w:r>
        <w:t>Étape 4 — Présentation du devis</w:t>
      </w:r>
    </w:p>
    <w:p>
      <w:r>
        <w:rPr>
          <w:rFonts w:ascii="Calibri" w:hAnsi="Calibri"/>
          <w:b w:val="0"/>
          <w:i w:val="0"/>
          <w:color w:val="1F2937"/>
          <w:sz w:val="22"/>
        </w:rPr>
        <w:t>Toujours en visioconférence ou en présentiel (jamais d'envoi mail seul). Expliquer chaque ligne en lien avec les enjeux du client. Anticiper les objections, dissiper les doutes, renforcer la perception de valeur.</w:t>
      </w:r>
    </w:p>
    <w:p>
      <w:pPr>
        <w:pStyle w:val="Heading3"/>
      </w:pPr>
      <w:r>
        <w:t>Étape 5 — Signature &amp; administratif</w:t>
      </w:r>
    </w:p>
    <w:p>
      <w:r>
        <w:rPr>
          <w:rFonts w:ascii="Calibri" w:hAnsi="Calibri"/>
          <w:b w:val="0"/>
          <w:i w:val="0"/>
          <w:color w:val="1F2937"/>
          <w:sz w:val="22"/>
        </w:rPr>
        <w:t>Signature électronique HubSpot (recommandée) ou papier + scan. Dossier complet : formulaire d'ouverture de compte, KBIS/avis INSEE &lt; 3 mois, RIB officiel, CGS signées, mandat de portabilité + dernière facture opérateur. Email type avec PJ pré-remplies + rappel téléphonique 48h après envoi. Archivage OneDrive/SharePoint.</w:t>
      </w:r>
    </w:p>
    <w:p>
      <w:pPr>
        <w:pStyle w:val="Heading3"/>
      </w:pPr>
      <w:r>
        <w:t>Étape 6 — Activation &amp; Customer Success</w:t>
      </w:r>
    </w:p>
    <w:p>
      <w:r>
        <w:rPr>
          <w:rFonts w:ascii="Calibri" w:hAnsi="Calibri"/>
          <w:b w:val="0"/>
          <w:i w:val="0"/>
          <w:color w:val="1F2937"/>
          <w:sz w:val="22"/>
        </w:rPr>
        <w:t>Transmission ADV pour mise en service. Suivi à 30 jours (transition, satisfaction). Suivi à 90 jours (besoins complémentaires, formations, extensions). Revue annuelle stratégique : positionnement E2I comme partenaire, pas fournisseur.</w:t>
      </w:r>
    </w:p>
    <w:p>
      <w:pPr>
        <w:pStyle w:val="Heading2"/>
      </w:pPr>
      <w:r>
        <w:t>7.2. Funnel Trunk SIP (court)</w:t>
      </w:r>
    </w:p>
    <w:p>
      <w:pPr>
        <w:pStyle w:val="ListBullet"/>
      </w:pPr>
      <w:r>
        <w:rPr>
          <w:rFonts w:ascii="Calibri" w:hAnsi="Calibri"/>
          <w:b w:val="0"/>
          <w:i w:val="0"/>
          <w:color w:val="1F2937"/>
          <w:sz w:val="22"/>
        </w:rPr>
        <w:t>Premier contact : formulaire web ou appel direct (0594 96 35 00)</w:t>
      </w:r>
    </w:p>
    <w:p>
      <w:pPr>
        <w:pStyle w:val="ListBullet"/>
      </w:pPr>
      <w:r>
        <w:rPr>
          <w:rFonts w:ascii="Calibri" w:hAnsi="Calibri"/>
          <w:b w:val="0"/>
          <w:i w:val="0"/>
          <w:color w:val="1F2937"/>
          <w:sz w:val="22"/>
        </w:rPr>
        <w:t>Recommandation : Trunk au compteur (par défaut) ou illimité (sur étude)</w:t>
      </w:r>
    </w:p>
    <w:p>
      <w:pPr>
        <w:pStyle w:val="ListBullet"/>
      </w:pPr>
      <w:r>
        <w:rPr>
          <w:rFonts w:ascii="Calibri" w:hAnsi="Calibri"/>
          <w:b w:val="0"/>
          <w:i w:val="0"/>
          <w:color w:val="1F2937"/>
          <w:sz w:val="22"/>
        </w:rPr>
        <w:t>Devis personnalisé après collecte d'infos détaillées</w:t>
      </w:r>
    </w:p>
    <w:p>
      <w:pPr>
        <w:pStyle w:val="ListBullet"/>
      </w:pPr>
      <w:r>
        <w:rPr>
          <w:rFonts w:ascii="Calibri" w:hAnsi="Calibri"/>
          <w:b w:val="0"/>
          <w:i w:val="0"/>
          <w:color w:val="1F2937"/>
          <w:sz w:val="22"/>
        </w:rPr>
        <w:t>Mise en service + assistance technique de configuration</w:t>
      </w:r>
    </w:p>
    <w:p>
      <w:pPr>
        <w:pStyle w:val="ListBullet"/>
      </w:pPr>
      <w:r>
        <w:rPr>
          <w:rFonts w:ascii="Calibri" w:hAnsi="Calibri"/>
          <w:b w:val="0"/>
          <w:i w:val="0"/>
          <w:color w:val="1F2937"/>
          <w:sz w:val="22"/>
        </w:rPr>
        <w:t>Compatibilité immédiate : 3CX, Yeastar, Avaya, Alcatel</w:t>
      </w:r>
    </w:p>
    <w:p>
      <w:pPr>
        <w:pStyle w:val="ListBullet"/>
      </w:pPr>
      <w:r>
        <w:rPr>
          <w:rFonts w:ascii="Calibri" w:hAnsi="Calibri"/>
          <w:b w:val="0"/>
          <w:i w:val="0"/>
          <w:color w:val="1F2937"/>
          <w:sz w:val="22"/>
        </w:rPr>
        <w:t>Tarification au TJM ingénieur pour Asterisk / FreePBX (config plus complexe)</w:t>
      </w:r>
    </w:p>
    <w:p>
      <w:pPr>
        <w:pStyle w:val="Heading2"/>
      </w:pPr>
      <w:r>
        <w:t>7.3. Leviers psychologiques activés</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2D3848"/>
            <w:tcBorders>
              <w:top w:val="single" w:sz="4" w:color="2D3848"/>
              <w:left w:val="single" w:sz="4" w:color="2D3848"/>
              <w:bottom w:val="single" w:sz="4" w:color="2D3848"/>
              <w:right w:val="single" w:sz="4" w:color="2D3848"/>
            </w:tcBorders>
          </w:tcPr>
          <w:p>
            <w:r/>
            <w:r>
              <w:rPr>
                <w:rFonts w:ascii="Calibri" w:hAnsi="Calibri"/>
                <w:b/>
                <w:i w:val="0"/>
                <w:color w:val="FFFFFF"/>
                <w:sz w:val="21"/>
              </w:rPr>
              <w:t>Levier</w:t>
            </w:r>
          </w:p>
        </w:tc>
        <w:tc>
          <w:tcPr>
            <w:tcW w:type="dxa" w:w="4873"/>
            <w:vAlign w:val="center"/>
            <w:shd w:val="clear" w:color="auto" w:fill="2D3848"/>
            <w:tcBorders>
              <w:top w:val="single" w:sz="4" w:color="2D3848"/>
              <w:left w:val="single" w:sz="4" w:color="2D3848"/>
              <w:bottom w:val="single" w:sz="4" w:color="2D3848"/>
              <w:right w:val="single" w:sz="4" w:color="2D3848"/>
            </w:tcBorders>
          </w:tcPr>
          <w:p>
            <w:r/>
            <w:r>
              <w:rPr>
                <w:rFonts w:ascii="Calibri" w:hAnsi="Calibri"/>
                <w:b/>
                <w:i w:val="0"/>
                <w:color w:val="FFFFFF"/>
                <w:sz w:val="21"/>
              </w:rPr>
              <w:t>Point d'application</w:t>
            </w:r>
          </w:p>
        </w:tc>
      </w:tr>
      <w:tr>
        <w:tc>
          <w:tcPr>
            <w:tcW w:type="dxa" w:w="4873"/>
            <w:vAlign w:val="top"/>
            <w:tcBorders>
              <w:top w:val="single" w:sz="4" w:color="D6D6DC"/>
              <w:left w:val="single" w:sz="4" w:color="D6D6DC"/>
              <w:bottom w:val="single" w:sz="4" w:color="D6D6DC"/>
              <w:right w:val="single" w:sz="4" w:color="D6D6DC"/>
            </w:tcBorders>
          </w:tcPr>
          <w:p>
            <w:r/>
            <w:r>
              <w:rPr>
                <w:rFonts w:ascii="Calibri" w:hAnsi="Calibri"/>
                <w:b w:val="0"/>
                <w:i w:val="0"/>
                <w:color w:val="1F2937"/>
                <w:sz w:val="21"/>
              </w:rPr>
              <w:t>Réactivité</w:t>
            </w:r>
          </w:p>
        </w:tc>
        <w:tc>
          <w:tcPr>
            <w:tcW w:type="dxa" w:w="4873"/>
            <w:vAlign w:val="top"/>
            <w:tcBorders>
              <w:top w:val="single" w:sz="4" w:color="D6D6DC"/>
              <w:left w:val="single" w:sz="4" w:color="D6D6DC"/>
              <w:bottom w:val="single" w:sz="4" w:color="D6D6DC"/>
              <w:right w:val="single" w:sz="4" w:color="D6D6DC"/>
            </w:tcBorders>
          </w:tcPr>
          <w:p>
            <w:r/>
            <w:r>
              <w:rPr>
                <w:rFonts w:ascii="Calibri" w:hAnsi="Calibri"/>
                <w:b w:val="0"/>
                <w:i w:val="0"/>
                <w:color w:val="1F2937"/>
                <w:sz w:val="21"/>
              </w:rPr>
              <w:t>Saisie CRM immédiate, rappel 48h</w:t>
            </w:r>
          </w:p>
        </w:tc>
      </w:tr>
      <w:tr>
        <w:tc>
          <w:tcPr>
            <w:tcW w:type="dxa" w:w="4873"/>
            <w:vAlign w:val="top"/>
            <w:shd w:val="clear" w:color="auto" w:fill="F4F4F6"/>
            <w:tcBorders>
              <w:top w:val="single" w:sz="4" w:color="D6D6DC"/>
              <w:left w:val="single" w:sz="4" w:color="D6D6DC"/>
              <w:bottom w:val="single" w:sz="4" w:color="D6D6DC"/>
              <w:right w:val="single" w:sz="4" w:color="D6D6DC"/>
            </w:tcBorders>
          </w:tcPr>
          <w:p>
            <w:r/>
            <w:r>
              <w:rPr>
                <w:rFonts w:ascii="Calibri" w:hAnsi="Calibri"/>
                <w:b w:val="0"/>
                <w:i w:val="0"/>
                <w:color w:val="1F2937"/>
                <w:sz w:val="21"/>
              </w:rPr>
              <w:t>Réciprocité</w:t>
            </w:r>
          </w:p>
        </w:tc>
        <w:tc>
          <w:tcPr>
            <w:tcW w:type="dxa" w:w="4873"/>
            <w:vAlign w:val="top"/>
            <w:shd w:val="clear" w:color="auto" w:fill="F4F4F6"/>
            <w:tcBorders>
              <w:top w:val="single" w:sz="4" w:color="D6D6DC"/>
              <w:left w:val="single" w:sz="4" w:color="D6D6DC"/>
              <w:bottom w:val="single" w:sz="4" w:color="D6D6DC"/>
              <w:right w:val="single" w:sz="4" w:color="D6D6DC"/>
            </w:tcBorders>
          </w:tcPr>
          <w:p>
            <w:r/>
            <w:r>
              <w:rPr>
                <w:rFonts w:ascii="Calibri" w:hAnsi="Calibri"/>
                <w:b w:val="0"/>
                <w:i w:val="0"/>
                <w:color w:val="1F2937"/>
                <w:sz w:val="21"/>
              </w:rPr>
              <w:t>Suivi 30j/90j sans demande, démo gratuite</w:t>
            </w:r>
          </w:p>
        </w:tc>
      </w:tr>
      <w:tr>
        <w:tc>
          <w:tcPr>
            <w:tcW w:type="dxa" w:w="4873"/>
            <w:vAlign w:val="top"/>
            <w:tcBorders>
              <w:top w:val="single" w:sz="4" w:color="D6D6DC"/>
              <w:left w:val="single" w:sz="4" w:color="D6D6DC"/>
              <w:bottom w:val="single" w:sz="4" w:color="D6D6DC"/>
              <w:right w:val="single" w:sz="4" w:color="D6D6DC"/>
            </w:tcBorders>
          </w:tcPr>
          <w:p>
            <w:r/>
            <w:r>
              <w:rPr>
                <w:rFonts w:ascii="Calibri" w:hAnsi="Calibri"/>
                <w:b w:val="0"/>
                <w:i w:val="0"/>
                <w:color w:val="1F2937"/>
                <w:sz w:val="21"/>
              </w:rPr>
              <w:t>Preuve sociale</w:t>
            </w:r>
          </w:p>
        </w:tc>
        <w:tc>
          <w:tcPr>
            <w:tcW w:type="dxa" w:w="4873"/>
            <w:vAlign w:val="top"/>
            <w:tcBorders>
              <w:top w:val="single" w:sz="4" w:color="D6D6DC"/>
              <w:left w:val="single" w:sz="4" w:color="D6D6DC"/>
              <w:bottom w:val="single" w:sz="4" w:color="D6D6DC"/>
              <w:right w:val="single" w:sz="4" w:color="D6D6DC"/>
            </w:tcBorders>
          </w:tcPr>
          <w:p>
            <w:r/>
            <w:r>
              <w:rPr>
                <w:rFonts w:ascii="Calibri" w:hAnsi="Calibri"/>
                <w:b w:val="0"/>
                <w:i w:val="0"/>
                <w:color w:val="1F2937"/>
                <w:sz w:val="21"/>
              </w:rPr>
              <w:t>Témoignages, badges 3CX, références (Titeca/Eurogold)</w:t>
            </w:r>
          </w:p>
        </w:tc>
      </w:tr>
      <w:tr>
        <w:tc>
          <w:tcPr>
            <w:tcW w:type="dxa" w:w="4873"/>
            <w:vAlign w:val="top"/>
            <w:shd w:val="clear" w:color="auto" w:fill="F4F4F6"/>
            <w:tcBorders>
              <w:top w:val="single" w:sz="4" w:color="D6D6DC"/>
              <w:left w:val="single" w:sz="4" w:color="D6D6DC"/>
              <w:bottom w:val="single" w:sz="4" w:color="D6D6DC"/>
              <w:right w:val="single" w:sz="4" w:color="D6D6DC"/>
            </w:tcBorders>
          </w:tcPr>
          <w:p>
            <w:r/>
            <w:r>
              <w:rPr>
                <w:rFonts w:ascii="Calibri" w:hAnsi="Calibri"/>
                <w:b w:val="0"/>
                <w:i w:val="0"/>
                <w:color w:val="1F2937"/>
                <w:sz w:val="21"/>
              </w:rPr>
              <w:t>Engagement progressif</w:t>
            </w:r>
          </w:p>
        </w:tc>
        <w:tc>
          <w:tcPr>
            <w:tcW w:type="dxa" w:w="4873"/>
            <w:vAlign w:val="top"/>
            <w:shd w:val="clear" w:color="auto" w:fill="F4F4F6"/>
            <w:tcBorders>
              <w:top w:val="single" w:sz="4" w:color="D6D6DC"/>
              <w:left w:val="single" w:sz="4" w:color="D6D6DC"/>
              <w:bottom w:val="single" w:sz="4" w:color="D6D6DC"/>
              <w:right w:val="single" w:sz="4" w:color="D6D6DC"/>
            </w:tcBorders>
          </w:tcPr>
          <w:p>
            <w:r/>
            <w:r>
              <w:rPr>
                <w:rFonts w:ascii="Calibri" w:hAnsi="Calibri"/>
                <w:b w:val="0"/>
                <w:i w:val="0"/>
                <w:color w:val="1F2937"/>
                <w:sz w:val="21"/>
              </w:rPr>
              <w:t>Tally → démo → devis → signature (escalade par micro-engagements)</w:t>
            </w:r>
          </w:p>
        </w:tc>
      </w:tr>
      <w:tr>
        <w:tc>
          <w:tcPr>
            <w:tcW w:type="dxa" w:w="4873"/>
            <w:vAlign w:val="top"/>
            <w:tcBorders>
              <w:top w:val="single" w:sz="4" w:color="D6D6DC"/>
              <w:left w:val="single" w:sz="4" w:color="D6D6DC"/>
              <w:bottom w:val="single" w:sz="4" w:color="D6D6DC"/>
              <w:right w:val="single" w:sz="4" w:color="D6D6DC"/>
            </w:tcBorders>
          </w:tcPr>
          <w:p>
            <w:r/>
            <w:r>
              <w:rPr>
                <w:rFonts w:ascii="Calibri" w:hAnsi="Calibri"/>
                <w:b w:val="0"/>
                <w:i w:val="0"/>
                <w:color w:val="1F2937"/>
                <w:sz w:val="21"/>
              </w:rPr>
              <w:t>Cohérence</w:t>
            </w:r>
          </w:p>
        </w:tc>
        <w:tc>
          <w:tcPr>
            <w:tcW w:type="dxa" w:w="4873"/>
            <w:vAlign w:val="top"/>
            <w:tcBorders>
              <w:top w:val="single" w:sz="4" w:color="D6D6DC"/>
              <w:left w:val="single" w:sz="4" w:color="D6D6DC"/>
              <w:bottom w:val="single" w:sz="4" w:color="D6D6DC"/>
              <w:right w:val="single" w:sz="4" w:color="D6D6DC"/>
            </w:tcBorders>
          </w:tcPr>
          <w:p>
            <w:r/>
            <w:r>
              <w:rPr>
                <w:rFonts w:ascii="Calibri" w:hAnsi="Calibri"/>
                <w:b w:val="0"/>
                <w:i w:val="0"/>
                <w:color w:val="1F2937"/>
                <w:sz w:val="21"/>
              </w:rPr>
              <w:t>RDV de devis pris dès la fin de la démo</w:t>
            </w:r>
          </w:p>
        </w:tc>
      </w:tr>
    </w:tbl>
    <w:p>
      <w:pPr>
        <w:spacing w:after="40"/>
      </w:pPr>
    </w:p>
    <w:p>
      <w:pPr>
        <w:pStyle w:val="Heading1"/>
        <w:pBdr>
          <w:bottom w:val="single" w:sz="16" w:space="1" w:color="E53E3E"/>
        </w:pBdr>
      </w:pPr>
      <w:r>
        <w:t>8. Stratégie Marketing &amp; Acquisition</w:t>
      </w:r>
    </w:p>
    <w:p>
      <w:pPr>
        <w:pStyle w:val="Heading2"/>
      </w:pPr>
      <w:r>
        <w:t>8.1. Canal principal — Site web e2i-voip.com</w:t>
      </w:r>
    </w:p>
    <w:p>
      <w:r>
        <w:rPr>
          <w:rFonts w:ascii="Calibri" w:hAnsi="Calibri"/>
          <w:b/>
          <w:i w:val="0"/>
          <w:color w:val="1F2937"/>
          <w:sz w:val="22"/>
        </w:rPr>
        <w:t>Statut actuel : &lt; 20 leads/mois (sous-performant).</w:t>
      </w:r>
    </w:p>
    <w:p>
      <w:pPr>
        <w:spacing w:before="160" w:after="160"/>
        <w:ind w:left="340"/>
        <w:pBdr>
          <w:left w:val="single" w:sz="24" w:space="8" w:color="E53E3E"/>
        </w:pBdr>
      </w:pPr>
      <w:r>
        <w:rPr>
          <w:rFonts w:ascii="Calibri" w:hAnsi="Calibri"/>
          <w:b/>
          <w:i/>
          <w:color w:val="2D3848"/>
          <w:sz w:val="24"/>
        </w:rPr>
        <w:t>Hypothèse stratégique (révisée après cross-model challenge) : le SEO est un outil de crédibilité et de closing, pas le moteur d'acquisition principal. Le volume de recherche local B2B est trop faible pour porter seul l'acquisition. Le site doit donc convertir les visiteurs déjà ciblés (recommandation, mention, recherche directe).</w:t>
      </w:r>
    </w:p>
    <w:p>
      <w:r>
        <w:rPr>
          <w:rFonts w:ascii="Calibri" w:hAnsi="Calibri"/>
          <w:b/>
          <w:i w:val="0"/>
          <w:color w:val="1F2937"/>
          <w:sz w:val="22"/>
        </w:rPr>
        <w:t>Conséquences :</w:t>
      </w:r>
    </w:p>
    <w:p>
      <w:pPr>
        <w:pStyle w:val="ListBullet"/>
      </w:pPr>
      <w:r>
        <w:rPr>
          <w:rFonts w:ascii="Calibri" w:hAnsi="Calibri"/>
          <w:b w:val="0"/>
          <w:i w:val="0"/>
          <w:color w:val="1F2937"/>
          <w:sz w:val="22"/>
        </w:rPr>
        <w:t>Investir dans la conversion (CTA, social proof, clarté du message)</w:t>
      </w:r>
    </w:p>
    <w:p>
      <w:pPr>
        <w:pStyle w:val="ListBullet"/>
      </w:pPr>
      <w:r>
        <w:rPr>
          <w:rFonts w:ascii="Calibri" w:hAnsi="Calibri"/>
          <w:b w:val="0"/>
          <w:i w:val="0"/>
          <w:color w:val="1F2937"/>
          <w:sz w:val="22"/>
        </w:rPr>
        <w:t>Investir dans le tracking (PostHog) pour mesurer ce qui marche</w:t>
      </w:r>
    </w:p>
    <w:p>
      <w:pPr>
        <w:pStyle w:val="ListBullet"/>
      </w:pPr>
      <w:r>
        <w:rPr>
          <w:rFonts w:ascii="Calibri" w:hAnsi="Calibri"/>
          <w:b w:val="0"/>
          <w:i w:val="0"/>
          <w:color w:val="1F2937"/>
          <w:sz w:val="22"/>
        </w:rPr>
        <w:t>Reporter à v2 les efforts d'acquisition payants (Google Ads, landing pages)</w:t>
      </w:r>
    </w:p>
    <w:p>
      <w:pPr>
        <w:pStyle w:val="Heading2"/>
      </w:pPr>
      <w:r>
        <w:t>8.2. Plan d'activation digitale (3 phases GSD)</w:t>
      </w:r>
    </w:p>
    <w:p>
      <w:pPr>
        <w:pStyle w:val="Heading3"/>
      </w:pPr>
      <w:r>
        <w:t>Phase 1 — PostHog Analytics Baseline ✅</w:t>
      </w:r>
    </w:p>
    <w:p>
      <w:r>
        <w:rPr>
          <w:rFonts w:ascii="Calibri" w:hAnsi="Calibri"/>
          <w:b w:val="0"/>
          <w:i w:val="0"/>
          <w:color w:val="1F2937"/>
          <w:sz w:val="22"/>
        </w:rPr>
        <w:t>Objectif : tracer anonymement chaque visiteur et capturer les events de conversion.</w:t>
      </w:r>
    </w:p>
    <w:p>
      <w:pPr>
        <w:pStyle w:val="ListBullet"/>
      </w:pPr>
      <w:r>
        <w:rPr>
          <w:rFonts w:ascii="Calibri" w:hAnsi="Calibri"/>
          <w:b w:val="0"/>
          <w:i w:val="0"/>
          <w:color w:val="1F2937"/>
          <w:sz w:val="22"/>
        </w:rPr>
        <w:t>PostHog JS SDK installé (EU Cloud, GDPR-compliant, persistence: 'memory' = cookieless, pas de cookie banner requis)</w:t>
      </w:r>
    </w:p>
    <w:p>
      <w:pPr>
        <w:pStyle w:val="ListBullet"/>
      </w:pPr>
      <w:r>
        <w:rPr>
          <w:rFonts w:ascii="Calibri" w:hAnsi="Calibri"/>
          <w:b w:val="0"/>
          <w:i w:val="0"/>
          <w:color w:val="1F2937"/>
          <w:sz w:val="22"/>
        </w:rPr>
        <w:t>3 events instrumentés : cta_click, phone_click, form_submit</w:t>
      </w:r>
    </w:p>
    <w:p>
      <w:pPr>
        <w:pStyle w:val="ListBullet"/>
      </w:pPr>
      <w:r>
        <w:rPr>
          <w:rFonts w:ascii="Calibri" w:hAnsi="Calibri"/>
          <w:b w:val="0"/>
          <w:i w:val="0"/>
          <w:color w:val="1F2937"/>
          <w:sz w:val="22"/>
        </w:rPr>
        <w:t>Session recordings activés</w:t>
      </w:r>
    </w:p>
    <w:p>
      <w:pPr>
        <w:pStyle w:val="ListBullet"/>
      </w:pPr>
      <w:r>
        <w:rPr>
          <w:rFonts w:ascii="Calibri" w:hAnsi="Calibri"/>
          <w:b w:val="0"/>
          <w:i w:val="0"/>
          <w:color w:val="1F2937"/>
          <w:sz w:val="22"/>
        </w:rPr>
        <w:t>Try/catch wrapper pour graceful degradation (adblockers)</w:t>
      </w:r>
    </w:p>
    <w:p>
      <w:pPr>
        <w:pStyle w:val="Heading3"/>
      </w:pPr>
      <w:r>
        <w:t>Phase 2 — Redesign + Social Proof + Conversion ✅</w:t>
      </w:r>
    </w:p>
    <w:p>
      <w:r>
        <w:rPr>
          <w:rFonts w:ascii="Calibri" w:hAnsi="Calibri"/>
          <w:b w:val="0"/>
          <w:i w:val="0"/>
          <w:color w:val="1F2937"/>
          <w:sz w:val="22"/>
        </w:rPr>
        <w:t>Objectif : site professionnel avec social proof crédible et chemin de conversion clair.</w:t>
      </w:r>
    </w:p>
    <w:p>
      <w:pPr>
        <w:pStyle w:val="ListBullet"/>
      </w:pPr>
      <w:r>
        <w:rPr>
          <w:rFonts w:ascii="Calibri" w:hAnsi="Calibri"/>
          <w:b w:val="0"/>
          <w:i w:val="0"/>
          <w:color w:val="1F2937"/>
          <w:sz w:val="22"/>
        </w:rPr>
        <w:t>Social proof : témoignages clients réels + badge 3CX Silver Partner sur homepage et pages produits clés</w:t>
      </w:r>
    </w:p>
    <w:p>
      <w:pPr>
        <w:pStyle w:val="ListBullet"/>
      </w:pPr>
      <w:r>
        <w:rPr>
          <w:rFonts w:ascii="Calibri" w:hAnsi="Calibri"/>
          <w:b w:val="0"/>
          <w:i w:val="0"/>
          <w:color w:val="1F2937"/>
          <w:sz w:val="22"/>
        </w:rPr>
        <w:t>CTA primaire above-the-fold sur chaque page produit, wording et destination personnalisés</w:t>
      </w:r>
    </w:p>
    <w:p>
      <w:pPr>
        <w:pStyle w:val="ListBullet"/>
      </w:pPr>
      <w:r>
        <w:rPr>
          <w:rFonts w:ascii="Calibri" w:hAnsi="Calibri"/>
          <w:b w:val="0"/>
          <w:i w:val="0"/>
          <w:color w:val="1F2937"/>
          <w:sz w:val="22"/>
        </w:rPr>
        <w:t>Numéros de téléphone cliquables (tel:) par territoire (Guadeloupe, Martinique, Guyane, La Réunion, France)</w:t>
      </w:r>
    </w:p>
    <w:p>
      <w:pPr>
        <w:pStyle w:val="ListBullet"/>
      </w:pPr>
      <w:r>
        <w:rPr>
          <w:rFonts w:ascii="Calibri" w:hAnsi="Calibri"/>
          <w:b w:val="0"/>
          <w:i w:val="0"/>
          <w:color w:val="1F2937"/>
          <w:sz w:val="22"/>
        </w:rPr>
        <w:t>Élimination des dead-ends : ContactSectionSimple en bas de chaque page produit</w:t>
      </w:r>
    </w:p>
    <w:p>
      <w:pPr>
        <w:pStyle w:val="ListBullet"/>
      </w:pPr>
      <w:r>
        <w:rPr>
          <w:rFonts w:ascii="Calibri" w:hAnsi="Calibri"/>
          <w:b w:val="0"/>
          <w:i w:val="0"/>
          <w:color w:val="1F2937"/>
          <w:sz w:val="22"/>
        </w:rPr>
        <w:t>Audit Design System Monolithe 2026 : suppression des violations (font-bold/semibold → font-black uniquement, refactor CTAButton en Link-only)</w:t>
      </w:r>
    </w:p>
    <w:p>
      <w:pPr>
        <w:pStyle w:val="Heading3"/>
      </w:pPr>
      <w:r>
        <w:t>Phase 3 — Deploy Redesign + SEO Content (en cours)</w:t>
      </w:r>
    </w:p>
    <w:p>
      <w:r>
        <w:rPr>
          <w:rFonts w:ascii="Calibri" w:hAnsi="Calibri"/>
          <w:b w:val="0"/>
          <w:i w:val="0"/>
          <w:color w:val="1F2937"/>
          <w:sz w:val="22"/>
        </w:rPr>
        <w:t>Objectif : redesign Monolithe 2026 et contenu SEO en production avec données avant/après dans PostHog.</w:t>
      </w:r>
    </w:p>
    <w:p>
      <w:pPr>
        <w:pStyle w:val="ListBullet"/>
      </w:pPr>
      <w:r>
        <w:rPr>
          <w:rFonts w:ascii="Calibri" w:hAnsi="Calibri"/>
          <w:b w:val="0"/>
          <w:i w:val="0"/>
          <w:color w:val="1F2937"/>
          <w:sz w:val="22"/>
        </w:rPr>
        <w:t>Merge PR2 (Redesign + Social Proof + Conversion) après période de baseline (1-3 semaines)</w:t>
      </w:r>
    </w:p>
    <w:p>
      <w:pPr>
        <w:pStyle w:val="ListBullet"/>
      </w:pPr>
      <w:r>
        <w:rPr>
          <w:rFonts w:ascii="Calibri" w:hAnsi="Calibri"/>
          <w:b w:val="0"/>
          <w:i w:val="0"/>
          <w:color w:val="1F2937"/>
          <w:sz w:val="22"/>
        </w:rPr>
        <w:t>Merge PR3 (SEO Content) indépendamment</w:t>
      </w:r>
    </w:p>
    <w:p>
      <w:pPr>
        <w:pStyle w:val="ListBullet"/>
      </w:pPr>
      <w:r>
        <w:rPr>
          <w:rFonts w:ascii="Calibri" w:hAnsi="Calibri"/>
          <w:b w:val="0"/>
          <w:i w:val="0"/>
          <w:color w:val="1F2937"/>
          <w:sz w:val="22"/>
        </w:rPr>
        <w:t>JSON-LD Service schema sur 7 pages produits (validé)</w:t>
      </w:r>
    </w:p>
    <w:p>
      <w:pPr>
        <w:pStyle w:val="ListBullet"/>
      </w:pPr>
      <w:r>
        <w:rPr>
          <w:rFonts w:ascii="Calibri" w:hAnsi="Calibri"/>
          <w:b w:val="0"/>
          <w:i w:val="0"/>
          <w:color w:val="1F2937"/>
          <w:sz w:val="22"/>
        </w:rPr>
        <w:t>Sitemap corrigé (14 pages réelles)</w:t>
      </w:r>
    </w:p>
    <w:p>
      <w:pPr>
        <w:pStyle w:val="Heading2"/>
      </w:pPr>
      <w:r>
        <w:t>8.3. Canaux secondaires</w:t>
      </w:r>
    </w:p>
    <w:tbl>
      <w:tblPr>
        <w:tblW w:type="auto" w:w="0"/>
        <w:jc w:val="center"/>
        <w:tblLayout w:type="autofit"/>
        <w:tblLook w:firstColumn="1" w:firstRow="1" w:lastColumn="0" w:lastRow="0" w:noHBand="0" w:noVBand="1" w:val="04A0"/>
      </w:tblPr>
      <w:tblGrid>
        <w:gridCol w:w="3249"/>
        <w:gridCol w:w="3249"/>
        <w:gridCol w:w="3249"/>
      </w:tblGrid>
      <w:tr>
        <w:tc>
          <w:tcPr>
            <w:tcW w:type="dxa" w:w="3249"/>
            <w:vAlign w:val="center"/>
            <w:shd w:val="clear" w:color="auto" w:fill="2D3848"/>
            <w:tcBorders>
              <w:top w:val="single" w:sz="4" w:color="2D3848"/>
              <w:left w:val="single" w:sz="4" w:color="2D3848"/>
              <w:bottom w:val="single" w:sz="4" w:color="2D3848"/>
              <w:right w:val="single" w:sz="4" w:color="2D3848"/>
            </w:tcBorders>
          </w:tcPr>
          <w:p>
            <w:r/>
            <w:r>
              <w:rPr>
                <w:rFonts w:ascii="Calibri" w:hAnsi="Calibri"/>
                <w:b/>
                <w:i w:val="0"/>
                <w:color w:val="FFFFFF"/>
                <w:sz w:val="21"/>
              </w:rPr>
              <w:t>Canal</w:t>
            </w:r>
          </w:p>
        </w:tc>
        <w:tc>
          <w:tcPr>
            <w:tcW w:type="dxa" w:w="3249"/>
            <w:vAlign w:val="center"/>
            <w:shd w:val="clear" w:color="auto" w:fill="2D3848"/>
            <w:tcBorders>
              <w:top w:val="single" w:sz="4" w:color="2D3848"/>
              <w:left w:val="single" w:sz="4" w:color="2D3848"/>
              <w:bottom w:val="single" w:sz="4" w:color="2D3848"/>
              <w:right w:val="single" w:sz="4" w:color="2D3848"/>
            </w:tcBorders>
          </w:tcPr>
          <w:p>
            <w:r/>
            <w:r>
              <w:rPr>
                <w:rFonts w:ascii="Calibri" w:hAnsi="Calibri"/>
                <w:b/>
                <w:i w:val="0"/>
                <w:color w:val="FFFFFF"/>
                <w:sz w:val="21"/>
              </w:rPr>
              <w:t>Statut</w:t>
            </w:r>
          </w:p>
        </w:tc>
        <w:tc>
          <w:tcPr>
            <w:tcW w:type="dxa" w:w="3249"/>
            <w:vAlign w:val="center"/>
            <w:shd w:val="clear" w:color="auto" w:fill="2D3848"/>
            <w:tcBorders>
              <w:top w:val="single" w:sz="4" w:color="2D3848"/>
              <w:left w:val="single" w:sz="4" w:color="2D3848"/>
              <w:bottom w:val="single" w:sz="4" w:color="2D3848"/>
              <w:right w:val="single" w:sz="4" w:color="2D3848"/>
            </w:tcBorders>
          </w:tcPr>
          <w:p>
            <w:r/>
            <w:r>
              <w:rPr>
                <w:rFonts w:ascii="Calibri" w:hAnsi="Calibri"/>
                <w:b/>
                <w:i w:val="0"/>
                <w:color w:val="FFFFFF"/>
                <w:sz w:val="21"/>
              </w:rPr>
              <w:t>Priorité</w:t>
            </w:r>
          </w:p>
        </w:tc>
      </w:tr>
      <w:tr>
        <w:tc>
          <w:tcPr>
            <w:tcW w:type="dxa" w:w="3249"/>
            <w:vAlign w:val="top"/>
            <w:tcBorders>
              <w:top w:val="single" w:sz="4" w:color="D6D6DC"/>
              <w:left w:val="single" w:sz="4" w:color="D6D6DC"/>
              <w:bottom w:val="single" w:sz="4" w:color="D6D6DC"/>
              <w:right w:val="single" w:sz="4" w:color="D6D6DC"/>
            </w:tcBorders>
          </w:tcPr>
          <w:p>
            <w:r/>
            <w:r>
              <w:rPr>
                <w:rFonts w:ascii="Calibri" w:hAnsi="Calibri"/>
                <w:b w:val="0"/>
                <w:i w:val="0"/>
                <w:color w:val="1F2937"/>
                <w:sz w:val="21"/>
              </w:rPr>
              <w:t>Recommandation client</w:t>
            </w:r>
          </w:p>
        </w:tc>
        <w:tc>
          <w:tcPr>
            <w:tcW w:type="dxa" w:w="3249"/>
            <w:vAlign w:val="top"/>
            <w:tcBorders>
              <w:top w:val="single" w:sz="4" w:color="D6D6DC"/>
              <w:left w:val="single" w:sz="4" w:color="D6D6DC"/>
              <w:bottom w:val="single" w:sz="4" w:color="D6D6DC"/>
              <w:right w:val="single" w:sz="4" w:color="D6D6DC"/>
            </w:tcBorders>
          </w:tcPr>
          <w:p>
            <w:r/>
            <w:r>
              <w:rPr>
                <w:rFonts w:ascii="Calibri" w:hAnsi="Calibri"/>
                <w:b w:val="0"/>
                <w:i w:val="0"/>
                <w:color w:val="1F2937"/>
                <w:sz w:val="21"/>
              </w:rPr>
              <w:t>Actif (CSM nourrit la rétention)</w:t>
            </w:r>
          </w:p>
        </w:tc>
        <w:tc>
          <w:tcPr>
            <w:tcW w:type="dxa" w:w="3249"/>
            <w:vAlign w:val="top"/>
            <w:tcBorders>
              <w:top w:val="single" w:sz="4" w:color="D6D6DC"/>
              <w:left w:val="single" w:sz="4" w:color="D6D6DC"/>
              <w:bottom w:val="single" w:sz="4" w:color="D6D6DC"/>
              <w:right w:val="single" w:sz="4" w:color="D6D6DC"/>
            </w:tcBorders>
          </w:tcPr>
          <w:p>
            <w:r/>
            <w:r>
              <w:rPr>
                <w:rFonts w:ascii="Calibri" w:hAnsi="Calibri"/>
                <w:b w:val="0"/>
                <w:i w:val="0"/>
                <w:color w:val="1F2937"/>
                <w:sz w:val="21"/>
              </w:rPr>
              <w:t>HAUTE</w:t>
            </w:r>
          </w:p>
        </w:tc>
      </w:tr>
      <w:tr>
        <w:tc>
          <w:tcPr>
            <w:tcW w:type="dxa" w:w="3249"/>
            <w:vAlign w:val="top"/>
            <w:shd w:val="clear" w:color="auto" w:fill="F4F4F6"/>
            <w:tcBorders>
              <w:top w:val="single" w:sz="4" w:color="D6D6DC"/>
              <w:left w:val="single" w:sz="4" w:color="D6D6DC"/>
              <w:bottom w:val="single" w:sz="4" w:color="D6D6DC"/>
              <w:right w:val="single" w:sz="4" w:color="D6D6DC"/>
            </w:tcBorders>
          </w:tcPr>
          <w:p>
            <w:r/>
            <w:r>
              <w:rPr>
                <w:rFonts w:ascii="Calibri" w:hAnsi="Calibri"/>
                <w:b w:val="0"/>
                <w:i w:val="0"/>
                <w:color w:val="1F2937"/>
                <w:sz w:val="21"/>
              </w:rPr>
              <w:t>Apporteurs d'affaires / Partenariats</w:t>
            </w:r>
          </w:p>
        </w:tc>
        <w:tc>
          <w:tcPr>
            <w:tcW w:type="dxa" w:w="3249"/>
            <w:vAlign w:val="top"/>
            <w:shd w:val="clear" w:color="auto" w:fill="F4F4F6"/>
            <w:tcBorders>
              <w:top w:val="single" w:sz="4" w:color="D6D6DC"/>
              <w:left w:val="single" w:sz="4" w:color="D6D6DC"/>
              <w:bottom w:val="single" w:sz="4" w:color="D6D6DC"/>
              <w:right w:val="single" w:sz="4" w:color="D6D6DC"/>
            </w:tcBorders>
          </w:tcPr>
          <w:p>
            <w:r/>
            <w:r>
              <w:rPr>
                <w:rFonts w:ascii="Calibri" w:hAnsi="Calibri"/>
                <w:b w:val="0"/>
                <w:i w:val="0"/>
                <w:color w:val="1F2937"/>
                <w:sz w:val="21"/>
              </w:rPr>
              <w:t>Actif (SFR Business, infogérants DOM)</w:t>
            </w:r>
          </w:p>
        </w:tc>
        <w:tc>
          <w:tcPr>
            <w:tcW w:type="dxa" w:w="3249"/>
            <w:vAlign w:val="top"/>
            <w:shd w:val="clear" w:color="auto" w:fill="F4F4F6"/>
            <w:tcBorders>
              <w:top w:val="single" w:sz="4" w:color="D6D6DC"/>
              <w:left w:val="single" w:sz="4" w:color="D6D6DC"/>
              <w:bottom w:val="single" w:sz="4" w:color="D6D6DC"/>
              <w:right w:val="single" w:sz="4" w:color="D6D6DC"/>
            </w:tcBorders>
          </w:tcPr>
          <w:p>
            <w:r/>
            <w:r>
              <w:rPr>
                <w:rFonts w:ascii="Calibri" w:hAnsi="Calibri"/>
                <w:b w:val="0"/>
                <w:i w:val="0"/>
                <w:color w:val="1F2937"/>
                <w:sz w:val="21"/>
              </w:rPr>
              <w:t>HAUTE</w:t>
            </w:r>
          </w:p>
        </w:tc>
      </w:tr>
      <w:tr>
        <w:tc>
          <w:tcPr>
            <w:tcW w:type="dxa" w:w="3249"/>
            <w:vAlign w:val="top"/>
            <w:tcBorders>
              <w:top w:val="single" w:sz="4" w:color="D6D6DC"/>
              <w:left w:val="single" w:sz="4" w:color="D6D6DC"/>
              <w:bottom w:val="single" w:sz="4" w:color="D6D6DC"/>
              <w:right w:val="single" w:sz="4" w:color="D6D6DC"/>
            </w:tcBorders>
          </w:tcPr>
          <w:p>
            <w:r/>
            <w:r>
              <w:rPr>
                <w:rFonts w:ascii="Calibri" w:hAnsi="Calibri"/>
                <w:b w:val="0"/>
                <w:i w:val="0"/>
                <w:color w:val="1F2937"/>
                <w:sz w:val="21"/>
              </w:rPr>
              <w:t>SEO local</w:t>
            </w:r>
          </w:p>
        </w:tc>
        <w:tc>
          <w:tcPr>
            <w:tcW w:type="dxa" w:w="3249"/>
            <w:vAlign w:val="top"/>
            <w:tcBorders>
              <w:top w:val="single" w:sz="4" w:color="D6D6DC"/>
              <w:left w:val="single" w:sz="4" w:color="D6D6DC"/>
              <w:bottom w:val="single" w:sz="4" w:color="D6D6DC"/>
              <w:right w:val="single" w:sz="4" w:color="D6D6DC"/>
            </w:tcBorders>
          </w:tcPr>
          <w:p>
            <w:r/>
            <w:r>
              <w:rPr>
                <w:rFonts w:ascii="Calibri" w:hAnsi="Calibri"/>
                <w:b w:val="0"/>
                <w:i w:val="0"/>
                <w:color w:val="1F2937"/>
                <w:sz w:val="21"/>
              </w:rPr>
              <w:t>En déploiement (Phase 3)</w:t>
            </w:r>
          </w:p>
        </w:tc>
        <w:tc>
          <w:tcPr>
            <w:tcW w:type="dxa" w:w="3249"/>
            <w:vAlign w:val="top"/>
            <w:tcBorders>
              <w:top w:val="single" w:sz="4" w:color="D6D6DC"/>
              <w:left w:val="single" w:sz="4" w:color="D6D6DC"/>
              <w:bottom w:val="single" w:sz="4" w:color="D6D6DC"/>
              <w:right w:val="single" w:sz="4" w:color="D6D6DC"/>
            </w:tcBorders>
          </w:tcPr>
          <w:p>
            <w:r/>
            <w:r>
              <w:rPr>
                <w:rFonts w:ascii="Calibri" w:hAnsi="Calibri"/>
                <w:b w:val="0"/>
                <w:i w:val="0"/>
                <w:color w:val="1F2937"/>
                <w:sz w:val="21"/>
              </w:rPr>
              <w:t>MOYENNE</w:t>
            </w:r>
          </w:p>
        </w:tc>
      </w:tr>
      <w:tr>
        <w:tc>
          <w:tcPr>
            <w:tcW w:type="dxa" w:w="3249"/>
            <w:vAlign w:val="top"/>
            <w:shd w:val="clear" w:color="auto" w:fill="F4F4F6"/>
            <w:tcBorders>
              <w:top w:val="single" w:sz="4" w:color="D6D6DC"/>
              <w:left w:val="single" w:sz="4" w:color="D6D6DC"/>
              <w:bottom w:val="single" w:sz="4" w:color="D6D6DC"/>
              <w:right w:val="single" w:sz="4" w:color="D6D6DC"/>
            </w:tcBorders>
          </w:tcPr>
          <w:p>
            <w:r/>
            <w:r>
              <w:rPr>
                <w:rFonts w:ascii="Calibri" w:hAnsi="Calibri"/>
                <w:b w:val="0"/>
                <w:i w:val="0"/>
                <w:color w:val="1F2937"/>
                <w:sz w:val="21"/>
              </w:rPr>
              <w:t>Tally popup conversion</w:t>
            </w:r>
          </w:p>
        </w:tc>
        <w:tc>
          <w:tcPr>
            <w:tcW w:type="dxa" w:w="3249"/>
            <w:vAlign w:val="top"/>
            <w:shd w:val="clear" w:color="auto" w:fill="F4F4F6"/>
            <w:tcBorders>
              <w:top w:val="single" w:sz="4" w:color="D6D6DC"/>
              <w:left w:val="single" w:sz="4" w:color="D6D6DC"/>
              <w:bottom w:val="single" w:sz="4" w:color="D6D6DC"/>
              <w:right w:val="single" w:sz="4" w:color="D6D6DC"/>
            </w:tcBorders>
          </w:tcPr>
          <w:p>
            <w:r/>
            <w:r>
              <w:rPr>
                <w:rFonts w:ascii="Calibri" w:hAnsi="Calibri"/>
                <w:b w:val="0"/>
                <w:i w:val="0"/>
                <w:color w:val="1F2937"/>
                <w:sz w:val="21"/>
              </w:rPr>
              <w:t>Actif (déclenchement 3s, ID mDY1bl)</w:t>
            </w:r>
          </w:p>
        </w:tc>
        <w:tc>
          <w:tcPr>
            <w:tcW w:type="dxa" w:w="3249"/>
            <w:vAlign w:val="top"/>
            <w:shd w:val="clear" w:color="auto" w:fill="F4F4F6"/>
            <w:tcBorders>
              <w:top w:val="single" w:sz="4" w:color="D6D6DC"/>
              <w:left w:val="single" w:sz="4" w:color="D6D6DC"/>
              <w:bottom w:val="single" w:sz="4" w:color="D6D6DC"/>
              <w:right w:val="single" w:sz="4" w:color="D6D6DC"/>
            </w:tcBorders>
          </w:tcPr>
          <w:p>
            <w:r/>
            <w:r>
              <w:rPr>
                <w:rFonts w:ascii="Calibri" w:hAnsi="Calibri"/>
                <w:b w:val="0"/>
                <w:i w:val="0"/>
                <w:color w:val="1F2937"/>
                <w:sz w:val="21"/>
              </w:rPr>
              <w:t>MOYENNE</w:t>
            </w:r>
          </w:p>
        </w:tc>
      </w:tr>
      <w:tr>
        <w:tc>
          <w:tcPr>
            <w:tcW w:type="dxa" w:w="3249"/>
            <w:vAlign w:val="top"/>
            <w:tcBorders>
              <w:top w:val="single" w:sz="4" w:color="D6D6DC"/>
              <w:left w:val="single" w:sz="4" w:color="D6D6DC"/>
              <w:bottom w:val="single" w:sz="4" w:color="D6D6DC"/>
              <w:right w:val="single" w:sz="4" w:color="D6D6DC"/>
            </w:tcBorders>
          </w:tcPr>
          <w:p>
            <w:r/>
            <w:r>
              <w:rPr>
                <w:rFonts w:ascii="Calibri" w:hAnsi="Calibri"/>
                <w:b w:val="0"/>
                <w:i w:val="0"/>
                <w:color w:val="1F2937"/>
                <w:sz w:val="21"/>
              </w:rPr>
              <w:t>Livechat (chat-preoverlay.tsx)</w:t>
            </w:r>
          </w:p>
        </w:tc>
        <w:tc>
          <w:tcPr>
            <w:tcW w:type="dxa" w:w="3249"/>
            <w:vAlign w:val="top"/>
            <w:tcBorders>
              <w:top w:val="single" w:sz="4" w:color="D6D6DC"/>
              <w:left w:val="single" w:sz="4" w:color="D6D6DC"/>
              <w:bottom w:val="single" w:sz="4" w:color="D6D6DC"/>
              <w:right w:val="single" w:sz="4" w:color="D6D6DC"/>
            </w:tcBorders>
          </w:tcPr>
          <w:p>
            <w:r/>
            <w:r>
              <w:rPr>
                <w:rFonts w:ascii="Calibri" w:hAnsi="Calibri"/>
                <w:b w:val="0"/>
                <w:i w:val="0"/>
                <w:color w:val="1F2937"/>
                <w:sz w:val="21"/>
              </w:rPr>
              <w:t>Actif</w:t>
            </w:r>
          </w:p>
        </w:tc>
        <w:tc>
          <w:tcPr>
            <w:tcW w:type="dxa" w:w="3249"/>
            <w:vAlign w:val="top"/>
            <w:tcBorders>
              <w:top w:val="single" w:sz="4" w:color="D6D6DC"/>
              <w:left w:val="single" w:sz="4" w:color="D6D6DC"/>
              <w:bottom w:val="single" w:sz="4" w:color="D6D6DC"/>
              <w:right w:val="single" w:sz="4" w:color="D6D6DC"/>
            </w:tcBorders>
          </w:tcPr>
          <w:p>
            <w:r/>
            <w:r>
              <w:rPr>
                <w:rFonts w:ascii="Calibri" w:hAnsi="Calibri"/>
                <w:b w:val="0"/>
                <w:i w:val="0"/>
                <w:color w:val="1F2937"/>
                <w:sz w:val="21"/>
              </w:rPr>
              <w:t>MOYENNE</w:t>
            </w:r>
          </w:p>
        </w:tc>
      </w:tr>
      <w:tr>
        <w:tc>
          <w:tcPr>
            <w:tcW w:type="dxa" w:w="3249"/>
            <w:vAlign w:val="top"/>
            <w:shd w:val="clear" w:color="auto" w:fill="F4F4F6"/>
            <w:tcBorders>
              <w:top w:val="single" w:sz="4" w:color="D6D6DC"/>
              <w:left w:val="single" w:sz="4" w:color="D6D6DC"/>
              <w:bottom w:val="single" w:sz="4" w:color="D6D6DC"/>
              <w:right w:val="single" w:sz="4" w:color="D6D6DC"/>
            </w:tcBorders>
          </w:tcPr>
          <w:p>
            <w:r/>
            <w:r>
              <w:rPr>
                <w:rFonts w:ascii="Calibri" w:hAnsi="Calibri"/>
                <w:b w:val="0"/>
                <w:i w:val="0"/>
                <w:color w:val="1F2937"/>
                <w:sz w:val="21"/>
              </w:rPr>
              <w:t>HubSpot forms</w:t>
            </w:r>
          </w:p>
        </w:tc>
        <w:tc>
          <w:tcPr>
            <w:tcW w:type="dxa" w:w="3249"/>
            <w:vAlign w:val="top"/>
            <w:shd w:val="clear" w:color="auto" w:fill="F4F4F6"/>
            <w:tcBorders>
              <w:top w:val="single" w:sz="4" w:color="D6D6DC"/>
              <w:left w:val="single" w:sz="4" w:color="D6D6DC"/>
              <w:bottom w:val="single" w:sz="4" w:color="D6D6DC"/>
              <w:right w:val="single" w:sz="4" w:color="D6D6DC"/>
            </w:tcBorders>
          </w:tcPr>
          <w:p>
            <w:r/>
            <w:r>
              <w:rPr>
                <w:rFonts w:ascii="Calibri" w:hAnsi="Calibri"/>
                <w:b w:val="0"/>
                <w:i w:val="0"/>
                <w:color w:val="1F2937"/>
                <w:sz w:val="21"/>
              </w:rPr>
              <w:t>Actif</w:t>
            </w:r>
          </w:p>
        </w:tc>
        <w:tc>
          <w:tcPr>
            <w:tcW w:type="dxa" w:w="3249"/>
            <w:vAlign w:val="top"/>
            <w:shd w:val="clear" w:color="auto" w:fill="F4F4F6"/>
            <w:tcBorders>
              <w:top w:val="single" w:sz="4" w:color="D6D6DC"/>
              <w:left w:val="single" w:sz="4" w:color="D6D6DC"/>
              <w:bottom w:val="single" w:sz="4" w:color="D6D6DC"/>
              <w:right w:val="single" w:sz="4" w:color="D6D6DC"/>
            </w:tcBorders>
          </w:tcPr>
          <w:p>
            <w:r/>
            <w:r>
              <w:rPr>
                <w:rFonts w:ascii="Calibri" w:hAnsi="Calibri"/>
                <w:b w:val="0"/>
                <w:i w:val="0"/>
                <w:color w:val="1F2937"/>
                <w:sz w:val="21"/>
              </w:rPr>
              <w:t>HAUTE</w:t>
            </w:r>
          </w:p>
        </w:tc>
      </w:tr>
      <w:tr>
        <w:tc>
          <w:tcPr>
            <w:tcW w:type="dxa" w:w="3249"/>
            <w:vAlign w:val="top"/>
            <w:tcBorders>
              <w:top w:val="single" w:sz="4" w:color="D6D6DC"/>
              <w:left w:val="single" w:sz="4" w:color="D6D6DC"/>
              <w:bottom w:val="single" w:sz="4" w:color="D6D6DC"/>
              <w:right w:val="single" w:sz="4" w:color="D6D6DC"/>
            </w:tcBorders>
          </w:tcPr>
          <w:p>
            <w:r/>
            <w:r>
              <w:rPr>
                <w:rFonts w:ascii="Calibri" w:hAnsi="Calibri"/>
                <w:b w:val="0"/>
                <w:i w:val="0"/>
                <w:color w:val="1F2937"/>
                <w:sz w:val="21"/>
              </w:rPr>
              <w:t>Google Business Profile</w:t>
            </w:r>
          </w:p>
        </w:tc>
        <w:tc>
          <w:tcPr>
            <w:tcW w:type="dxa" w:w="3249"/>
            <w:vAlign w:val="top"/>
            <w:tcBorders>
              <w:top w:val="single" w:sz="4" w:color="D6D6DC"/>
              <w:left w:val="single" w:sz="4" w:color="D6D6DC"/>
              <w:bottom w:val="single" w:sz="4" w:color="D6D6DC"/>
              <w:right w:val="single" w:sz="4" w:color="D6D6DC"/>
            </w:tcBorders>
          </w:tcPr>
          <w:p>
            <w:r/>
            <w:r>
              <w:rPr>
                <w:rFonts w:ascii="Calibri" w:hAnsi="Calibri"/>
                <w:b w:val="0"/>
                <w:i w:val="0"/>
                <w:color w:val="1F2937"/>
                <w:sz w:val="21"/>
              </w:rPr>
              <w:t>Hors scope v1</w:t>
            </w:r>
          </w:p>
        </w:tc>
        <w:tc>
          <w:tcPr>
            <w:tcW w:type="dxa" w:w="3249"/>
            <w:vAlign w:val="top"/>
            <w:tcBorders>
              <w:top w:val="single" w:sz="4" w:color="D6D6DC"/>
              <w:left w:val="single" w:sz="4" w:color="D6D6DC"/>
              <w:bottom w:val="single" w:sz="4" w:color="D6D6DC"/>
              <w:right w:val="single" w:sz="4" w:color="D6D6DC"/>
            </w:tcBorders>
          </w:tcPr>
          <w:p>
            <w:r/>
            <w:r>
              <w:rPr>
                <w:rFonts w:ascii="Calibri" w:hAnsi="Calibri"/>
                <w:b w:val="0"/>
                <w:i w:val="0"/>
                <w:color w:val="1F2937"/>
                <w:sz w:val="21"/>
              </w:rPr>
              <w:t>DIFFÉRÉ</w:t>
            </w:r>
          </w:p>
        </w:tc>
      </w:tr>
      <w:tr>
        <w:tc>
          <w:tcPr>
            <w:tcW w:type="dxa" w:w="3249"/>
            <w:vAlign w:val="top"/>
            <w:shd w:val="clear" w:color="auto" w:fill="F4F4F6"/>
            <w:tcBorders>
              <w:top w:val="single" w:sz="4" w:color="D6D6DC"/>
              <w:left w:val="single" w:sz="4" w:color="D6D6DC"/>
              <w:bottom w:val="single" w:sz="4" w:color="D6D6DC"/>
              <w:right w:val="single" w:sz="4" w:color="D6D6DC"/>
            </w:tcBorders>
          </w:tcPr>
          <w:p>
            <w:r/>
            <w:r>
              <w:rPr>
                <w:rFonts w:ascii="Calibri" w:hAnsi="Calibri"/>
                <w:b w:val="0"/>
                <w:i w:val="0"/>
                <w:color w:val="1F2937"/>
                <w:sz w:val="21"/>
              </w:rPr>
              <w:t>Google Ads</w:t>
            </w:r>
          </w:p>
        </w:tc>
        <w:tc>
          <w:tcPr>
            <w:tcW w:type="dxa" w:w="3249"/>
            <w:vAlign w:val="top"/>
            <w:shd w:val="clear" w:color="auto" w:fill="F4F4F6"/>
            <w:tcBorders>
              <w:top w:val="single" w:sz="4" w:color="D6D6DC"/>
              <w:left w:val="single" w:sz="4" w:color="D6D6DC"/>
              <w:bottom w:val="single" w:sz="4" w:color="D6D6DC"/>
              <w:right w:val="single" w:sz="4" w:color="D6D6DC"/>
            </w:tcBorders>
          </w:tcPr>
          <w:p>
            <w:r/>
            <w:r>
              <w:rPr>
                <w:rFonts w:ascii="Calibri" w:hAnsi="Calibri"/>
                <w:b w:val="0"/>
                <w:i w:val="0"/>
                <w:color w:val="1F2937"/>
                <w:sz w:val="21"/>
              </w:rPr>
              <w:t>Hors scope v1 (test manuel possible)</w:t>
            </w:r>
          </w:p>
        </w:tc>
        <w:tc>
          <w:tcPr>
            <w:tcW w:type="dxa" w:w="3249"/>
            <w:vAlign w:val="top"/>
            <w:shd w:val="clear" w:color="auto" w:fill="F4F4F6"/>
            <w:tcBorders>
              <w:top w:val="single" w:sz="4" w:color="D6D6DC"/>
              <w:left w:val="single" w:sz="4" w:color="D6D6DC"/>
              <w:bottom w:val="single" w:sz="4" w:color="D6D6DC"/>
              <w:right w:val="single" w:sz="4" w:color="D6D6DC"/>
            </w:tcBorders>
          </w:tcPr>
          <w:p>
            <w:r/>
            <w:r>
              <w:rPr>
                <w:rFonts w:ascii="Calibri" w:hAnsi="Calibri"/>
                <w:b w:val="0"/>
                <w:i w:val="0"/>
                <w:color w:val="1F2937"/>
                <w:sz w:val="21"/>
              </w:rPr>
              <w:t>DIFFÉRÉ</w:t>
            </w:r>
          </w:p>
        </w:tc>
      </w:tr>
      <w:tr>
        <w:tc>
          <w:tcPr>
            <w:tcW w:type="dxa" w:w="3249"/>
            <w:vAlign w:val="top"/>
            <w:tcBorders>
              <w:top w:val="single" w:sz="4" w:color="D6D6DC"/>
              <w:left w:val="single" w:sz="4" w:color="D6D6DC"/>
              <w:bottom w:val="single" w:sz="4" w:color="D6D6DC"/>
              <w:right w:val="single" w:sz="4" w:color="D6D6DC"/>
            </w:tcBorders>
          </w:tcPr>
          <w:p>
            <w:r/>
            <w:r>
              <w:rPr>
                <w:rFonts w:ascii="Calibri" w:hAnsi="Calibri"/>
                <w:b w:val="0"/>
                <w:i w:val="0"/>
                <w:color w:val="1F2937"/>
                <w:sz w:val="21"/>
              </w:rPr>
              <w:t>LinkedIn / Outbound</w:t>
            </w:r>
          </w:p>
        </w:tc>
        <w:tc>
          <w:tcPr>
            <w:tcW w:type="dxa" w:w="3249"/>
            <w:vAlign w:val="top"/>
            <w:tcBorders>
              <w:top w:val="single" w:sz="4" w:color="D6D6DC"/>
              <w:left w:val="single" w:sz="4" w:color="D6D6DC"/>
              <w:bottom w:val="single" w:sz="4" w:color="D6D6DC"/>
              <w:right w:val="single" w:sz="4" w:color="D6D6DC"/>
            </w:tcBorders>
          </w:tcPr>
          <w:p>
            <w:r/>
            <w:r>
              <w:rPr>
                <w:rFonts w:ascii="Calibri" w:hAnsi="Calibri"/>
                <w:b w:val="0"/>
                <w:i w:val="0"/>
                <w:color w:val="1F2937"/>
                <w:sz w:val="21"/>
              </w:rPr>
              <w:t>Hors périmètre site web</w:t>
            </w:r>
          </w:p>
        </w:tc>
        <w:tc>
          <w:tcPr>
            <w:tcW w:type="dxa" w:w="3249"/>
            <w:vAlign w:val="top"/>
            <w:tcBorders>
              <w:top w:val="single" w:sz="4" w:color="D6D6DC"/>
              <w:left w:val="single" w:sz="4" w:color="D6D6DC"/>
              <w:bottom w:val="single" w:sz="4" w:color="D6D6DC"/>
              <w:right w:val="single" w:sz="4" w:color="D6D6DC"/>
            </w:tcBorders>
          </w:tcPr>
          <w:p>
            <w:r/>
            <w:r>
              <w:rPr>
                <w:rFonts w:ascii="Calibri" w:hAnsi="Calibri"/>
                <w:b w:val="0"/>
                <w:i w:val="0"/>
                <w:color w:val="1F2937"/>
                <w:sz w:val="21"/>
              </w:rPr>
              <w:t>DIFFÉRÉ</w:t>
            </w:r>
          </w:p>
        </w:tc>
      </w:tr>
      <w:tr>
        <w:tc>
          <w:tcPr>
            <w:tcW w:type="dxa" w:w="3249"/>
            <w:vAlign w:val="top"/>
            <w:shd w:val="clear" w:color="auto" w:fill="F4F4F6"/>
            <w:tcBorders>
              <w:top w:val="single" w:sz="4" w:color="D6D6DC"/>
              <w:left w:val="single" w:sz="4" w:color="D6D6DC"/>
              <w:bottom w:val="single" w:sz="4" w:color="D6D6DC"/>
              <w:right w:val="single" w:sz="4" w:color="D6D6DC"/>
            </w:tcBorders>
          </w:tcPr>
          <w:p>
            <w:r/>
            <w:r>
              <w:rPr>
                <w:rFonts w:ascii="Calibri" w:hAnsi="Calibri"/>
                <w:b w:val="0"/>
                <w:i w:val="0"/>
                <w:color w:val="1F2937"/>
                <w:sz w:val="21"/>
              </w:rPr>
              <w:t>Blog technique VoIP</w:t>
            </w:r>
          </w:p>
        </w:tc>
        <w:tc>
          <w:tcPr>
            <w:tcW w:type="dxa" w:w="3249"/>
            <w:vAlign w:val="top"/>
            <w:shd w:val="clear" w:color="auto" w:fill="F4F4F6"/>
            <w:tcBorders>
              <w:top w:val="single" w:sz="4" w:color="D6D6DC"/>
              <w:left w:val="single" w:sz="4" w:color="D6D6DC"/>
              <w:bottom w:val="single" w:sz="4" w:color="D6D6DC"/>
              <w:right w:val="single" w:sz="4" w:color="D6D6DC"/>
            </w:tcBorders>
          </w:tcPr>
          <w:p>
            <w:r/>
            <w:r>
              <w:rPr>
                <w:rFonts w:ascii="Calibri" w:hAnsi="Calibri"/>
                <w:b w:val="0"/>
                <w:i w:val="0"/>
                <w:color w:val="1F2937"/>
                <w:sz w:val="21"/>
              </w:rPr>
              <w:t>Phase ultérieure</w:t>
            </w:r>
          </w:p>
        </w:tc>
        <w:tc>
          <w:tcPr>
            <w:tcW w:type="dxa" w:w="3249"/>
            <w:vAlign w:val="top"/>
            <w:shd w:val="clear" w:color="auto" w:fill="F4F4F6"/>
            <w:tcBorders>
              <w:top w:val="single" w:sz="4" w:color="D6D6DC"/>
              <w:left w:val="single" w:sz="4" w:color="D6D6DC"/>
              <w:bottom w:val="single" w:sz="4" w:color="D6D6DC"/>
              <w:right w:val="single" w:sz="4" w:color="D6D6DC"/>
            </w:tcBorders>
          </w:tcPr>
          <w:p>
            <w:r/>
            <w:r>
              <w:rPr>
                <w:rFonts w:ascii="Calibri" w:hAnsi="Calibri"/>
                <w:b w:val="0"/>
                <w:i w:val="0"/>
                <w:color w:val="1F2937"/>
                <w:sz w:val="21"/>
              </w:rPr>
              <w:t>DIFFÉRÉ</w:t>
            </w:r>
          </w:p>
        </w:tc>
      </w:tr>
    </w:tbl>
    <w:p>
      <w:pPr>
        <w:spacing w:after="40"/>
      </w:pPr>
    </w:p>
    <w:p>
      <w:pPr>
        <w:pStyle w:val="Heading2"/>
      </w:pPr>
      <w:r>
        <w:t>8.4. Partenariats commerciaux structurants</w:t>
      </w:r>
    </w:p>
    <w:tbl>
      <w:tblPr>
        <w:tblW w:type="auto" w:w="0"/>
        <w:jc w:val="center"/>
        <w:tblLayout w:type="autofit"/>
        <w:tblLook w:firstColumn="1" w:firstRow="1" w:lastColumn="0" w:lastRow="0" w:noHBand="0" w:noVBand="1" w:val="04A0"/>
      </w:tblPr>
      <w:tblGrid>
        <w:gridCol w:w="3249"/>
        <w:gridCol w:w="3249"/>
        <w:gridCol w:w="3249"/>
      </w:tblGrid>
      <w:tr>
        <w:tc>
          <w:tcPr>
            <w:tcW w:type="dxa" w:w="3249"/>
            <w:vAlign w:val="center"/>
            <w:shd w:val="clear" w:color="auto" w:fill="2D3848"/>
            <w:tcBorders>
              <w:top w:val="single" w:sz="4" w:color="2D3848"/>
              <w:left w:val="single" w:sz="4" w:color="2D3848"/>
              <w:bottom w:val="single" w:sz="4" w:color="2D3848"/>
              <w:right w:val="single" w:sz="4" w:color="2D3848"/>
            </w:tcBorders>
          </w:tcPr>
          <w:p>
            <w:r/>
            <w:r>
              <w:rPr>
                <w:rFonts w:ascii="Calibri" w:hAnsi="Calibri"/>
                <w:b/>
                <w:i w:val="0"/>
                <w:color w:val="FFFFFF"/>
                <w:sz w:val="21"/>
              </w:rPr>
              <w:t>Partenaire</w:t>
            </w:r>
          </w:p>
        </w:tc>
        <w:tc>
          <w:tcPr>
            <w:tcW w:type="dxa" w:w="3249"/>
            <w:vAlign w:val="center"/>
            <w:shd w:val="clear" w:color="auto" w:fill="2D3848"/>
            <w:tcBorders>
              <w:top w:val="single" w:sz="4" w:color="2D3848"/>
              <w:left w:val="single" w:sz="4" w:color="2D3848"/>
              <w:bottom w:val="single" w:sz="4" w:color="2D3848"/>
              <w:right w:val="single" w:sz="4" w:color="2D3848"/>
            </w:tcBorders>
          </w:tcPr>
          <w:p>
            <w:r/>
            <w:r>
              <w:rPr>
                <w:rFonts w:ascii="Calibri" w:hAnsi="Calibri"/>
                <w:b/>
                <w:i w:val="0"/>
                <w:color w:val="FFFFFF"/>
                <w:sz w:val="21"/>
              </w:rPr>
              <w:t>Type</w:t>
            </w:r>
          </w:p>
        </w:tc>
        <w:tc>
          <w:tcPr>
            <w:tcW w:type="dxa" w:w="3249"/>
            <w:vAlign w:val="center"/>
            <w:shd w:val="clear" w:color="auto" w:fill="2D3848"/>
            <w:tcBorders>
              <w:top w:val="single" w:sz="4" w:color="2D3848"/>
              <w:left w:val="single" w:sz="4" w:color="2D3848"/>
              <w:bottom w:val="single" w:sz="4" w:color="2D3848"/>
              <w:right w:val="single" w:sz="4" w:color="2D3848"/>
            </w:tcBorders>
          </w:tcPr>
          <w:p>
            <w:r/>
            <w:r>
              <w:rPr>
                <w:rFonts w:ascii="Calibri" w:hAnsi="Calibri"/>
                <w:b/>
                <w:i w:val="0"/>
                <w:color w:val="FFFFFF"/>
                <w:sz w:val="21"/>
              </w:rPr>
              <w:t>Apport business</w:t>
            </w:r>
          </w:p>
        </w:tc>
      </w:tr>
      <w:tr>
        <w:tc>
          <w:tcPr>
            <w:tcW w:type="dxa" w:w="3249"/>
            <w:vAlign w:val="top"/>
            <w:tcBorders>
              <w:top w:val="single" w:sz="4" w:color="D6D6DC"/>
              <w:left w:val="single" w:sz="4" w:color="D6D6DC"/>
              <w:bottom w:val="single" w:sz="4" w:color="D6D6DC"/>
              <w:right w:val="single" w:sz="4" w:color="D6D6DC"/>
            </w:tcBorders>
          </w:tcPr>
          <w:p>
            <w:r/>
            <w:r>
              <w:rPr>
                <w:rFonts w:ascii="Calibri" w:hAnsi="Calibri"/>
                <w:b w:val="0"/>
                <w:i w:val="0"/>
                <w:color w:val="1F2937"/>
                <w:sz w:val="21"/>
              </w:rPr>
              <w:t>3CX (Silver Partner)</w:t>
            </w:r>
          </w:p>
        </w:tc>
        <w:tc>
          <w:tcPr>
            <w:tcW w:type="dxa" w:w="3249"/>
            <w:vAlign w:val="top"/>
            <w:tcBorders>
              <w:top w:val="single" w:sz="4" w:color="D6D6DC"/>
              <w:left w:val="single" w:sz="4" w:color="D6D6DC"/>
              <w:bottom w:val="single" w:sz="4" w:color="D6D6DC"/>
              <w:right w:val="single" w:sz="4" w:color="D6D6DC"/>
            </w:tcBorders>
          </w:tcPr>
          <w:p>
            <w:r/>
            <w:r>
              <w:rPr>
                <w:rFonts w:ascii="Calibri" w:hAnsi="Calibri"/>
                <w:b w:val="0"/>
                <w:i w:val="0"/>
                <w:color w:val="1F2937"/>
                <w:sz w:val="21"/>
              </w:rPr>
              <w:t>Vendor</w:t>
            </w:r>
          </w:p>
        </w:tc>
        <w:tc>
          <w:tcPr>
            <w:tcW w:type="dxa" w:w="3249"/>
            <w:vAlign w:val="top"/>
            <w:tcBorders>
              <w:top w:val="single" w:sz="4" w:color="D6D6DC"/>
              <w:left w:val="single" w:sz="4" w:color="D6D6DC"/>
              <w:bottom w:val="single" w:sz="4" w:color="D6D6DC"/>
              <w:right w:val="single" w:sz="4" w:color="D6D6DC"/>
            </w:tcBorders>
          </w:tcPr>
          <w:p>
            <w:r/>
            <w:r>
              <w:rPr>
                <w:rFonts w:ascii="Calibri" w:hAnsi="Calibri"/>
                <w:b w:val="0"/>
                <w:i w:val="0"/>
                <w:color w:val="1F2937"/>
                <w:sz w:val="21"/>
              </w:rPr>
              <w:t>Légitimité technique, support 3CX France direct, accès leads écosystème</w:t>
            </w:r>
          </w:p>
        </w:tc>
      </w:tr>
      <w:tr>
        <w:tc>
          <w:tcPr>
            <w:tcW w:type="dxa" w:w="3249"/>
            <w:vAlign w:val="top"/>
            <w:shd w:val="clear" w:color="auto" w:fill="F4F4F6"/>
            <w:tcBorders>
              <w:top w:val="single" w:sz="4" w:color="D6D6DC"/>
              <w:left w:val="single" w:sz="4" w:color="D6D6DC"/>
              <w:bottom w:val="single" w:sz="4" w:color="D6D6DC"/>
              <w:right w:val="single" w:sz="4" w:color="D6D6DC"/>
            </w:tcBorders>
          </w:tcPr>
          <w:p>
            <w:r/>
            <w:r>
              <w:rPr>
                <w:rFonts w:ascii="Calibri" w:hAnsi="Calibri"/>
                <w:b w:val="0"/>
                <w:i w:val="0"/>
                <w:color w:val="1F2937"/>
                <w:sz w:val="21"/>
              </w:rPr>
              <w:t>Yeastar</w:t>
            </w:r>
          </w:p>
        </w:tc>
        <w:tc>
          <w:tcPr>
            <w:tcW w:type="dxa" w:w="3249"/>
            <w:vAlign w:val="top"/>
            <w:shd w:val="clear" w:color="auto" w:fill="F4F4F6"/>
            <w:tcBorders>
              <w:top w:val="single" w:sz="4" w:color="D6D6DC"/>
              <w:left w:val="single" w:sz="4" w:color="D6D6DC"/>
              <w:bottom w:val="single" w:sz="4" w:color="D6D6DC"/>
              <w:right w:val="single" w:sz="4" w:color="D6D6DC"/>
            </w:tcBorders>
          </w:tcPr>
          <w:p>
            <w:r/>
            <w:r>
              <w:rPr>
                <w:rFonts w:ascii="Calibri" w:hAnsi="Calibri"/>
                <w:b w:val="0"/>
                <w:i w:val="0"/>
                <w:color w:val="1F2937"/>
                <w:sz w:val="21"/>
              </w:rPr>
              <w:t>Vendor (depuis 2025)</w:t>
            </w:r>
          </w:p>
        </w:tc>
        <w:tc>
          <w:tcPr>
            <w:tcW w:type="dxa" w:w="3249"/>
            <w:vAlign w:val="top"/>
            <w:shd w:val="clear" w:color="auto" w:fill="F4F4F6"/>
            <w:tcBorders>
              <w:top w:val="single" w:sz="4" w:color="D6D6DC"/>
              <w:left w:val="single" w:sz="4" w:color="D6D6DC"/>
              <w:bottom w:val="single" w:sz="4" w:color="D6D6DC"/>
              <w:right w:val="single" w:sz="4" w:color="D6D6DC"/>
            </w:tcBorders>
          </w:tcPr>
          <w:p>
            <w:r/>
            <w:r>
              <w:rPr>
                <w:rFonts w:ascii="Calibri" w:hAnsi="Calibri"/>
                <w:b w:val="0"/>
                <w:i w:val="0"/>
                <w:color w:val="1F2937"/>
                <w:sz w:val="21"/>
              </w:rPr>
              <w:t>Alternative économique pour petites structures</w:t>
            </w:r>
          </w:p>
        </w:tc>
      </w:tr>
      <w:tr>
        <w:tc>
          <w:tcPr>
            <w:tcW w:type="dxa" w:w="3249"/>
            <w:vAlign w:val="top"/>
            <w:tcBorders>
              <w:top w:val="single" w:sz="4" w:color="D6D6DC"/>
              <w:left w:val="single" w:sz="4" w:color="D6D6DC"/>
              <w:bottom w:val="single" w:sz="4" w:color="D6D6DC"/>
              <w:right w:val="single" w:sz="4" w:color="D6D6DC"/>
            </w:tcBorders>
          </w:tcPr>
          <w:p>
            <w:r/>
            <w:r>
              <w:rPr>
                <w:rFonts w:ascii="Calibri" w:hAnsi="Calibri"/>
                <w:b w:val="0"/>
                <w:i w:val="0"/>
                <w:color w:val="1F2937"/>
                <w:sz w:val="21"/>
              </w:rPr>
              <w:t>Fanvil / Yealink</w:t>
            </w:r>
          </w:p>
        </w:tc>
        <w:tc>
          <w:tcPr>
            <w:tcW w:type="dxa" w:w="3249"/>
            <w:vAlign w:val="top"/>
            <w:tcBorders>
              <w:top w:val="single" w:sz="4" w:color="D6D6DC"/>
              <w:left w:val="single" w:sz="4" w:color="D6D6DC"/>
              <w:bottom w:val="single" w:sz="4" w:color="D6D6DC"/>
              <w:right w:val="single" w:sz="4" w:color="D6D6DC"/>
            </w:tcBorders>
          </w:tcPr>
          <w:p>
            <w:r/>
            <w:r>
              <w:rPr>
                <w:rFonts w:ascii="Calibri" w:hAnsi="Calibri"/>
                <w:b w:val="0"/>
                <w:i w:val="0"/>
                <w:color w:val="1F2937"/>
                <w:sz w:val="21"/>
              </w:rPr>
              <w:t>Hardware</w:t>
            </w:r>
          </w:p>
        </w:tc>
        <w:tc>
          <w:tcPr>
            <w:tcW w:type="dxa" w:w="3249"/>
            <w:vAlign w:val="top"/>
            <w:tcBorders>
              <w:top w:val="single" w:sz="4" w:color="D6D6DC"/>
              <w:left w:val="single" w:sz="4" w:color="D6D6DC"/>
              <w:bottom w:val="single" w:sz="4" w:color="D6D6DC"/>
              <w:right w:val="single" w:sz="4" w:color="D6D6DC"/>
            </w:tcBorders>
          </w:tcPr>
          <w:p>
            <w:r/>
            <w:r>
              <w:rPr>
                <w:rFonts w:ascii="Calibri" w:hAnsi="Calibri"/>
                <w:b w:val="0"/>
                <w:i w:val="0"/>
                <w:color w:val="1F2937"/>
                <w:sz w:val="21"/>
              </w:rPr>
              <w:t>Console cloud FDMCS, supervision parc à distance</w:t>
            </w:r>
          </w:p>
        </w:tc>
      </w:tr>
      <w:tr>
        <w:tc>
          <w:tcPr>
            <w:tcW w:type="dxa" w:w="3249"/>
            <w:vAlign w:val="top"/>
            <w:shd w:val="clear" w:color="auto" w:fill="F4F4F6"/>
            <w:tcBorders>
              <w:top w:val="single" w:sz="4" w:color="D6D6DC"/>
              <w:left w:val="single" w:sz="4" w:color="D6D6DC"/>
              <w:bottom w:val="single" w:sz="4" w:color="D6D6DC"/>
              <w:right w:val="single" w:sz="4" w:color="D6D6DC"/>
            </w:tcBorders>
          </w:tcPr>
          <w:p>
            <w:r/>
            <w:r>
              <w:rPr>
                <w:rFonts w:ascii="Calibri" w:hAnsi="Calibri"/>
                <w:b w:val="0"/>
                <w:i w:val="0"/>
                <w:color w:val="1F2937"/>
                <w:sz w:val="21"/>
              </w:rPr>
              <w:t>SFR Business Caraïbes</w:t>
            </w:r>
          </w:p>
        </w:tc>
        <w:tc>
          <w:tcPr>
            <w:tcW w:type="dxa" w:w="3249"/>
            <w:vAlign w:val="top"/>
            <w:shd w:val="clear" w:color="auto" w:fill="F4F4F6"/>
            <w:tcBorders>
              <w:top w:val="single" w:sz="4" w:color="D6D6DC"/>
              <w:left w:val="single" w:sz="4" w:color="D6D6DC"/>
              <w:bottom w:val="single" w:sz="4" w:color="D6D6DC"/>
              <w:right w:val="single" w:sz="4" w:color="D6D6DC"/>
            </w:tcBorders>
          </w:tcPr>
          <w:p>
            <w:r/>
            <w:r>
              <w:rPr>
                <w:rFonts w:ascii="Calibri" w:hAnsi="Calibri"/>
                <w:b w:val="0"/>
                <w:i w:val="0"/>
                <w:color w:val="1F2937"/>
                <w:sz w:val="21"/>
              </w:rPr>
              <w:t>Opérateur national</w:t>
            </w:r>
          </w:p>
        </w:tc>
        <w:tc>
          <w:tcPr>
            <w:tcW w:type="dxa" w:w="3249"/>
            <w:vAlign w:val="top"/>
            <w:shd w:val="clear" w:color="auto" w:fill="F4F4F6"/>
            <w:tcBorders>
              <w:top w:val="single" w:sz="4" w:color="D6D6DC"/>
              <w:left w:val="single" w:sz="4" w:color="D6D6DC"/>
              <w:bottom w:val="single" w:sz="4" w:color="D6D6DC"/>
              <w:right w:val="single" w:sz="4" w:color="D6D6DC"/>
            </w:tcBorders>
          </w:tcPr>
          <w:p>
            <w:r/>
            <w:r>
              <w:rPr>
                <w:rFonts w:ascii="Calibri" w:hAnsi="Calibri"/>
                <w:b w:val="0"/>
                <w:i w:val="0"/>
                <w:color w:val="1F2937"/>
                <w:sz w:val="21"/>
              </w:rPr>
              <w:t>Co-commercialisation Fibre + Trunk SIP DOM, légitimation par grand opérateur</w:t>
            </w:r>
          </w:p>
        </w:tc>
      </w:tr>
      <w:tr>
        <w:tc>
          <w:tcPr>
            <w:tcW w:type="dxa" w:w="3249"/>
            <w:vAlign w:val="top"/>
            <w:tcBorders>
              <w:top w:val="single" w:sz="4" w:color="D6D6DC"/>
              <w:left w:val="single" w:sz="4" w:color="D6D6DC"/>
              <w:bottom w:val="single" w:sz="4" w:color="D6D6DC"/>
              <w:right w:val="single" w:sz="4" w:color="D6D6DC"/>
            </w:tcBorders>
          </w:tcPr>
          <w:p>
            <w:r/>
            <w:r>
              <w:rPr>
                <w:rFonts w:ascii="Calibri" w:hAnsi="Calibri"/>
                <w:b w:val="0"/>
                <w:i w:val="0"/>
                <w:color w:val="1F2937"/>
                <w:sz w:val="21"/>
              </w:rPr>
              <w:t>Grenke / Cleodis</w:t>
            </w:r>
          </w:p>
        </w:tc>
        <w:tc>
          <w:tcPr>
            <w:tcW w:type="dxa" w:w="3249"/>
            <w:vAlign w:val="top"/>
            <w:tcBorders>
              <w:top w:val="single" w:sz="4" w:color="D6D6DC"/>
              <w:left w:val="single" w:sz="4" w:color="D6D6DC"/>
              <w:bottom w:val="single" w:sz="4" w:color="D6D6DC"/>
              <w:right w:val="single" w:sz="4" w:color="D6D6DC"/>
            </w:tcBorders>
          </w:tcPr>
          <w:p>
            <w:r/>
            <w:r>
              <w:rPr>
                <w:rFonts w:ascii="Calibri" w:hAnsi="Calibri"/>
                <w:b w:val="0"/>
                <w:i w:val="0"/>
                <w:color w:val="1F2937"/>
                <w:sz w:val="21"/>
              </w:rPr>
              <w:t>Financement</w:t>
            </w:r>
          </w:p>
        </w:tc>
        <w:tc>
          <w:tcPr>
            <w:tcW w:type="dxa" w:w="3249"/>
            <w:vAlign w:val="top"/>
            <w:tcBorders>
              <w:top w:val="single" w:sz="4" w:color="D6D6DC"/>
              <w:left w:val="single" w:sz="4" w:color="D6D6DC"/>
              <w:bottom w:val="single" w:sz="4" w:color="D6D6DC"/>
              <w:right w:val="single" w:sz="4" w:color="D6D6DC"/>
            </w:tcBorders>
          </w:tcPr>
          <w:p>
            <w:r/>
            <w:r>
              <w:rPr>
                <w:rFonts w:ascii="Calibri" w:hAnsi="Calibri"/>
                <w:b w:val="0"/>
                <w:i w:val="0"/>
                <w:color w:val="1F2937"/>
                <w:sz w:val="21"/>
              </w:rPr>
              <w:t>Levée d'objection trésorerie chez le prospect</w:t>
            </w:r>
          </w:p>
        </w:tc>
      </w:tr>
    </w:tbl>
    <w:p>
      <w:pPr>
        <w:spacing w:after="40"/>
      </w:pPr>
    </w:p>
    <w:p>
      <w:pPr>
        <w:pStyle w:val="Heading1"/>
        <w:pBdr>
          <w:bottom w:val="single" w:sz="16" w:space="1" w:color="E53E3E"/>
        </w:pBdr>
      </w:pPr>
      <w:r>
        <w:t>9. Messaging &amp; Tonalité</w:t>
      </w:r>
    </w:p>
    <w:p>
      <w:pPr>
        <w:pStyle w:val="Heading2"/>
      </w:pPr>
      <w:r>
        <w:t>9.1. Piliers de messaging</w:t>
      </w:r>
    </w:p>
    <w:p>
      <w:pPr>
        <w:pStyle w:val="ListBullet"/>
      </w:pPr>
      <w:r>
        <w:rPr>
          <w:rFonts w:ascii="Calibri" w:hAnsi="Calibri"/>
          <w:b w:val="0"/>
          <w:i w:val="0"/>
          <w:color w:val="1F2937"/>
          <w:sz w:val="22"/>
        </w:rPr>
        <w:t>Du problème à la solution — clients face à l'arrêt du cuivre, pression budgétaire, complexité multisite</w:t>
      </w:r>
    </w:p>
    <w:p>
      <w:pPr>
        <w:pStyle w:val="ListBullet"/>
      </w:pPr>
      <w:r>
        <w:rPr>
          <w:rFonts w:ascii="Calibri" w:hAnsi="Calibri"/>
          <w:b w:val="0"/>
          <w:i w:val="0"/>
          <w:color w:val="1F2937"/>
          <w:sz w:val="22"/>
        </w:rPr>
        <w:t>Excellence technique + proximité géographique + tarif transparent — notre triple promesse</w:t>
      </w:r>
    </w:p>
    <w:p>
      <w:pPr>
        <w:pStyle w:val="ListBullet"/>
      </w:pPr>
      <w:r>
        <w:rPr>
          <w:rFonts w:ascii="Calibri" w:hAnsi="Calibri"/>
          <w:b w:val="0"/>
          <w:i w:val="0"/>
          <w:color w:val="1F2937"/>
          <w:sz w:val="22"/>
        </w:rPr>
        <w:t>Adoption rapide, ROI maximisé, partenariat (pas relation fournisseur) — le résultat client</w:t>
      </w:r>
    </w:p>
    <w:p>
      <w:pPr>
        <w:pStyle w:val="Heading2"/>
      </w:pPr>
      <w:r>
        <w:t>9.2. Tonalité</w:t>
      </w:r>
    </w:p>
    <w:p>
      <w:pPr>
        <w:pStyle w:val="ListBullet"/>
      </w:pPr>
      <w:r>
        <w:rPr>
          <w:rFonts w:ascii="Calibri" w:hAnsi="Calibri"/>
          <w:b w:val="0"/>
          <w:i w:val="0"/>
          <w:color w:val="1F2937"/>
          <w:sz w:val="22"/>
        </w:rPr>
        <w:t>Professionnel et rassurant (cible PME averse au risque)</w:t>
      </w:r>
    </w:p>
    <w:p>
      <w:pPr>
        <w:pStyle w:val="ListBullet"/>
      </w:pPr>
      <w:r>
        <w:rPr>
          <w:rFonts w:ascii="Calibri" w:hAnsi="Calibri"/>
          <w:b w:val="0"/>
          <w:i w:val="0"/>
          <w:color w:val="1F2937"/>
          <w:sz w:val="22"/>
        </w:rPr>
        <w:t>Confiance technique sans jargon excessif</w:t>
      </w:r>
    </w:p>
    <w:p>
      <w:pPr>
        <w:pStyle w:val="ListBullet"/>
      </w:pPr>
      <w:r>
        <w:rPr>
          <w:rFonts w:ascii="Calibri" w:hAnsi="Calibri"/>
          <w:b w:val="0"/>
          <w:i w:val="0"/>
          <w:color w:val="1F2937"/>
          <w:sz w:val="22"/>
        </w:rPr>
        <w:t>Local et présent — emphase sur les territoires et la réactivité</w:t>
      </w:r>
    </w:p>
    <w:p>
      <w:pPr>
        <w:pStyle w:val="ListBullet"/>
      </w:pPr>
      <w:r>
        <w:rPr>
          <w:rFonts w:ascii="Calibri" w:hAnsi="Calibri"/>
          <w:b w:val="0"/>
          <w:i w:val="0"/>
          <w:color w:val="1F2937"/>
          <w:sz w:val="22"/>
        </w:rPr>
        <w:t>Concret — exemples chiffrés (« 60 à 90+ utilisateurs », « livraison 48h »)</w:t>
      </w:r>
    </w:p>
    <w:p>
      <w:pPr>
        <w:pStyle w:val="Heading2"/>
      </w:pPr>
      <w:r>
        <w:t>9.3. Vocabulaire à privilégier</w:t>
      </w:r>
    </w:p>
    <w:p>
      <w:r>
        <w:rPr>
          <w:rFonts w:ascii="Calibri" w:hAnsi="Calibri"/>
          <w:b w:val="0"/>
          <w:i/>
          <w:color w:val="2D3848"/>
          <w:sz w:val="22"/>
        </w:rPr>
        <w:t>Opérateur de service télécom · intégrateur VoIP · Customer Success · proximité · expertise certifiée · souverain · transparent · partenaire</w:t>
      </w:r>
    </w:p>
    <w:p>
      <w:pPr>
        <w:pStyle w:val="Heading2"/>
      </w:pPr>
      <w:r>
        <w:t>9.4. Vocabulaire à éviter</w:t>
      </w:r>
    </w:p>
    <w:p>
      <w:r>
        <w:rPr>
          <w:rFonts w:ascii="Calibri" w:hAnsi="Calibri"/>
          <w:b w:val="0"/>
          <w:i/>
          <w:color w:val="818096"/>
          <w:sz w:val="22"/>
        </w:rPr>
        <w:t>« Solution révolutionnaire » · « Leader incontesté » · jargon marketing creux · promesses non quantifiables</w:t>
      </w:r>
    </w:p>
    <w:p>
      <w:pPr>
        <w:pStyle w:val="Heading1"/>
        <w:pBdr>
          <w:bottom w:val="single" w:sz="16" w:space="1" w:color="E53E3E"/>
        </w:pBdr>
      </w:pPr>
      <w:r>
        <w:t>10. KPIs &amp; Mesure de Performance</w:t>
      </w:r>
    </w:p>
    <w:p>
      <w:pPr>
        <w:pStyle w:val="Heading2"/>
      </w:pPr>
      <w:r>
        <w:t>10.1. KPIs primaires (Phase Ship &amp; Measure)</w:t>
      </w:r>
    </w:p>
    <w:tbl>
      <w:tblPr>
        <w:tblW w:type="auto" w:w="0"/>
        <w:jc w:val="center"/>
        <w:tblLayout w:type="autofit"/>
        <w:tblLook w:firstColumn="1" w:firstRow="1" w:lastColumn="0" w:lastRow="0" w:noHBand="0" w:noVBand="1" w:val="04A0"/>
      </w:tblPr>
      <w:tblGrid>
        <w:gridCol w:w="2436"/>
        <w:gridCol w:w="2436"/>
        <w:gridCol w:w="2436"/>
        <w:gridCol w:w="2436"/>
      </w:tblGrid>
      <w:tr>
        <w:tc>
          <w:tcPr>
            <w:tcW w:type="dxa" w:w="2436"/>
            <w:vAlign w:val="center"/>
            <w:shd w:val="clear" w:color="auto" w:fill="2D3848"/>
            <w:tcBorders>
              <w:top w:val="single" w:sz="4" w:color="2D3848"/>
              <w:left w:val="single" w:sz="4" w:color="2D3848"/>
              <w:bottom w:val="single" w:sz="4" w:color="2D3848"/>
              <w:right w:val="single" w:sz="4" w:color="2D3848"/>
            </w:tcBorders>
          </w:tcPr>
          <w:p>
            <w:r/>
            <w:r>
              <w:rPr>
                <w:rFonts w:ascii="Calibri" w:hAnsi="Calibri"/>
                <w:b/>
                <w:i w:val="0"/>
                <w:color w:val="FFFFFF"/>
                <w:sz w:val="21"/>
              </w:rPr>
              <w:t>KPI</w:t>
            </w:r>
          </w:p>
        </w:tc>
        <w:tc>
          <w:tcPr>
            <w:tcW w:type="dxa" w:w="2436"/>
            <w:vAlign w:val="center"/>
            <w:shd w:val="clear" w:color="auto" w:fill="2D3848"/>
            <w:tcBorders>
              <w:top w:val="single" w:sz="4" w:color="2D3848"/>
              <w:left w:val="single" w:sz="4" w:color="2D3848"/>
              <w:bottom w:val="single" w:sz="4" w:color="2D3848"/>
              <w:right w:val="single" w:sz="4" w:color="2D3848"/>
            </w:tcBorders>
          </w:tcPr>
          <w:p>
            <w:r/>
            <w:r>
              <w:rPr>
                <w:rFonts w:ascii="Calibri" w:hAnsi="Calibri"/>
                <w:b/>
                <w:i w:val="0"/>
                <w:color w:val="FFFFFF"/>
                <w:sz w:val="21"/>
              </w:rPr>
              <w:t>Source</w:t>
            </w:r>
          </w:p>
        </w:tc>
        <w:tc>
          <w:tcPr>
            <w:tcW w:type="dxa" w:w="2436"/>
            <w:vAlign w:val="center"/>
            <w:shd w:val="clear" w:color="auto" w:fill="2D3848"/>
            <w:tcBorders>
              <w:top w:val="single" w:sz="4" w:color="2D3848"/>
              <w:left w:val="single" w:sz="4" w:color="2D3848"/>
              <w:bottom w:val="single" w:sz="4" w:color="2D3848"/>
              <w:right w:val="single" w:sz="4" w:color="2D3848"/>
            </w:tcBorders>
          </w:tcPr>
          <w:p>
            <w:r/>
            <w:r>
              <w:rPr>
                <w:rFonts w:ascii="Calibri" w:hAnsi="Calibri"/>
                <w:b/>
                <w:i w:val="0"/>
                <w:color w:val="FFFFFF"/>
                <w:sz w:val="21"/>
              </w:rPr>
              <w:t>Baseline</w:t>
            </w:r>
          </w:p>
        </w:tc>
        <w:tc>
          <w:tcPr>
            <w:tcW w:type="dxa" w:w="2436"/>
            <w:vAlign w:val="center"/>
            <w:shd w:val="clear" w:color="auto" w:fill="2D3848"/>
            <w:tcBorders>
              <w:top w:val="single" w:sz="4" w:color="2D3848"/>
              <w:left w:val="single" w:sz="4" w:color="2D3848"/>
              <w:bottom w:val="single" w:sz="4" w:color="2D3848"/>
              <w:right w:val="single" w:sz="4" w:color="2D3848"/>
            </w:tcBorders>
          </w:tcPr>
          <w:p>
            <w:r/>
            <w:r>
              <w:rPr>
                <w:rFonts w:ascii="Calibri" w:hAnsi="Calibri"/>
                <w:b/>
                <w:i w:val="0"/>
                <w:color w:val="FFFFFF"/>
                <w:sz w:val="21"/>
              </w:rPr>
              <w:t>Cible 3 mois</w:t>
            </w:r>
          </w:p>
        </w:tc>
      </w:tr>
      <w:tr>
        <w:tc>
          <w:tcPr>
            <w:tcW w:type="dxa" w:w="2436"/>
            <w:vAlign w:val="top"/>
            <w:tcBorders>
              <w:top w:val="single" w:sz="4" w:color="D6D6DC"/>
              <w:left w:val="single" w:sz="4" w:color="D6D6DC"/>
              <w:bottom w:val="single" w:sz="4" w:color="D6D6DC"/>
              <w:right w:val="single" w:sz="4" w:color="D6D6DC"/>
            </w:tcBorders>
          </w:tcPr>
          <w:p>
            <w:r/>
            <w:r>
              <w:rPr>
                <w:rFonts w:ascii="Calibri" w:hAnsi="Calibri"/>
                <w:b w:val="0"/>
                <w:i w:val="0"/>
                <w:color w:val="1F2937"/>
                <w:sz w:val="21"/>
              </w:rPr>
              <w:t>Leads qualifiés / mois</w:t>
            </w:r>
          </w:p>
        </w:tc>
        <w:tc>
          <w:tcPr>
            <w:tcW w:type="dxa" w:w="2436"/>
            <w:vAlign w:val="top"/>
            <w:tcBorders>
              <w:top w:val="single" w:sz="4" w:color="D6D6DC"/>
              <w:left w:val="single" w:sz="4" w:color="D6D6DC"/>
              <w:bottom w:val="single" w:sz="4" w:color="D6D6DC"/>
              <w:right w:val="single" w:sz="4" w:color="D6D6DC"/>
            </w:tcBorders>
          </w:tcPr>
          <w:p>
            <w:r/>
            <w:r>
              <w:rPr>
                <w:rFonts w:ascii="Calibri" w:hAnsi="Calibri"/>
                <w:b w:val="0"/>
                <w:i w:val="0"/>
                <w:color w:val="1F2937"/>
                <w:sz w:val="21"/>
              </w:rPr>
              <w:t>HubSpot CRM</w:t>
            </w:r>
          </w:p>
        </w:tc>
        <w:tc>
          <w:tcPr>
            <w:tcW w:type="dxa" w:w="2436"/>
            <w:vAlign w:val="top"/>
            <w:tcBorders>
              <w:top w:val="single" w:sz="4" w:color="D6D6DC"/>
              <w:left w:val="single" w:sz="4" w:color="D6D6DC"/>
              <w:bottom w:val="single" w:sz="4" w:color="D6D6DC"/>
              <w:right w:val="single" w:sz="4" w:color="D6D6DC"/>
            </w:tcBorders>
          </w:tcPr>
          <w:p>
            <w:r/>
            <w:r>
              <w:rPr>
                <w:rFonts w:ascii="Calibri" w:hAnsi="Calibri"/>
                <w:b w:val="0"/>
                <w:i w:val="0"/>
                <w:color w:val="1F2937"/>
                <w:sz w:val="21"/>
              </w:rPr>
              <w:t>&lt; 20</w:t>
            </w:r>
          </w:p>
        </w:tc>
        <w:tc>
          <w:tcPr>
            <w:tcW w:type="dxa" w:w="2436"/>
            <w:vAlign w:val="top"/>
            <w:tcBorders>
              <w:top w:val="single" w:sz="4" w:color="D6D6DC"/>
              <w:left w:val="single" w:sz="4" w:color="D6D6DC"/>
              <w:bottom w:val="single" w:sz="4" w:color="D6D6DC"/>
              <w:right w:val="single" w:sz="4" w:color="D6D6DC"/>
            </w:tcBorders>
          </w:tcPr>
          <w:p>
            <w:r/>
            <w:r>
              <w:rPr>
                <w:rFonts w:ascii="Calibri" w:hAnsi="Calibri"/>
                <w:b w:val="0"/>
                <w:i w:val="0"/>
                <w:color w:val="1F2937"/>
                <w:sz w:val="21"/>
              </w:rPr>
              <w:t>35-40</w:t>
            </w:r>
          </w:p>
        </w:tc>
      </w:tr>
      <w:tr>
        <w:tc>
          <w:tcPr>
            <w:tcW w:type="dxa" w:w="2436"/>
            <w:vAlign w:val="top"/>
            <w:shd w:val="clear" w:color="auto" w:fill="F4F4F6"/>
            <w:tcBorders>
              <w:top w:val="single" w:sz="4" w:color="D6D6DC"/>
              <w:left w:val="single" w:sz="4" w:color="D6D6DC"/>
              <w:bottom w:val="single" w:sz="4" w:color="D6D6DC"/>
              <w:right w:val="single" w:sz="4" w:color="D6D6DC"/>
            </w:tcBorders>
          </w:tcPr>
          <w:p>
            <w:r/>
            <w:r>
              <w:rPr>
                <w:rFonts w:ascii="Calibri" w:hAnsi="Calibri"/>
                <w:b w:val="0"/>
                <w:i w:val="0"/>
                <w:color w:val="1F2937"/>
                <w:sz w:val="21"/>
              </w:rPr>
              <w:t>Taux de conversion cta_click → form_submit</w:t>
            </w:r>
          </w:p>
        </w:tc>
        <w:tc>
          <w:tcPr>
            <w:tcW w:type="dxa" w:w="2436"/>
            <w:vAlign w:val="top"/>
            <w:shd w:val="clear" w:color="auto" w:fill="F4F4F6"/>
            <w:tcBorders>
              <w:top w:val="single" w:sz="4" w:color="D6D6DC"/>
              <w:left w:val="single" w:sz="4" w:color="D6D6DC"/>
              <w:bottom w:val="single" w:sz="4" w:color="D6D6DC"/>
              <w:right w:val="single" w:sz="4" w:color="D6D6DC"/>
            </w:tcBorders>
          </w:tcPr>
          <w:p>
            <w:r/>
            <w:r>
              <w:rPr>
                <w:rFonts w:ascii="Calibri" w:hAnsi="Calibri"/>
                <w:b w:val="0"/>
                <w:i w:val="0"/>
                <w:color w:val="1F2937"/>
                <w:sz w:val="21"/>
              </w:rPr>
              <w:t>PostHog</w:t>
            </w:r>
          </w:p>
        </w:tc>
        <w:tc>
          <w:tcPr>
            <w:tcW w:type="dxa" w:w="2436"/>
            <w:vAlign w:val="top"/>
            <w:shd w:val="clear" w:color="auto" w:fill="F4F4F6"/>
            <w:tcBorders>
              <w:top w:val="single" w:sz="4" w:color="D6D6DC"/>
              <w:left w:val="single" w:sz="4" w:color="D6D6DC"/>
              <w:bottom w:val="single" w:sz="4" w:color="D6D6DC"/>
              <w:right w:val="single" w:sz="4" w:color="D6D6DC"/>
            </w:tcBorders>
          </w:tcPr>
          <w:p>
            <w:r/>
            <w:r>
              <w:rPr>
                <w:rFonts w:ascii="Calibri" w:hAnsi="Calibri"/>
                <w:b w:val="0"/>
                <w:i w:val="0"/>
                <w:color w:val="1F2937"/>
                <w:sz w:val="21"/>
              </w:rPr>
              <w:t>À mesurer</w:t>
            </w:r>
          </w:p>
        </w:tc>
        <w:tc>
          <w:tcPr>
            <w:tcW w:type="dxa" w:w="2436"/>
            <w:vAlign w:val="top"/>
            <w:shd w:val="clear" w:color="auto" w:fill="F4F4F6"/>
            <w:tcBorders>
              <w:top w:val="single" w:sz="4" w:color="D6D6DC"/>
              <w:left w:val="single" w:sz="4" w:color="D6D6DC"/>
              <w:bottom w:val="single" w:sz="4" w:color="D6D6DC"/>
              <w:right w:val="single" w:sz="4" w:color="D6D6DC"/>
            </w:tcBorders>
          </w:tcPr>
          <w:p>
            <w:r/>
            <w:r>
              <w:rPr>
                <w:rFonts w:ascii="Calibri" w:hAnsi="Calibri"/>
                <w:b w:val="0"/>
                <w:i w:val="0"/>
                <w:color w:val="1F2937"/>
                <w:sz w:val="21"/>
              </w:rPr>
              <w:t>+30 % vs baseline</w:t>
            </w:r>
          </w:p>
        </w:tc>
      </w:tr>
      <w:tr>
        <w:tc>
          <w:tcPr>
            <w:tcW w:type="dxa" w:w="2436"/>
            <w:vAlign w:val="top"/>
            <w:tcBorders>
              <w:top w:val="single" w:sz="4" w:color="D6D6DC"/>
              <w:left w:val="single" w:sz="4" w:color="D6D6DC"/>
              <w:bottom w:val="single" w:sz="4" w:color="D6D6DC"/>
              <w:right w:val="single" w:sz="4" w:color="D6D6DC"/>
            </w:tcBorders>
          </w:tcPr>
          <w:p>
            <w:r/>
            <w:r>
              <w:rPr>
                <w:rFonts w:ascii="Calibri" w:hAnsi="Calibri"/>
                <w:b w:val="0"/>
                <w:i w:val="0"/>
                <w:color w:val="1F2937"/>
                <w:sz w:val="21"/>
              </w:rPr>
              <w:t>Taux de clics sur numéros de téléphone</w:t>
            </w:r>
          </w:p>
        </w:tc>
        <w:tc>
          <w:tcPr>
            <w:tcW w:type="dxa" w:w="2436"/>
            <w:vAlign w:val="top"/>
            <w:tcBorders>
              <w:top w:val="single" w:sz="4" w:color="D6D6DC"/>
              <w:left w:val="single" w:sz="4" w:color="D6D6DC"/>
              <w:bottom w:val="single" w:sz="4" w:color="D6D6DC"/>
              <w:right w:val="single" w:sz="4" w:color="D6D6DC"/>
            </w:tcBorders>
          </w:tcPr>
          <w:p>
            <w:r/>
            <w:r>
              <w:rPr>
                <w:rFonts w:ascii="Calibri" w:hAnsi="Calibri"/>
                <w:b w:val="0"/>
                <w:i w:val="0"/>
                <w:color w:val="1F2937"/>
                <w:sz w:val="21"/>
              </w:rPr>
              <w:t>PostHog phone_click</w:t>
            </w:r>
          </w:p>
        </w:tc>
        <w:tc>
          <w:tcPr>
            <w:tcW w:type="dxa" w:w="2436"/>
            <w:vAlign w:val="top"/>
            <w:tcBorders>
              <w:top w:val="single" w:sz="4" w:color="D6D6DC"/>
              <w:left w:val="single" w:sz="4" w:color="D6D6DC"/>
              <w:bottom w:val="single" w:sz="4" w:color="D6D6DC"/>
              <w:right w:val="single" w:sz="4" w:color="D6D6DC"/>
            </w:tcBorders>
          </w:tcPr>
          <w:p>
            <w:r/>
            <w:r>
              <w:rPr>
                <w:rFonts w:ascii="Calibri" w:hAnsi="Calibri"/>
                <w:b w:val="0"/>
                <w:i w:val="0"/>
                <w:color w:val="1F2937"/>
                <w:sz w:val="21"/>
              </w:rPr>
              <w:t>0 (avant Phase 2)</w:t>
            </w:r>
          </w:p>
        </w:tc>
        <w:tc>
          <w:tcPr>
            <w:tcW w:type="dxa" w:w="2436"/>
            <w:vAlign w:val="top"/>
            <w:tcBorders>
              <w:top w:val="single" w:sz="4" w:color="D6D6DC"/>
              <w:left w:val="single" w:sz="4" w:color="D6D6DC"/>
              <w:bottom w:val="single" w:sz="4" w:color="D6D6DC"/>
              <w:right w:val="single" w:sz="4" w:color="D6D6DC"/>
            </w:tcBorders>
          </w:tcPr>
          <w:p>
            <w:r/>
            <w:r>
              <w:rPr>
                <w:rFonts w:ascii="Calibri" w:hAnsi="Calibri"/>
                <w:b w:val="0"/>
                <w:i w:val="0"/>
                <w:color w:val="1F2937"/>
                <w:sz w:val="21"/>
              </w:rPr>
              <w:t>À établir</w:t>
            </w:r>
          </w:p>
        </w:tc>
      </w:tr>
      <w:tr>
        <w:tc>
          <w:tcPr>
            <w:tcW w:type="dxa" w:w="2436"/>
            <w:vAlign w:val="top"/>
            <w:shd w:val="clear" w:color="auto" w:fill="F4F4F6"/>
            <w:tcBorders>
              <w:top w:val="single" w:sz="4" w:color="D6D6DC"/>
              <w:left w:val="single" w:sz="4" w:color="D6D6DC"/>
              <w:bottom w:val="single" w:sz="4" w:color="D6D6DC"/>
              <w:right w:val="single" w:sz="4" w:color="D6D6DC"/>
            </w:tcBorders>
          </w:tcPr>
          <w:p>
            <w:r/>
            <w:r>
              <w:rPr>
                <w:rFonts w:ascii="Calibri" w:hAnsi="Calibri"/>
                <w:b w:val="0"/>
                <w:i w:val="0"/>
                <w:color w:val="1F2937"/>
                <w:sz w:val="21"/>
              </w:rPr>
              <w:t>Taux d'abandon avant CTA</w:t>
            </w:r>
          </w:p>
        </w:tc>
        <w:tc>
          <w:tcPr>
            <w:tcW w:type="dxa" w:w="2436"/>
            <w:vAlign w:val="top"/>
            <w:shd w:val="clear" w:color="auto" w:fill="F4F4F6"/>
            <w:tcBorders>
              <w:top w:val="single" w:sz="4" w:color="D6D6DC"/>
              <w:left w:val="single" w:sz="4" w:color="D6D6DC"/>
              <w:bottom w:val="single" w:sz="4" w:color="D6D6DC"/>
              <w:right w:val="single" w:sz="4" w:color="D6D6DC"/>
            </w:tcBorders>
          </w:tcPr>
          <w:p>
            <w:r/>
            <w:r>
              <w:rPr>
                <w:rFonts w:ascii="Calibri" w:hAnsi="Calibri"/>
                <w:b w:val="0"/>
                <w:i w:val="0"/>
                <w:color w:val="1F2937"/>
                <w:sz w:val="21"/>
              </w:rPr>
              <w:t>PostHog session recordings</w:t>
            </w:r>
          </w:p>
        </w:tc>
        <w:tc>
          <w:tcPr>
            <w:tcW w:type="dxa" w:w="2436"/>
            <w:vAlign w:val="top"/>
            <w:shd w:val="clear" w:color="auto" w:fill="F4F4F6"/>
            <w:tcBorders>
              <w:top w:val="single" w:sz="4" w:color="D6D6DC"/>
              <w:left w:val="single" w:sz="4" w:color="D6D6DC"/>
              <w:bottom w:val="single" w:sz="4" w:color="D6D6DC"/>
              <w:right w:val="single" w:sz="4" w:color="D6D6DC"/>
            </w:tcBorders>
          </w:tcPr>
          <w:p>
            <w:r/>
            <w:r>
              <w:rPr>
                <w:rFonts w:ascii="Calibri" w:hAnsi="Calibri"/>
                <w:b w:val="0"/>
                <w:i w:val="0"/>
                <w:color w:val="1F2937"/>
                <w:sz w:val="21"/>
              </w:rPr>
              <w:t>À mesurer</w:t>
            </w:r>
          </w:p>
        </w:tc>
        <w:tc>
          <w:tcPr>
            <w:tcW w:type="dxa" w:w="2436"/>
            <w:vAlign w:val="top"/>
            <w:shd w:val="clear" w:color="auto" w:fill="F4F4F6"/>
            <w:tcBorders>
              <w:top w:val="single" w:sz="4" w:color="D6D6DC"/>
              <w:left w:val="single" w:sz="4" w:color="D6D6DC"/>
              <w:bottom w:val="single" w:sz="4" w:color="D6D6DC"/>
              <w:right w:val="single" w:sz="4" w:color="D6D6DC"/>
            </w:tcBorders>
          </w:tcPr>
          <w:p>
            <w:r/>
            <w:r>
              <w:rPr>
                <w:rFonts w:ascii="Calibri" w:hAnsi="Calibri"/>
                <w:b w:val="0"/>
                <w:i w:val="0"/>
                <w:color w:val="1F2937"/>
                <w:sz w:val="21"/>
              </w:rPr>
              <w:t>-15 % vs baseline</w:t>
            </w:r>
          </w:p>
        </w:tc>
      </w:tr>
      <w:tr>
        <w:tc>
          <w:tcPr>
            <w:tcW w:type="dxa" w:w="2436"/>
            <w:vAlign w:val="top"/>
            <w:tcBorders>
              <w:top w:val="single" w:sz="4" w:color="D6D6DC"/>
              <w:left w:val="single" w:sz="4" w:color="D6D6DC"/>
              <w:bottom w:val="single" w:sz="4" w:color="D6D6DC"/>
              <w:right w:val="single" w:sz="4" w:color="D6D6DC"/>
            </w:tcBorders>
          </w:tcPr>
          <w:p>
            <w:r/>
            <w:r>
              <w:rPr>
                <w:rFonts w:ascii="Calibri" w:hAnsi="Calibri"/>
                <w:b w:val="0"/>
                <w:i w:val="0"/>
                <w:color w:val="1F2937"/>
                <w:sz w:val="21"/>
              </w:rPr>
              <w:t>Délai 1er contact lead</w:t>
            </w:r>
          </w:p>
        </w:tc>
        <w:tc>
          <w:tcPr>
            <w:tcW w:type="dxa" w:w="2436"/>
            <w:vAlign w:val="top"/>
            <w:tcBorders>
              <w:top w:val="single" w:sz="4" w:color="D6D6DC"/>
              <w:left w:val="single" w:sz="4" w:color="D6D6DC"/>
              <w:bottom w:val="single" w:sz="4" w:color="D6D6DC"/>
              <w:right w:val="single" w:sz="4" w:color="D6D6DC"/>
            </w:tcBorders>
          </w:tcPr>
          <w:p>
            <w:r/>
            <w:r>
              <w:rPr>
                <w:rFonts w:ascii="Calibri" w:hAnsi="Calibri"/>
                <w:b w:val="0"/>
                <w:i w:val="0"/>
                <w:color w:val="1F2937"/>
                <w:sz w:val="21"/>
              </w:rPr>
              <w:t>HubSpot</w:t>
            </w:r>
          </w:p>
        </w:tc>
        <w:tc>
          <w:tcPr>
            <w:tcW w:type="dxa" w:w="2436"/>
            <w:vAlign w:val="top"/>
            <w:tcBorders>
              <w:top w:val="single" w:sz="4" w:color="D6D6DC"/>
              <w:left w:val="single" w:sz="4" w:color="D6D6DC"/>
              <w:bottom w:val="single" w:sz="4" w:color="D6D6DC"/>
              <w:right w:val="single" w:sz="4" w:color="D6D6DC"/>
            </w:tcBorders>
          </w:tcPr>
          <w:p>
            <w:r/>
            <w:r>
              <w:rPr>
                <w:rFonts w:ascii="Calibri" w:hAnsi="Calibri"/>
                <w:b w:val="0"/>
                <w:i w:val="0"/>
                <w:color w:val="1F2937"/>
                <w:sz w:val="21"/>
              </w:rPr>
              <w:t>Variable</w:t>
            </w:r>
          </w:p>
        </w:tc>
        <w:tc>
          <w:tcPr>
            <w:tcW w:type="dxa" w:w="2436"/>
            <w:vAlign w:val="top"/>
            <w:tcBorders>
              <w:top w:val="single" w:sz="4" w:color="D6D6DC"/>
              <w:left w:val="single" w:sz="4" w:color="D6D6DC"/>
              <w:bottom w:val="single" w:sz="4" w:color="D6D6DC"/>
              <w:right w:val="single" w:sz="4" w:color="D6D6DC"/>
            </w:tcBorders>
          </w:tcPr>
          <w:p>
            <w:r/>
            <w:r>
              <w:rPr>
                <w:rFonts w:ascii="Calibri" w:hAnsi="Calibri"/>
                <w:b w:val="0"/>
                <w:i w:val="0"/>
                <w:color w:val="1F2937"/>
                <w:sz w:val="21"/>
              </w:rPr>
              <w:t>&lt; 4h ouvrées</w:t>
            </w:r>
          </w:p>
        </w:tc>
      </w:tr>
    </w:tbl>
    <w:p>
      <w:pPr>
        <w:spacing w:after="40"/>
      </w:pPr>
    </w:p>
    <w:p>
      <w:pPr>
        <w:pStyle w:val="Heading2"/>
      </w:pPr>
      <w:r>
        <w:t>10.2. KPIs secondaires (suivi commercial)</w:t>
      </w:r>
    </w:p>
    <w:p>
      <w:pPr>
        <w:pStyle w:val="ListBullet"/>
      </w:pPr>
      <w:r>
        <w:rPr>
          <w:rFonts w:ascii="Calibri" w:hAnsi="Calibri"/>
          <w:b w:val="0"/>
          <w:i w:val="0"/>
          <w:color w:val="1F2937"/>
          <w:sz w:val="22"/>
        </w:rPr>
        <w:t>Taux de conversion qualification → démo (HubSpot)</w:t>
      </w:r>
    </w:p>
    <w:p>
      <w:pPr>
        <w:pStyle w:val="ListBullet"/>
      </w:pPr>
      <w:r>
        <w:rPr>
          <w:rFonts w:ascii="Calibri" w:hAnsi="Calibri"/>
          <w:b w:val="0"/>
          <w:i w:val="0"/>
          <w:color w:val="1F2937"/>
          <w:sz w:val="22"/>
        </w:rPr>
        <w:t>Taux de conversion démo → devis (HubSpot)</w:t>
      </w:r>
    </w:p>
    <w:p>
      <w:pPr>
        <w:pStyle w:val="ListBullet"/>
      </w:pPr>
      <w:r>
        <w:rPr>
          <w:rFonts w:ascii="Calibri" w:hAnsi="Calibri"/>
          <w:b w:val="0"/>
          <w:i w:val="0"/>
          <w:color w:val="1F2937"/>
          <w:sz w:val="22"/>
        </w:rPr>
        <w:t>Taux de signature devis → contrat (HubSpot)</w:t>
      </w:r>
    </w:p>
    <w:p>
      <w:pPr>
        <w:pStyle w:val="ListBullet"/>
      </w:pPr>
      <w:r>
        <w:rPr>
          <w:rFonts w:ascii="Calibri" w:hAnsi="Calibri"/>
          <w:b w:val="0"/>
          <w:i w:val="0"/>
          <w:color w:val="1F2937"/>
          <w:sz w:val="22"/>
        </w:rPr>
        <w:t>Cycle de vente moyen en jours (HubSpot)</w:t>
      </w:r>
    </w:p>
    <w:p>
      <w:pPr>
        <w:pStyle w:val="ListBullet"/>
      </w:pPr>
      <w:r>
        <w:rPr>
          <w:rFonts w:ascii="Calibri" w:hAnsi="Calibri"/>
          <w:b w:val="0"/>
          <w:i w:val="0"/>
          <w:color w:val="1F2937"/>
          <w:sz w:val="22"/>
        </w:rPr>
        <w:t>Panier moyen (€/mois récurrent) — facturation</w:t>
      </w:r>
    </w:p>
    <w:p>
      <w:pPr>
        <w:pStyle w:val="ListBullet"/>
      </w:pPr>
      <w:r>
        <w:rPr>
          <w:rFonts w:ascii="Calibri" w:hAnsi="Calibri"/>
          <w:b w:val="0"/>
          <w:i w:val="0"/>
          <w:color w:val="1F2937"/>
          <w:sz w:val="22"/>
        </w:rPr>
        <w:t>Churn rate annuel — facturation</w:t>
      </w:r>
    </w:p>
    <w:p>
      <w:pPr>
        <w:pStyle w:val="ListBullet"/>
      </w:pPr>
      <w:r>
        <w:rPr>
          <w:rFonts w:ascii="Calibri" w:hAnsi="Calibri"/>
          <w:b w:val="0"/>
          <w:i w:val="0"/>
          <w:color w:val="1F2937"/>
          <w:sz w:val="22"/>
        </w:rPr>
        <w:t>Net Revenue Retention (upsell CSM) — facturation</w:t>
      </w:r>
    </w:p>
    <w:p>
      <w:pPr>
        <w:pStyle w:val="ListBullet"/>
      </w:pPr>
      <w:r>
        <w:rPr>
          <w:rFonts w:ascii="Calibri" w:hAnsi="Calibri"/>
          <w:b w:val="0"/>
          <w:i w:val="0"/>
          <w:color w:val="1F2937"/>
          <w:sz w:val="22"/>
        </w:rPr>
        <w:t>NPS post-90 jours (enquête CSM)</w:t>
      </w:r>
    </w:p>
    <w:p>
      <w:pPr>
        <w:pStyle w:val="Heading2"/>
      </w:pPr>
      <w:r>
        <w:t>10.3. Stack analytics</w:t>
      </w:r>
    </w:p>
    <w:p>
      <w:pPr>
        <w:pStyle w:val="ListBullet"/>
      </w:pPr>
      <w:r>
        <w:rPr>
          <w:rFonts w:ascii="Calibri" w:hAnsi="Calibri"/>
          <w:b w:val="0"/>
          <w:i w:val="0"/>
          <w:color w:val="1F2937"/>
          <w:sz w:val="22"/>
        </w:rPr>
        <w:t>PostHog EU Cloud (cookieless, GDPR-compliant) — comportement site</w:t>
      </w:r>
    </w:p>
    <w:p>
      <w:pPr>
        <w:pStyle w:val="ListBullet"/>
      </w:pPr>
      <w:r>
        <w:rPr>
          <w:rFonts w:ascii="Calibri" w:hAnsi="Calibri"/>
          <w:b w:val="0"/>
          <w:i w:val="0"/>
          <w:color w:val="1F2937"/>
          <w:sz w:val="22"/>
        </w:rPr>
        <w:t>HubSpot — CRM + marketing automation</w:t>
      </w:r>
    </w:p>
    <w:p>
      <w:pPr>
        <w:pStyle w:val="ListBullet"/>
      </w:pPr>
      <w:r>
        <w:rPr>
          <w:rFonts w:ascii="Calibri" w:hAnsi="Calibri"/>
          <w:b w:val="0"/>
          <w:i w:val="0"/>
          <w:color w:val="1F2937"/>
          <w:sz w:val="22"/>
        </w:rPr>
        <w:t>Tally — formulaires de qualification approfondie</w:t>
      </w:r>
    </w:p>
    <w:p>
      <w:pPr>
        <w:pStyle w:val="ListBullet"/>
      </w:pPr>
      <w:r>
        <w:rPr>
          <w:rFonts w:ascii="Calibri" w:hAnsi="Calibri"/>
          <w:b w:val="0"/>
          <w:i w:val="0"/>
          <w:color w:val="1F2937"/>
          <w:sz w:val="22"/>
        </w:rPr>
        <w:t>OneDrive / SharePoint — archivage administratif commercial</w:t>
      </w:r>
    </w:p>
    <w:p>
      <w:pPr>
        <w:pStyle w:val="Heading1"/>
        <w:pBdr>
          <w:bottom w:val="single" w:sz="16" w:space="1" w:color="E53E3E"/>
        </w:pBdr>
      </w:pPr>
      <w:r>
        <w:t>11. Engagements &amp; Garanties</w:t>
      </w:r>
    </w:p>
    <w:p>
      <w:pPr>
        <w:pStyle w:val="ListBullet"/>
      </w:pPr>
      <w:r>
        <w:rPr>
          <w:rFonts w:ascii="Calibri" w:hAnsi="Calibri"/>
          <w:b w:val="0"/>
          <w:i w:val="0"/>
          <w:color w:val="1F2937"/>
          <w:sz w:val="22"/>
        </w:rPr>
        <w:t>Données hébergées France / UE (AWS, Azure, SFR Cloud)</w:t>
      </w:r>
    </w:p>
    <w:p>
      <w:pPr>
        <w:pStyle w:val="ListBullet"/>
      </w:pPr>
      <w:r>
        <w:rPr>
          <w:rFonts w:ascii="Calibri" w:hAnsi="Calibri"/>
          <w:b w:val="0"/>
          <w:i w:val="0"/>
          <w:color w:val="1F2937"/>
          <w:sz w:val="22"/>
        </w:rPr>
        <w:t>Conformité RGPD stricte</w:t>
      </w:r>
    </w:p>
    <w:p>
      <w:pPr>
        <w:pStyle w:val="ListBullet"/>
      </w:pPr>
      <w:r>
        <w:rPr>
          <w:rFonts w:ascii="Calibri" w:hAnsi="Calibri"/>
          <w:b w:val="0"/>
          <w:i w:val="0"/>
          <w:color w:val="1F2937"/>
          <w:sz w:val="22"/>
        </w:rPr>
        <w:t>Services supervisés 24/7</w:t>
      </w:r>
    </w:p>
    <w:p>
      <w:pPr>
        <w:pStyle w:val="ListBullet"/>
      </w:pPr>
      <w:r>
        <w:rPr>
          <w:rFonts w:ascii="Calibri" w:hAnsi="Calibri"/>
          <w:b w:val="0"/>
          <w:i w:val="0"/>
          <w:color w:val="1F2937"/>
          <w:sz w:val="22"/>
        </w:rPr>
        <w:t>Infrastructure redondée (multi-AZ)</w:t>
      </w:r>
    </w:p>
    <w:p>
      <w:pPr>
        <w:pStyle w:val="ListBullet"/>
      </w:pPr>
      <w:r>
        <w:rPr>
          <w:rFonts w:ascii="Calibri" w:hAnsi="Calibri"/>
          <w:b w:val="0"/>
          <w:i w:val="0"/>
          <w:color w:val="1F2937"/>
          <w:sz w:val="22"/>
        </w:rPr>
        <w:t>Support technique interne (pas de sous-traitance)</w:t>
      </w:r>
    </w:p>
    <w:p>
      <w:pPr>
        <w:pStyle w:val="ListBullet"/>
      </w:pPr>
      <w:r>
        <w:rPr>
          <w:rFonts w:ascii="Calibri" w:hAnsi="Calibri"/>
          <w:b w:val="0"/>
          <w:i w:val="0"/>
          <w:color w:val="1F2937"/>
          <w:sz w:val="22"/>
        </w:rPr>
        <w:t>Documentation et formations vidéo accessibles</w:t>
      </w:r>
    </w:p>
    <w:p>
      <w:pPr>
        <w:pStyle w:val="ListBullet"/>
      </w:pPr>
      <w:r>
        <w:rPr>
          <w:rFonts w:ascii="Calibri" w:hAnsi="Calibri"/>
          <w:b w:val="0"/>
          <w:i w:val="0"/>
          <w:color w:val="1F2937"/>
          <w:sz w:val="22"/>
        </w:rPr>
        <w:t>Customer Success Manager dédié sur la durée du contrat</w:t>
      </w:r>
    </w:p>
    <w:p>
      <w:pPr>
        <w:pStyle w:val="Heading1"/>
        <w:pBdr>
          <w:bottom w:val="single" w:sz="16" w:space="1" w:color="E53E3E"/>
        </w:pBdr>
      </w:pPr>
      <w:r>
        <w:t>12. Roadmap Stratégique</w:t>
      </w:r>
    </w:p>
    <w:p>
      <w:pPr>
        <w:pStyle w:val="Heading2"/>
      </w:pPr>
      <w:r>
        <w:t>v1 — en cours (mai/juin 2026)</w:t>
      </w:r>
    </w:p>
    <w:p>
      <w:pPr>
        <w:pStyle w:val="ListBullet"/>
      </w:pPr>
      <w:r>
        <w:rPr>
          <w:rFonts w:ascii="Calibri" w:hAnsi="Calibri"/>
          <w:b w:val="0"/>
          <w:i w:val="0"/>
          <w:color w:val="1F2937"/>
          <w:sz w:val="22"/>
        </w:rPr>
        <w:t>✅ Tracking comportemental PostHog</w:t>
      </w:r>
    </w:p>
    <w:p>
      <w:pPr>
        <w:pStyle w:val="ListBullet"/>
      </w:pPr>
      <w:r>
        <w:rPr>
          <w:rFonts w:ascii="Calibri" w:hAnsi="Calibri"/>
          <w:b w:val="0"/>
          <w:i w:val="0"/>
          <w:color w:val="1F2937"/>
          <w:sz w:val="22"/>
        </w:rPr>
        <w:t>✅ Social proof homepage + pages produits clés</w:t>
      </w:r>
    </w:p>
    <w:p>
      <w:pPr>
        <w:pStyle w:val="ListBullet"/>
      </w:pPr>
      <w:r>
        <w:rPr>
          <w:rFonts w:ascii="Calibri" w:hAnsi="Calibri"/>
          <w:b w:val="0"/>
          <w:i w:val="0"/>
          <w:color w:val="1F2937"/>
          <w:sz w:val="22"/>
        </w:rPr>
        <w:t>✅ Conversion optimisée (CTA, tel:, dead-ends éliminés)</w:t>
      </w:r>
    </w:p>
    <w:p>
      <w:pPr>
        <w:pStyle w:val="ListBullet"/>
      </w:pPr>
      <w:r>
        <w:rPr>
          <w:rFonts w:ascii="Calibri" w:hAnsi="Calibri"/>
          <w:b w:val="0"/>
          <w:i w:val="0"/>
          <w:color w:val="1F2937"/>
          <w:sz w:val="22"/>
        </w:rPr>
        <w:t>🔄 Déploiement production redesign Monolithe 2026</w:t>
      </w:r>
    </w:p>
    <w:p>
      <w:pPr>
        <w:pStyle w:val="ListBullet"/>
      </w:pPr>
      <w:r>
        <w:rPr>
          <w:rFonts w:ascii="Calibri" w:hAnsi="Calibri"/>
          <w:b w:val="0"/>
          <w:i w:val="0"/>
          <w:color w:val="1F2937"/>
          <w:sz w:val="22"/>
        </w:rPr>
        <w:t>🔄 Contenu SEO enrichi en production</w:t>
      </w:r>
    </w:p>
    <w:p>
      <w:pPr>
        <w:pStyle w:val="ListBullet"/>
      </w:pPr>
      <w:r>
        <w:rPr>
          <w:rFonts w:ascii="Calibri" w:hAnsi="Calibri"/>
          <w:b w:val="0"/>
          <w:i w:val="0"/>
          <w:color w:val="1F2937"/>
          <w:sz w:val="22"/>
        </w:rPr>
        <w:t>🔄 Collecte baseline de données conversion</w:t>
      </w:r>
    </w:p>
    <w:p>
      <w:pPr>
        <w:pStyle w:val="Heading2"/>
      </w:pPr>
      <w:r>
        <w:t>v2 — T3-T4 2026</w:t>
      </w:r>
    </w:p>
    <w:p>
      <w:pPr>
        <w:pStyle w:val="ListBullet"/>
      </w:pPr>
      <w:r>
        <w:rPr>
          <w:rFonts w:ascii="Calibri" w:hAnsi="Calibri"/>
          <w:b w:val="0"/>
          <w:i w:val="0"/>
          <w:color w:val="1F2937"/>
          <w:sz w:val="22"/>
        </w:rPr>
        <w:t>A/B testing PostHog feature flags (après 1 mois de baseline)</w:t>
      </w:r>
    </w:p>
    <w:p>
      <w:pPr>
        <w:pStyle w:val="ListBullet"/>
      </w:pPr>
      <w:r>
        <w:rPr>
          <w:rFonts w:ascii="Calibri" w:hAnsi="Calibri"/>
          <w:b w:val="0"/>
          <w:i w:val="0"/>
          <w:color w:val="1F2937"/>
          <w:sz w:val="22"/>
        </w:rPr>
        <w:t>Landing pages dédiées par campagne marketing</w:t>
      </w:r>
    </w:p>
    <w:p>
      <w:pPr>
        <w:pStyle w:val="ListBullet"/>
      </w:pPr>
      <w:r>
        <w:rPr>
          <w:rFonts w:ascii="Calibri" w:hAnsi="Calibri"/>
          <w:b w:val="0"/>
          <w:i w:val="0"/>
          <w:color w:val="1F2937"/>
          <w:sz w:val="22"/>
        </w:rPr>
        <w:t>Google Business Profile + avis Google intégrés</w:t>
      </w:r>
    </w:p>
    <w:p>
      <w:pPr>
        <w:pStyle w:val="ListBullet"/>
      </w:pPr>
      <w:r>
        <w:rPr>
          <w:rFonts w:ascii="Calibri" w:hAnsi="Calibri"/>
          <w:b w:val="0"/>
          <w:i w:val="0"/>
          <w:color w:val="1F2937"/>
          <w:sz w:val="22"/>
        </w:rPr>
        <w:t>Cas clients détaillés avec métriques avant/après</w:t>
      </w:r>
    </w:p>
    <w:p>
      <w:pPr>
        <w:pStyle w:val="ListBullet"/>
      </w:pPr>
      <w:r>
        <w:rPr>
          <w:rFonts w:ascii="Calibri" w:hAnsi="Calibri"/>
          <w:b w:val="0"/>
          <w:i w:val="0"/>
          <w:color w:val="1F2937"/>
          <w:sz w:val="22"/>
        </w:rPr>
        <w:t>Blog technique VoIP (acquisition organique long terme)</w:t>
      </w:r>
    </w:p>
    <w:p>
      <w:pPr>
        <w:pStyle w:val="Heading2"/>
      </w:pPr>
      <w:r>
        <w:t>v3 — 2027</w:t>
      </w:r>
    </w:p>
    <w:p>
      <w:pPr>
        <w:pStyle w:val="ListBullet"/>
      </w:pPr>
      <w:r>
        <w:rPr>
          <w:rFonts w:ascii="Calibri" w:hAnsi="Calibri"/>
          <w:b w:val="0"/>
          <w:i w:val="0"/>
          <w:color w:val="1F2937"/>
          <w:sz w:val="22"/>
        </w:rPr>
        <w:t>Outbound LinkedIn / prospection structurée</w:t>
      </w:r>
    </w:p>
    <w:p>
      <w:pPr>
        <w:pStyle w:val="ListBullet"/>
      </w:pPr>
      <w:r>
        <w:rPr>
          <w:rFonts w:ascii="Calibri" w:hAnsi="Calibri"/>
          <w:b w:val="0"/>
          <w:i w:val="0"/>
          <w:color w:val="1F2937"/>
          <w:sz w:val="22"/>
        </w:rPr>
        <w:t>Programme apporteurs d'affaires formalisé</w:t>
      </w:r>
    </w:p>
    <w:p>
      <w:pPr>
        <w:pStyle w:val="ListBullet"/>
      </w:pPr>
      <w:r>
        <w:rPr>
          <w:rFonts w:ascii="Calibri" w:hAnsi="Calibri"/>
          <w:b w:val="0"/>
          <w:i w:val="0"/>
          <w:color w:val="1F2937"/>
          <w:sz w:val="22"/>
        </w:rPr>
        <w:t>Marketplace assistants vocaux IA (différenciation marché)</w:t>
      </w:r>
    </w:p>
    <w:p>
      <w:pPr>
        <w:pStyle w:val="ListBullet"/>
      </w:pPr>
      <w:r>
        <w:rPr>
          <w:rFonts w:ascii="Calibri" w:hAnsi="Calibri"/>
          <w:b w:val="0"/>
          <w:i w:val="0"/>
          <w:color w:val="1F2937"/>
          <w:sz w:val="22"/>
        </w:rPr>
        <w:t>Programme de certification revendeurs régionaux</w:t>
      </w:r>
    </w:p>
    <w:p>
      <w:pPr>
        <w:pStyle w:val="Heading1"/>
        <w:pBdr>
          <w:bottom w:val="single" w:sz="16" w:space="1" w:color="E53E3E"/>
        </w:pBdr>
      </w:pPr>
      <w:r>
        <w:t>13. Hors Scope (explicite)</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2D3848"/>
            <w:tcBorders>
              <w:top w:val="single" w:sz="4" w:color="2D3848"/>
              <w:left w:val="single" w:sz="4" w:color="2D3848"/>
              <w:bottom w:val="single" w:sz="4" w:color="2D3848"/>
              <w:right w:val="single" w:sz="4" w:color="2D3848"/>
            </w:tcBorders>
          </w:tcPr>
          <w:p>
            <w:r/>
            <w:r>
              <w:rPr>
                <w:rFonts w:ascii="Calibri" w:hAnsi="Calibri"/>
                <w:b/>
                <w:i w:val="0"/>
                <w:color w:val="FFFFFF"/>
                <w:sz w:val="21"/>
              </w:rPr>
              <w:t>Élément</w:t>
            </w:r>
          </w:p>
        </w:tc>
        <w:tc>
          <w:tcPr>
            <w:tcW w:type="dxa" w:w="4873"/>
            <w:vAlign w:val="center"/>
            <w:shd w:val="clear" w:color="auto" w:fill="2D3848"/>
            <w:tcBorders>
              <w:top w:val="single" w:sz="4" w:color="2D3848"/>
              <w:left w:val="single" w:sz="4" w:color="2D3848"/>
              <w:bottom w:val="single" w:sz="4" w:color="2D3848"/>
              <w:right w:val="single" w:sz="4" w:color="2D3848"/>
            </w:tcBorders>
          </w:tcPr>
          <w:p>
            <w:r/>
            <w:r>
              <w:rPr>
                <w:rFonts w:ascii="Calibri" w:hAnsi="Calibri"/>
                <w:b/>
                <w:i w:val="0"/>
                <w:color w:val="FFFFFF"/>
                <w:sz w:val="21"/>
              </w:rPr>
              <w:t>Raison</w:t>
            </w:r>
          </w:p>
        </w:tc>
      </w:tr>
      <w:tr>
        <w:tc>
          <w:tcPr>
            <w:tcW w:type="dxa" w:w="4873"/>
            <w:vAlign w:val="top"/>
            <w:tcBorders>
              <w:top w:val="single" w:sz="4" w:color="D6D6DC"/>
              <w:left w:val="single" w:sz="4" w:color="D6D6DC"/>
              <w:bottom w:val="single" w:sz="4" w:color="D6D6DC"/>
              <w:right w:val="single" w:sz="4" w:color="D6D6DC"/>
            </w:tcBorders>
          </w:tcPr>
          <w:p>
            <w:r/>
            <w:r>
              <w:rPr>
                <w:rFonts w:ascii="Calibri" w:hAnsi="Calibri"/>
                <w:b w:val="0"/>
                <w:i w:val="0"/>
                <w:color w:val="1F2937"/>
                <w:sz w:val="21"/>
              </w:rPr>
              <w:t>Refonte complète du contenu éditorial</w:t>
            </w:r>
          </w:p>
        </w:tc>
        <w:tc>
          <w:tcPr>
            <w:tcW w:type="dxa" w:w="4873"/>
            <w:vAlign w:val="top"/>
            <w:tcBorders>
              <w:top w:val="single" w:sz="4" w:color="D6D6DC"/>
              <w:left w:val="single" w:sz="4" w:color="D6D6DC"/>
              <w:bottom w:val="single" w:sz="4" w:color="D6D6DC"/>
              <w:right w:val="single" w:sz="4" w:color="D6D6DC"/>
            </w:tcBorders>
          </w:tcPr>
          <w:p>
            <w:r/>
            <w:r>
              <w:rPr>
                <w:rFonts w:ascii="Calibri" w:hAnsi="Calibri"/>
                <w:b w:val="0"/>
                <w:i w:val="0"/>
                <w:color w:val="1F2937"/>
                <w:sz w:val="21"/>
              </w:rPr>
              <w:t>Déjà fait sur la branche dev</w:t>
            </w:r>
          </w:p>
        </w:tc>
      </w:tr>
      <w:tr>
        <w:tc>
          <w:tcPr>
            <w:tcW w:type="dxa" w:w="4873"/>
            <w:vAlign w:val="top"/>
            <w:shd w:val="clear" w:color="auto" w:fill="F4F4F6"/>
            <w:tcBorders>
              <w:top w:val="single" w:sz="4" w:color="D6D6DC"/>
              <w:left w:val="single" w:sz="4" w:color="D6D6DC"/>
              <w:bottom w:val="single" w:sz="4" w:color="D6D6DC"/>
              <w:right w:val="single" w:sz="4" w:color="D6D6DC"/>
            </w:tcBorders>
          </w:tcPr>
          <w:p>
            <w:r/>
            <w:r>
              <w:rPr>
                <w:rFonts w:ascii="Calibri" w:hAnsi="Calibri"/>
                <w:b w:val="0"/>
                <w:i w:val="0"/>
                <w:color w:val="1F2937"/>
                <w:sz w:val="21"/>
              </w:rPr>
              <w:t>Backend / API custom</w:t>
            </w:r>
          </w:p>
        </w:tc>
        <w:tc>
          <w:tcPr>
            <w:tcW w:type="dxa" w:w="4873"/>
            <w:vAlign w:val="top"/>
            <w:shd w:val="clear" w:color="auto" w:fill="F4F4F6"/>
            <w:tcBorders>
              <w:top w:val="single" w:sz="4" w:color="D6D6DC"/>
              <w:left w:val="single" w:sz="4" w:color="D6D6DC"/>
              <w:bottom w:val="single" w:sz="4" w:color="D6D6DC"/>
              <w:right w:val="single" w:sz="4" w:color="D6D6DC"/>
            </w:tcBorders>
          </w:tcPr>
          <w:p>
            <w:r/>
            <w:r>
              <w:rPr>
                <w:rFonts w:ascii="Calibri" w:hAnsi="Calibri"/>
                <w:b w:val="0"/>
                <w:i w:val="0"/>
                <w:color w:val="1F2937"/>
                <w:sz w:val="21"/>
              </w:rPr>
              <w:t>Site statique sur Vercel, pas de besoin</w:t>
            </w:r>
          </w:p>
        </w:tc>
      </w:tr>
      <w:tr>
        <w:tc>
          <w:tcPr>
            <w:tcW w:type="dxa" w:w="4873"/>
            <w:vAlign w:val="top"/>
            <w:tcBorders>
              <w:top w:val="single" w:sz="4" w:color="D6D6DC"/>
              <w:left w:val="single" w:sz="4" w:color="D6D6DC"/>
              <w:bottom w:val="single" w:sz="4" w:color="D6D6DC"/>
              <w:right w:val="single" w:sz="4" w:color="D6D6DC"/>
            </w:tcBorders>
          </w:tcPr>
          <w:p>
            <w:r/>
            <w:r>
              <w:rPr>
                <w:rFonts w:ascii="Calibri" w:hAnsi="Calibri"/>
                <w:b w:val="0"/>
                <w:i w:val="0"/>
                <w:color w:val="1F2937"/>
                <w:sz w:val="21"/>
              </w:rPr>
              <w:t>Mobile app dédiée</w:t>
            </w:r>
          </w:p>
        </w:tc>
        <w:tc>
          <w:tcPr>
            <w:tcW w:type="dxa" w:w="4873"/>
            <w:vAlign w:val="top"/>
            <w:tcBorders>
              <w:top w:val="single" w:sz="4" w:color="D6D6DC"/>
              <w:left w:val="single" w:sz="4" w:color="D6D6DC"/>
              <w:bottom w:val="single" w:sz="4" w:color="D6D6DC"/>
              <w:right w:val="single" w:sz="4" w:color="D6D6DC"/>
            </w:tcBorders>
          </w:tcPr>
          <w:p>
            <w:r/>
            <w:r>
              <w:rPr>
                <w:rFonts w:ascii="Calibri" w:hAnsi="Calibri"/>
                <w:b w:val="0"/>
                <w:i w:val="0"/>
                <w:color w:val="1F2937"/>
                <w:sz w:val="21"/>
              </w:rPr>
              <w:t>Site responsive suffisant</w:t>
            </w:r>
          </w:p>
        </w:tc>
      </w:tr>
      <w:tr>
        <w:tc>
          <w:tcPr>
            <w:tcW w:type="dxa" w:w="4873"/>
            <w:vAlign w:val="top"/>
            <w:shd w:val="clear" w:color="auto" w:fill="F4F4F6"/>
            <w:tcBorders>
              <w:top w:val="single" w:sz="4" w:color="D6D6DC"/>
              <w:left w:val="single" w:sz="4" w:color="D6D6DC"/>
              <w:bottom w:val="single" w:sz="4" w:color="D6D6DC"/>
              <w:right w:val="single" w:sz="4" w:color="D6D6DC"/>
            </w:tcBorders>
          </w:tcPr>
          <w:p>
            <w:r/>
            <w:r>
              <w:rPr>
                <w:rFonts w:ascii="Calibri" w:hAnsi="Calibri"/>
                <w:b w:val="0"/>
                <w:i w:val="0"/>
                <w:color w:val="1F2937"/>
                <w:sz w:val="21"/>
              </w:rPr>
              <w:t>Google Ads campagnes</w:t>
            </w:r>
          </w:p>
        </w:tc>
        <w:tc>
          <w:tcPr>
            <w:tcW w:type="dxa" w:w="4873"/>
            <w:vAlign w:val="top"/>
            <w:shd w:val="clear" w:color="auto" w:fill="F4F4F6"/>
            <w:tcBorders>
              <w:top w:val="single" w:sz="4" w:color="D6D6DC"/>
              <w:left w:val="single" w:sz="4" w:color="D6D6DC"/>
              <w:bottom w:val="single" w:sz="4" w:color="D6D6DC"/>
              <w:right w:val="single" w:sz="4" w:color="D6D6DC"/>
            </w:tcBorders>
          </w:tcPr>
          <w:p>
            <w:r/>
            <w:r>
              <w:rPr>
                <w:rFonts w:ascii="Calibri" w:hAnsi="Calibri"/>
                <w:b w:val="0"/>
                <w:i w:val="0"/>
                <w:color w:val="1F2937"/>
                <w:sz w:val="21"/>
              </w:rPr>
              <w:t>Optionnel, budget minimal, à tester manuellement</w:t>
            </w:r>
          </w:p>
        </w:tc>
      </w:tr>
      <w:tr>
        <w:tc>
          <w:tcPr>
            <w:tcW w:type="dxa" w:w="4873"/>
            <w:vAlign w:val="top"/>
            <w:tcBorders>
              <w:top w:val="single" w:sz="4" w:color="D6D6DC"/>
              <w:left w:val="single" w:sz="4" w:color="D6D6DC"/>
              <w:bottom w:val="single" w:sz="4" w:color="D6D6DC"/>
              <w:right w:val="single" w:sz="4" w:color="D6D6DC"/>
            </w:tcBorders>
          </w:tcPr>
          <w:p>
            <w:r/>
            <w:r>
              <w:rPr>
                <w:rFonts w:ascii="Calibri" w:hAnsi="Calibri"/>
                <w:b w:val="0"/>
                <w:i w:val="0"/>
                <w:color w:val="1F2937"/>
                <w:sz w:val="21"/>
              </w:rPr>
              <w:t>Outbound LinkedIn / prospection</w:t>
            </w:r>
          </w:p>
        </w:tc>
        <w:tc>
          <w:tcPr>
            <w:tcW w:type="dxa" w:w="4873"/>
            <w:vAlign w:val="top"/>
            <w:tcBorders>
              <w:top w:val="single" w:sz="4" w:color="D6D6DC"/>
              <w:left w:val="single" w:sz="4" w:color="D6D6DC"/>
              <w:bottom w:val="single" w:sz="4" w:color="D6D6DC"/>
              <w:right w:val="single" w:sz="4" w:color="D6D6DC"/>
            </w:tcBorders>
          </w:tcPr>
          <w:p>
            <w:r/>
            <w:r>
              <w:rPr>
                <w:rFonts w:ascii="Calibri" w:hAnsi="Calibri"/>
                <w:b w:val="0"/>
                <w:i w:val="0"/>
                <w:color w:val="1F2937"/>
                <w:sz w:val="21"/>
              </w:rPr>
              <w:t>Hors périmètre site web (canal séparé v3)</w:t>
            </w:r>
          </w:p>
        </w:tc>
      </w:tr>
    </w:tbl>
    <w:p>
      <w:pPr>
        <w:spacing w:after="40"/>
      </w:pPr>
    </w:p>
    <w:p>
      <w:pPr>
        <w:pStyle w:val="Heading1"/>
        <w:pBdr>
          <w:bottom w:val="single" w:sz="16" w:space="1" w:color="E53E3E"/>
        </w:pBdr>
      </w:pPr>
      <w:r>
        <w:t>14. Annexes</w:t>
      </w:r>
    </w:p>
    <w:p>
      <w:pPr>
        <w:pStyle w:val="Heading2"/>
      </w:pPr>
      <w:r>
        <w:t>14.1. Numéros commerciaux par territoire</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2D3848"/>
            <w:tcBorders>
              <w:top w:val="single" w:sz="4" w:color="2D3848"/>
              <w:left w:val="single" w:sz="4" w:color="2D3848"/>
              <w:bottom w:val="single" w:sz="4" w:color="2D3848"/>
              <w:right w:val="single" w:sz="4" w:color="2D3848"/>
            </w:tcBorders>
          </w:tcPr>
          <w:p>
            <w:r/>
            <w:r>
              <w:rPr>
                <w:rFonts w:ascii="Calibri" w:hAnsi="Calibri"/>
                <w:b/>
                <w:i w:val="0"/>
                <w:color w:val="FFFFFF"/>
                <w:sz w:val="21"/>
              </w:rPr>
              <w:t>Territoire</w:t>
            </w:r>
          </w:p>
        </w:tc>
        <w:tc>
          <w:tcPr>
            <w:tcW w:type="dxa" w:w="4873"/>
            <w:vAlign w:val="center"/>
            <w:shd w:val="clear" w:color="auto" w:fill="2D3848"/>
            <w:tcBorders>
              <w:top w:val="single" w:sz="4" w:color="2D3848"/>
              <w:left w:val="single" w:sz="4" w:color="2D3848"/>
              <w:bottom w:val="single" w:sz="4" w:color="2D3848"/>
              <w:right w:val="single" w:sz="4" w:color="2D3848"/>
            </w:tcBorders>
          </w:tcPr>
          <w:p>
            <w:r/>
            <w:r>
              <w:rPr>
                <w:rFonts w:ascii="Calibri" w:hAnsi="Calibri"/>
                <w:b/>
                <w:i w:val="0"/>
                <w:color w:val="FFFFFF"/>
                <w:sz w:val="21"/>
              </w:rPr>
              <w:t>Numéro</w:t>
            </w:r>
          </w:p>
        </w:tc>
      </w:tr>
      <w:tr>
        <w:tc>
          <w:tcPr>
            <w:tcW w:type="dxa" w:w="4873"/>
            <w:vAlign w:val="top"/>
            <w:tcBorders>
              <w:top w:val="single" w:sz="4" w:color="D6D6DC"/>
              <w:left w:val="single" w:sz="4" w:color="D6D6DC"/>
              <w:bottom w:val="single" w:sz="4" w:color="D6D6DC"/>
              <w:right w:val="single" w:sz="4" w:color="D6D6DC"/>
            </w:tcBorders>
          </w:tcPr>
          <w:p>
            <w:r/>
            <w:r>
              <w:rPr>
                <w:rFonts w:ascii="Calibri" w:hAnsi="Calibri"/>
                <w:b w:val="0"/>
                <w:i w:val="0"/>
                <w:color w:val="1F2937"/>
                <w:sz w:val="21"/>
              </w:rPr>
              <w:t>Guyane</w:t>
            </w:r>
          </w:p>
        </w:tc>
        <w:tc>
          <w:tcPr>
            <w:tcW w:type="dxa" w:w="4873"/>
            <w:vAlign w:val="top"/>
            <w:tcBorders>
              <w:top w:val="single" w:sz="4" w:color="D6D6DC"/>
              <w:left w:val="single" w:sz="4" w:color="D6D6DC"/>
              <w:bottom w:val="single" w:sz="4" w:color="D6D6DC"/>
              <w:right w:val="single" w:sz="4" w:color="D6D6DC"/>
            </w:tcBorders>
          </w:tcPr>
          <w:p>
            <w:r/>
            <w:r>
              <w:rPr>
                <w:rFonts w:ascii="Calibri" w:hAnsi="Calibri"/>
                <w:b w:val="0"/>
                <w:i w:val="0"/>
                <w:color w:val="1F2937"/>
                <w:sz w:val="21"/>
              </w:rPr>
              <w:t>05 94 96 35 00</w:t>
            </w:r>
          </w:p>
        </w:tc>
      </w:tr>
      <w:tr>
        <w:tc>
          <w:tcPr>
            <w:tcW w:type="dxa" w:w="4873"/>
            <w:vAlign w:val="top"/>
            <w:shd w:val="clear" w:color="auto" w:fill="F4F4F6"/>
            <w:tcBorders>
              <w:top w:val="single" w:sz="4" w:color="D6D6DC"/>
              <w:left w:val="single" w:sz="4" w:color="D6D6DC"/>
              <w:bottom w:val="single" w:sz="4" w:color="D6D6DC"/>
              <w:right w:val="single" w:sz="4" w:color="D6D6DC"/>
            </w:tcBorders>
          </w:tcPr>
          <w:p>
            <w:r/>
            <w:r>
              <w:rPr>
                <w:rFonts w:ascii="Calibri" w:hAnsi="Calibri"/>
                <w:b w:val="0"/>
                <w:i w:val="0"/>
                <w:color w:val="1F2937"/>
                <w:sz w:val="21"/>
              </w:rPr>
              <w:t>Guadeloupe</w:t>
            </w:r>
          </w:p>
        </w:tc>
        <w:tc>
          <w:tcPr>
            <w:tcW w:type="dxa" w:w="4873"/>
            <w:vAlign w:val="top"/>
            <w:shd w:val="clear" w:color="auto" w:fill="F4F4F6"/>
            <w:tcBorders>
              <w:top w:val="single" w:sz="4" w:color="D6D6DC"/>
              <w:left w:val="single" w:sz="4" w:color="D6D6DC"/>
              <w:bottom w:val="single" w:sz="4" w:color="D6D6DC"/>
              <w:right w:val="single" w:sz="4" w:color="D6D6DC"/>
            </w:tcBorders>
          </w:tcPr>
          <w:p>
            <w:r/>
            <w:r>
              <w:rPr>
                <w:rFonts w:ascii="Calibri" w:hAnsi="Calibri"/>
                <w:b w:val="0"/>
                <w:i w:val="0"/>
                <w:color w:val="1F2937"/>
                <w:sz w:val="21"/>
              </w:rPr>
              <w:t>05 90 17 35 00</w:t>
            </w:r>
          </w:p>
        </w:tc>
      </w:tr>
      <w:tr>
        <w:tc>
          <w:tcPr>
            <w:tcW w:type="dxa" w:w="4873"/>
            <w:vAlign w:val="top"/>
            <w:tcBorders>
              <w:top w:val="single" w:sz="4" w:color="D6D6DC"/>
              <w:left w:val="single" w:sz="4" w:color="D6D6DC"/>
              <w:bottom w:val="single" w:sz="4" w:color="D6D6DC"/>
              <w:right w:val="single" w:sz="4" w:color="D6D6DC"/>
            </w:tcBorders>
          </w:tcPr>
          <w:p>
            <w:r/>
            <w:r>
              <w:rPr>
                <w:rFonts w:ascii="Calibri" w:hAnsi="Calibri"/>
                <w:b w:val="0"/>
                <w:i w:val="0"/>
                <w:color w:val="1F2937"/>
                <w:sz w:val="21"/>
              </w:rPr>
              <w:t>Martinique</w:t>
            </w:r>
          </w:p>
        </w:tc>
        <w:tc>
          <w:tcPr>
            <w:tcW w:type="dxa" w:w="4873"/>
            <w:vAlign w:val="top"/>
            <w:tcBorders>
              <w:top w:val="single" w:sz="4" w:color="D6D6DC"/>
              <w:left w:val="single" w:sz="4" w:color="D6D6DC"/>
              <w:bottom w:val="single" w:sz="4" w:color="D6D6DC"/>
              <w:right w:val="single" w:sz="4" w:color="D6D6DC"/>
            </w:tcBorders>
          </w:tcPr>
          <w:p>
            <w:r/>
            <w:r>
              <w:rPr>
                <w:rFonts w:ascii="Calibri" w:hAnsi="Calibri"/>
                <w:b w:val="0"/>
                <w:i w:val="0"/>
                <w:color w:val="1F2937"/>
                <w:sz w:val="21"/>
              </w:rPr>
              <w:t>05 96 31 35 00</w:t>
            </w:r>
          </w:p>
        </w:tc>
      </w:tr>
      <w:tr>
        <w:tc>
          <w:tcPr>
            <w:tcW w:type="dxa" w:w="4873"/>
            <w:vAlign w:val="top"/>
            <w:shd w:val="clear" w:color="auto" w:fill="F4F4F6"/>
            <w:tcBorders>
              <w:top w:val="single" w:sz="4" w:color="D6D6DC"/>
              <w:left w:val="single" w:sz="4" w:color="D6D6DC"/>
              <w:bottom w:val="single" w:sz="4" w:color="D6D6DC"/>
              <w:right w:val="single" w:sz="4" w:color="D6D6DC"/>
            </w:tcBorders>
          </w:tcPr>
          <w:p>
            <w:r/>
            <w:r>
              <w:rPr>
                <w:rFonts w:ascii="Calibri" w:hAnsi="Calibri"/>
                <w:b w:val="0"/>
                <w:i w:val="0"/>
                <w:color w:val="1F2937"/>
                <w:sz w:val="21"/>
              </w:rPr>
              <w:t>La Réunion</w:t>
            </w:r>
          </w:p>
        </w:tc>
        <w:tc>
          <w:tcPr>
            <w:tcW w:type="dxa" w:w="4873"/>
            <w:vAlign w:val="top"/>
            <w:shd w:val="clear" w:color="auto" w:fill="F4F4F6"/>
            <w:tcBorders>
              <w:top w:val="single" w:sz="4" w:color="D6D6DC"/>
              <w:left w:val="single" w:sz="4" w:color="D6D6DC"/>
              <w:bottom w:val="single" w:sz="4" w:color="D6D6DC"/>
              <w:right w:val="single" w:sz="4" w:color="D6D6DC"/>
            </w:tcBorders>
          </w:tcPr>
          <w:p>
            <w:r/>
            <w:r>
              <w:rPr>
                <w:rFonts w:ascii="Calibri" w:hAnsi="Calibri"/>
                <w:b w:val="0"/>
                <w:i w:val="0"/>
                <w:color w:val="1F2937"/>
                <w:sz w:val="21"/>
              </w:rPr>
              <w:t>+262 263 08 55 00</w:t>
            </w:r>
          </w:p>
        </w:tc>
      </w:tr>
      <w:tr>
        <w:tc>
          <w:tcPr>
            <w:tcW w:type="dxa" w:w="4873"/>
            <w:vAlign w:val="top"/>
            <w:tcBorders>
              <w:top w:val="single" w:sz="4" w:color="D6D6DC"/>
              <w:left w:val="single" w:sz="4" w:color="D6D6DC"/>
              <w:bottom w:val="single" w:sz="4" w:color="D6D6DC"/>
              <w:right w:val="single" w:sz="4" w:color="D6D6DC"/>
            </w:tcBorders>
          </w:tcPr>
          <w:p>
            <w:r/>
            <w:r>
              <w:rPr>
                <w:rFonts w:ascii="Calibri" w:hAnsi="Calibri"/>
                <w:b w:val="0"/>
                <w:i w:val="0"/>
                <w:color w:val="1F2937"/>
                <w:sz w:val="21"/>
              </w:rPr>
              <w:t>France métropolitaine</w:t>
            </w:r>
          </w:p>
        </w:tc>
        <w:tc>
          <w:tcPr>
            <w:tcW w:type="dxa" w:w="4873"/>
            <w:vAlign w:val="top"/>
            <w:tcBorders>
              <w:top w:val="single" w:sz="4" w:color="D6D6DC"/>
              <w:left w:val="single" w:sz="4" w:color="D6D6DC"/>
              <w:bottom w:val="single" w:sz="4" w:color="D6D6DC"/>
              <w:right w:val="single" w:sz="4" w:color="D6D6DC"/>
            </w:tcBorders>
          </w:tcPr>
          <w:p>
            <w:r/>
            <w:r>
              <w:rPr>
                <w:rFonts w:ascii="Calibri" w:hAnsi="Calibri"/>
                <w:b w:val="0"/>
                <w:i w:val="0"/>
                <w:color w:val="1F2937"/>
                <w:sz w:val="21"/>
              </w:rPr>
              <w:t>01 89 56 35 00</w:t>
            </w:r>
          </w:p>
        </w:tc>
      </w:tr>
      <w:tr>
        <w:tc>
          <w:tcPr>
            <w:tcW w:type="dxa" w:w="4873"/>
            <w:vAlign w:val="top"/>
            <w:shd w:val="clear" w:color="auto" w:fill="F4F4F6"/>
            <w:tcBorders>
              <w:top w:val="single" w:sz="4" w:color="D6D6DC"/>
              <w:left w:val="single" w:sz="4" w:color="D6D6DC"/>
              <w:bottom w:val="single" w:sz="4" w:color="D6D6DC"/>
              <w:right w:val="single" w:sz="4" w:color="D6D6DC"/>
            </w:tcBorders>
          </w:tcPr>
          <w:p>
            <w:r/>
            <w:r>
              <w:rPr>
                <w:rFonts w:ascii="Calibri" w:hAnsi="Calibri"/>
                <w:b w:val="0"/>
                <w:i w:val="0"/>
                <w:color w:val="1F2937"/>
                <w:sz w:val="21"/>
              </w:rPr>
              <w:t>Hotline support technique</w:t>
            </w:r>
          </w:p>
        </w:tc>
        <w:tc>
          <w:tcPr>
            <w:tcW w:type="dxa" w:w="4873"/>
            <w:vAlign w:val="top"/>
            <w:shd w:val="clear" w:color="auto" w:fill="F4F4F6"/>
            <w:tcBorders>
              <w:top w:val="single" w:sz="4" w:color="D6D6DC"/>
              <w:left w:val="single" w:sz="4" w:color="D6D6DC"/>
              <w:bottom w:val="single" w:sz="4" w:color="D6D6DC"/>
              <w:right w:val="single" w:sz="4" w:color="D6D6DC"/>
            </w:tcBorders>
          </w:tcPr>
          <w:p>
            <w:r/>
            <w:r>
              <w:rPr>
                <w:rFonts w:ascii="Calibri" w:hAnsi="Calibri"/>
                <w:b w:val="0"/>
                <w:i w:val="0"/>
                <w:color w:val="1F2937"/>
                <w:sz w:val="21"/>
              </w:rPr>
              <w:t>01 89 56 05 00</w:t>
            </w:r>
          </w:p>
        </w:tc>
      </w:tr>
    </w:tbl>
    <w:p>
      <w:pPr>
        <w:spacing w:after="40"/>
      </w:pPr>
    </w:p>
    <w:p>
      <w:pPr>
        <w:pStyle w:val="Heading2"/>
      </w:pPr>
      <w:r>
        <w:t>14.2. Contacts officiels</w:t>
      </w:r>
    </w:p>
    <w:p>
      <w:r>
        <w:rPr>
          <w:rFonts w:ascii="Calibri" w:hAnsi="Calibri"/>
          <w:b/>
          <w:i w:val="0"/>
          <w:color w:val="2D3848"/>
          <w:sz w:val="22"/>
        </w:rPr>
        <w:t xml:space="preserve">Site web : </w:t>
      </w:r>
      <w:r>
        <w:rPr>
          <w:rFonts w:ascii="Calibri" w:hAnsi="Calibri"/>
          <w:b w:val="0"/>
          <w:i w:val="0"/>
          <w:color w:val="1F2937"/>
          <w:sz w:val="22"/>
        </w:rPr>
        <w:t>https://www.e2i-voip.com</w:t>
      </w:r>
    </w:p>
    <w:p>
      <w:r>
        <w:rPr>
          <w:rFonts w:ascii="Calibri" w:hAnsi="Calibri"/>
          <w:b/>
          <w:i w:val="0"/>
          <w:color w:val="2D3848"/>
          <w:sz w:val="22"/>
        </w:rPr>
        <w:t xml:space="preserve">Email commercial : </w:t>
      </w:r>
      <w:r>
        <w:rPr>
          <w:rFonts w:ascii="Calibri" w:hAnsi="Calibri"/>
          <w:b w:val="0"/>
          <w:i w:val="0"/>
          <w:color w:val="1F2937"/>
          <w:sz w:val="22"/>
        </w:rPr>
        <w:t>commerciaux@e2i-voip.com</w:t>
      </w:r>
    </w:p>
    <w:p>
      <w:r>
        <w:rPr>
          <w:rFonts w:ascii="Calibri" w:hAnsi="Calibri"/>
          <w:b/>
          <w:i w:val="0"/>
          <w:color w:val="2D3848"/>
          <w:sz w:val="22"/>
        </w:rPr>
        <w:t xml:space="preserve">Email support : </w:t>
      </w:r>
      <w:r>
        <w:rPr>
          <w:rFonts w:ascii="Calibri" w:hAnsi="Calibri"/>
          <w:b w:val="0"/>
          <w:i w:val="0"/>
          <w:color w:val="1F2937"/>
          <w:sz w:val="22"/>
        </w:rPr>
        <w:t>assistance@e2i-voip.com</w:t>
      </w:r>
    </w:p>
    <w:p>
      <w:r>
        <w:rPr>
          <w:rFonts w:ascii="Calibri" w:hAnsi="Calibri"/>
          <w:b/>
          <w:i w:val="0"/>
          <w:color w:val="2D3848"/>
          <w:sz w:val="22"/>
        </w:rPr>
        <w:t xml:space="preserve">Demande de devis en ligne : </w:t>
      </w:r>
      <w:r>
        <w:rPr>
          <w:rFonts w:ascii="Calibri" w:hAnsi="Calibri"/>
          <w:b w:val="0"/>
          <w:i w:val="0"/>
          <w:color w:val="1F2937"/>
          <w:sz w:val="22"/>
        </w:rPr>
        <w:t>https://www.e2i-voip.com/devis</w:t>
      </w:r>
    </w:p>
    <w:p>
      <w:r>
        <w:rPr>
          <w:rFonts w:ascii="Calibri" w:hAnsi="Calibri"/>
          <w:b/>
          <w:i w:val="0"/>
          <w:color w:val="2D3848"/>
          <w:sz w:val="22"/>
        </w:rPr>
        <w:t xml:space="preserve">Portail support : </w:t>
      </w:r>
      <w:r>
        <w:rPr>
          <w:rFonts w:ascii="Calibri" w:hAnsi="Calibri"/>
          <w:b w:val="0"/>
          <w:i w:val="0"/>
          <w:color w:val="1F2937"/>
          <w:sz w:val="22"/>
        </w:rPr>
        <w:t>https://support.e2i-voip.com</w:t>
      </w:r>
    </w:p>
    <w:p>
      <w:pPr>
        <w:pStyle w:val="Heading2"/>
      </w:pPr>
      <w:r>
        <w:t>14.3. Charte graphique appliquée à ce document</w:t>
      </w:r>
    </w:p>
    <w:tbl>
      <w:tblPr>
        <w:tblW w:type="auto" w:w="0"/>
        <w:jc w:val="center"/>
        <w:tblLayout w:type="autofit"/>
        <w:tblLook w:firstColumn="1" w:firstRow="1" w:lastColumn="0" w:lastRow="0" w:noHBand="0" w:noVBand="1" w:val="04A0"/>
      </w:tblPr>
      <w:tblGrid>
        <w:gridCol w:w="3249"/>
        <w:gridCol w:w="3249"/>
        <w:gridCol w:w="3249"/>
      </w:tblGrid>
      <w:tr>
        <w:tc>
          <w:tcPr>
            <w:tcW w:type="dxa" w:w="3249"/>
            <w:vAlign w:val="center"/>
            <w:shd w:val="clear" w:color="auto" w:fill="2D3848"/>
            <w:tcBorders>
              <w:top w:val="single" w:sz="4" w:color="2D3848"/>
              <w:left w:val="single" w:sz="4" w:color="2D3848"/>
              <w:bottom w:val="single" w:sz="4" w:color="2D3848"/>
              <w:right w:val="single" w:sz="4" w:color="2D3848"/>
            </w:tcBorders>
          </w:tcPr>
          <w:p>
            <w:r/>
            <w:r>
              <w:rPr>
                <w:rFonts w:ascii="Calibri" w:hAnsi="Calibri"/>
                <w:b/>
                <w:i w:val="0"/>
                <w:color w:val="FFFFFF"/>
                <w:sz w:val="21"/>
              </w:rPr>
              <w:t>Rôle</w:t>
            </w:r>
          </w:p>
        </w:tc>
        <w:tc>
          <w:tcPr>
            <w:tcW w:type="dxa" w:w="3249"/>
            <w:vAlign w:val="center"/>
            <w:shd w:val="clear" w:color="auto" w:fill="2D3848"/>
            <w:tcBorders>
              <w:top w:val="single" w:sz="4" w:color="2D3848"/>
              <w:left w:val="single" w:sz="4" w:color="2D3848"/>
              <w:bottom w:val="single" w:sz="4" w:color="2D3848"/>
              <w:right w:val="single" w:sz="4" w:color="2D3848"/>
            </w:tcBorders>
          </w:tcPr>
          <w:p>
            <w:r/>
            <w:r>
              <w:rPr>
                <w:rFonts w:ascii="Calibri" w:hAnsi="Calibri"/>
                <w:b/>
                <w:i w:val="0"/>
                <w:color w:val="FFFFFF"/>
                <w:sz w:val="21"/>
              </w:rPr>
              <w:t>Hex</w:t>
            </w:r>
          </w:p>
        </w:tc>
        <w:tc>
          <w:tcPr>
            <w:tcW w:type="dxa" w:w="3249"/>
            <w:vAlign w:val="center"/>
            <w:shd w:val="clear" w:color="auto" w:fill="2D3848"/>
            <w:tcBorders>
              <w:top w:val="single" w:sz="4" w:color="2D3848"/>
              <w:left w:val="single" w:sz="4" w:color="2D3848"/>
              <w:bottom w:val="single" w:sz="4" w:color="2D3848"/>
              <w:right w:val="single" w:sz="4" w:color="2D3848"/>
            </w:tcBorders>
          </w:tcPr>
          <w:p>
            <w:r/>
            <w:r>
              <w:rPr>
                <w:rFonts w:ascii="Calibri" w:hAnsi="Calibri"/>
                <w:b/>
                <w:i w:val="0"/>
                <w:color w:val="FFFFFF"/>
                <w:sz w:val="21"/>
              </w:rPr>
              <w:t>Usage dans le document</w:t>
            </w:r>
          </w:p>
        </w:tc>
      </w:tr>
      <w:tr>
        <w:tc>
          <w:tcPr>
            <w:tcW w:type="dxa" w:w="3249"/>
            <w:vAlign w:val="top"/>
            <w:tcBorders>
              <w:top w:val="single" w:sz="4" w:color="D6D6DC"/>
              <w:left w:val="single" w:sz="4" w:color="D6D6DC"/>
              <w:bottom w:val="single" w:sz="4" w:color="D6D6DC"/>
              <w:right w:val="single" w:sz="4" w:color="D6D6DC"/>
            </w:tcBorders>
          </w:tcPr>
          <w:p>
            <w:r/>
            <w:r>
              <w:rPr>
                <w:rFonts w:ascii="Calibri" w:hAnsi="Calibri"/>
                <w:b w:val="0"/>
                <w:i w:val="0"/>
                <w:color w:val="1F2937"/>
                <w:sz w:val="21"/>
              </w:rPr>
              <w:t>Rouge Principal</w:t>
            </w:r>
          </w:p>
        </w:tc>
        <w:tc>
          <w:tcPr>
            <w:tcW w:type="dxa" w:w="3249"/>
            <w:vAlign w:val="top"/>
            <w:tcBorders>
              <w:top w:val="single" w:sz="4" w:color="D6D6DC"/>
              <w:left w:val="single" w:sz="4" w:color="D6D6DC"/>
              <w:bottom w:val="single" w:sz="4" w:color="D6D6DC"/>
              <w:right w:val="single" w:sz="4" w:color="D6D6DC"/>
            </w:tcBorders>
          </w:tcPr>
          <w:p>
            <w:r/>
            <w:r>
              <w:rPr>
                <w:rFonts w:ascii="Calibri" w:hAnsi="Calibri"/>
                <w:b w:val="0"/>
                <w:i w:val="0"/>
                <w:color w:val="1F2937"/>
                <w:sz w:val="21"/>
              </w:rPr>
              <w:t>#E53E3E</w:t>
            </w:r>
          </w:p>
        </w:tc>
        <w:tc>
          <w:tcPr>
            <w:tcW w:type="dxa" w:w="3249"/>
            <w:vAlign w:val="top"/>
            <w:tcBorders>
              <w:top w:val="single" w:sz="4" w:color="D6D6DC"/>
              <w:left w:val="single" w:sz="4" w:color="D6D6DC"/>
              <w:bottom w:val="single" w:sz="4" w:color="D6D6DC"/>
              <w:right w:val="single" w:sz="4" w:color="D6D6DC"/>
            </w:tcBorders>
          </w:tcPr>
          <w:p>
            <w:r/>
            <w:r>
              <w:rPr>
                <w:rFonts w:ascii="Calibri" w:hAnsi="Calibri"/>
                <w:b w:val="0"/>
                <w:i w:val="0"/>
                <w:color w:val="1F2937"/>
                <w:sz w:val="21"/>
              </w:rPr>
              <w:t>Titres H1, séparateurs, accents, citations</w:t>
            </w:r>
          </w:p>
        </w:tc>
      </w:tr>
      <w:tr>
        <w:tc>
          <w:tcPr>
            <w:tcW w:type="dxa" w:w="3249"/>
            <w:vAlign w:val="top"/>
            <w:shd w:val="clear" w:color="auto" w:fill="F4F4F6"/>
            <w:tcBorders>
              <w:top w:val="single" w:sz="4" w:color="D6D6DC"/>
              <w:left w:val="single" w:sz="4" w:color="D6D6DC"/>
              <w:bottom w:val="single" w:sz="4" w:color="D6D6DC"/>
              <w:right w:val="single" w:sz="4" w:color="D6D6DC"/>
            </w:tcBorders>
          </w:tcPr>
          <w:p>
            <w:r/>
            <w:r>
              <w:rPr>
                <w:rFonts w:ascii="Calibri" w:hAnsi="Calibri"/>
                <w:b w:val="0"/>
                <w:i w:val="0"/>
                <w:color w:val="1F2937"/>
                <w:sz w:val="21"/>
              </w:rPr>
              <w:t>Bleu Marine</w:t>
            </w:r>
          </w:p>
        </w:tc>
        <w:tc>
          <w:tcPr>
            <w:tcW w:type="dxa" w:w="3249"/>
            <w:vAlign w:val="top"/>
            <w:shd w:val="clear" w:color="auto" w:fill="F4F4F6"/>
            <w:tcBorders>
              <w:top w:val="single" w:sz="4" w:color="D6D6DC"/>
              <w:left w:val="single" w:sz="4" w:color="D6D6DC"/>
              <w:bottom w:val="single" w:sz="4" w:color="D6D6DC"/>
              <w:right w:val="single" w:sz="4" w:color="D6D6DC"/>
            </w:tcBorders>
          </w:tcPr>
          <w:p>
            <w:r/>
            <w:r>
              <w:rPr>
                <w:rFonts w:ascii="Calibri" w:hAnsi="Calibri"/>
                <w:b w:val="0"/>
                <w:i w:val="0"/>
                <w:color w:val="1F2937"/>
                <w:sz w:val="21"/>
              </w:rPr>
              <w:t>#2D3848</w:t>
            </w:r>
          </w:p>
        </w:tc>
        <w:tc>
          <w:tcPr>
            <w:tcW w:type="dxa" w:w="3249"/>
            <w:vAlign w:val="top"/>
            <w:shd w:val="clear" w:color="auto" w:fill="F4F4F6"/>
            <w:tcBorders>
              <w:top w:val="single" w:sz="4" w:color="D6D6DC"/>
              <w:left w:val="single" w:sz="4" w:color="D6D6DC"/>
              <w:bottom w:val="single" w:sz="4" w:color="D6D6DC"/>
              <w:right w:val="single" w:sz="4" w:color="D6D6DC"/>
            </w:tcBorders>
          </w:tcPr>
          <w:p>
            <w:r/>
            <w:r>
              <w:rPr>
                <w:rFonts w:ascii="Calibri" w:hAnsi="Calibri"/>
                <w:b w:val="0"/>
                <w:i w:val="0"/>
                <w:color w:val="1F2937"/>
                <w:sz w:val="21"/>
              </w:rPr>
              <w:t>Titres H2/H3, en-têtes de tableaux</w:t>
            </w:r>
          </w:p>
        </w:tc>
      </w:tr>
      <w:tr>
        <w:tc>
          <w:tcPr>
            <w:tcW w:type="dxa" w:w="3249"/>
            <w:vAlign w:val="top"/>
            <w:tcBorders>
              <w:top w:val="single" w:sz="4" w:color="D6D6DC"/>
              <w:left w:val="single" w:sz="4" w:color="D6D6DC"/>
              <w:bottom w:val="single" w:sz="4" w:color="D6D6DC"/>
              <w:right w:val="single" w:sz="4" w:color="D6D6DC"/>
            </w:tcBorders>
          </w:tcPr>
          <w:p>
            <w:r/>
            <w:r>
              <w:rPr>
                <w:rFonts w:ascii="Calibri" w:hAnsi="Calibri"/>
                <w:b w:val="0"/>
                <w:i w:val="0"/>
                <w:color w:val="1F2937"/>
                <w:sz w:val="21"/>
              </w:rPr>
              <w:t>Gris Foncé</w:t>
            </w:r>
          </w:p>
        </w:tc>
        <w:tc>
          <w:tcPr>
            <w:tcW w:type="dxa" w:w="3249"/>
            <w:vAlign w:val="top"/>
            <w:tcBorders>
              <w:top w:val="single" w:sz="4" w:color="D6D6DC"/>
              <w:left w:val="single" w:sz="4" w:color="D6D6DC"/>
              <w:bottom w:val="single" w:sz="4" w:color="D6D6DC"/>
              <w:right w:val="single" w:sz="4" w:color="D6D6DC"/>
            </w:tcBorders>
          </w:tcPr>
          <w:p>
            <w:r/>
            <w:r>
              <w:rPr>
                <w:rFonts w:ascii="Calibri" w:hAnsi="Calibri"/>
                <w:b w:val="0"/>
                <w:i w:val="0"/>
                <w:color w:val="1F2937"/>
                <w:sz w:val="21"/>
              </w:rPr>
              <w:t>#1F2937</w:t>
            </w:r>
          </w:p>
        </w:tc>
        <w:tc>
          <w:tcPr>
            <w:tcW w:type="dxa" w:w="3249"/>
            <w:vAlign w:val="top"/>
            <w:tcBorders>
              <w:top w:val="single" w:sz="4" w:color="D6D6DC"/>
              <w:left w:val="single" w:sz="4" w:color="D6D6DC"/>
              <w:bottom w:val="single" w:sz="4" w:color="D6D6DC"/>
              <w:right w:val="single" w:sz="4" w:color="D6D6DC"/>
            </w:tcBorders>
          </w:tcPr>
          <w:p>
            <w:r/>
            <w:r>
              <w:rPr>
                <w:rFonts w:ascii="Calibri" w:hAnsi="Calibri"/>
                <w:b w:val="0"/>
                <w:i w:val="0"/>
                <w:color w:val="1F2937"/>
                <w:sz w:val="21"/>
              </w:rPr>
              <w:t>Texte courant</w:t>
            </w:r>
          </w:p>
        </w:tc>
      </w:tr>
      <w:tr>
        <w:tc>
          <w:tcPr>
            <w:tcW w:type="dxa" w:w="3249"/>
            <w:vAlign w:val="top"/>
            <w:shd w:val="clear" w:color="auto" w:fill="F4F4F6"/>
            <w:tcBorders>
              <w:top w:val="single" w:sz="4" w:color="D6D6DC"/>
              <w:left w:val="single" w:sz="4" w:color="D6D6DC"/>
              <w:bottom w:val="single" w:sz="4" w:color="D6D6DC"/>
              <w:right w:val="single" w:sz="4" w:color="D6D6DC"/>
            </w:tcBorders>
          </w:tcPr>
          <w:p>
            <w:r/>
            <w:r>
              <w:rPr>
                <w:rFonts w:ascii="Calibri" w:hAnsi="Calibri"/>
                <w:b w:val="0"/>
                <w:i w:val="0"/>
                <w:color w:val="1F2937"/>
                <w:sz w:val="21"/>
              </w:rPr>
              <w:t>Gris Secondaire</w:t>
            </w:r>
          </w:p>
        </w:tc>
        <w:tc>
          <w:tcPr>
            <w:tcW w:type="dxa" w:w="3249"/>
            <w:vAlign w:val="top"/>
            <w:shd w:val="clear" w:color="auto" w:fill="F4F4F6"/>
            <w:tcBorders>
              <w:top w:val="single" w:sz="4" w:color="D6D6DC"/>
              <w:left w:val="single" w:sz="4" w:color="D6D6DC"/>
              <w:bottom w:val="single" w:sz="4" w:color="D6D6DC"/>
              <w:right w:val="single" w:sz="4" w:color="D6D6DC"/>
            </w:tcBorders>
          </w:tcPr>
          <w:p>
            <w:r/>
            <w:r>
              <w:rPr>
                <w:rFonts w:ascii="Calibri" w:hAnsi="Calibri"/>
                <w:b w:val="0"/>
                <w:i w:val="0"/>
                <w:color w:val="1F2937"/>
                <w:sz w:val="21"/>
              </w:rPr>
              <w:t>#818096</w:t>
            </w:r>
          </w:p>
        </w:tc>
        <w:tc>
          <w:tcPr>
            <w:tcW w:type="dxa" w:w="3249"/>
            <w:vAlign w:val="top"/>
            <w:shd w:val="clear" w:color="auto" w:fill="F4F4F6"/>
            <w:tcBorders>
              <w:top w:val="single" w:sz="4" w:color="D6D6DC"/>
              <w:left w:val="single" w:sz="4" w:color="D6D6DC"/>
              <w:bottom w:val="single" w:sz="4" w:color="D6D6DC"/>
              <w:right w:val="single" w:sz="4" w:color="D6D6DC"/>
            </w:tcBorders>
          </w:tcPr>
          <w:p>
            <w:r/>
            <w:r>
              <w:rPr>
                <w:rFonts w:ascii="Calibri" w:hAnsi="Calibri"/>
                <w:b w:val="0"/>
                <w:i w:val="0"/>
                <w:color w:val="1F2937"/>
                <w:sz w:val="21"/>
              </w:rPr>
              <w:t>Textes secondaires, légendes, vocabulaire à éviter</w:t>
            </w:r>
          </w:p>
        </w:tc>
      </w:tr>
    </w:tbl>
    <w:p>
      <w:pPr>
        <w:spacing w:after="40"/>
      </w:pPr>
    </w:p>
    <w:p>
      <w:pPr>
        <w:spacing w:before="600"/>
        <w:pBdr>
          <w:bottom w:val="single" w:sz="8" w:space="1" w:color="2D3848"/>
        </w:pBdr>
        <w:jc w:val="center"/>
      </w:pPr>
      <w:r>
        <w:rPr>
          <w:rFonts w:ascii="Calibri" w:hAnsi="Calibri"/>
          <w:b w:val="0"/>
          <w:i/>
          <w:color w:val="818096"/>
          <w:sz w:val="18"/>
        </w:rPr>
        <w:t>Document de spécification — E2I VoIP — Stratégie de Vente &amp; Marketing v1.0 — 2026-04-28</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E53E3E"/>
      <w:sz w:val="4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D3848"/>
      <w:sz w:val="3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D3848"/>
      <w:sz w:val="26"/>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Calibri" w:hAnsi="Calibri"/>
      <w:b/>
      <w:bCs/>
      <w:i/>
      <w:iCs/>
      <w:color w:val="1F2937"/>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E53E3E"/>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