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A0A0A"/>
  <w:body>
    <w:p w14:paraId="68D65979" w14:textId="77777777" w:rsidR="004C0D01" w:rsidRDefault="004C0D01">
      <w:pPr>
        <w:spacing w:before="400"/>
      </w:pPr>
    </w:p>
    <w:p w14:paraId="02335F90" w14:textId="77777777" w:rsidR="004C0D01" w:rsidRDefault="00000000">
      <w:pPr>
        <w:spacing w:after="60"/>
        <w:jc w:val="center"/>
      </w:pPr>
      <w:r>
        <w:rPr>
          <w:b/>
          <w:bCs/>
          <w:caps/>
          <w:color w:val="AAAAAA"/>
          <w:spacing w:val="120"/>
        </w:rPr>
        <w:t>ARMS v4.0</w:t>
      </w:r>
    </w:p>
    <w:p w14:paraId="07E5BA4F" w14:textId="77777777" w:rsidR="004C0D01" w:rsidRDefault="00000000">
      <w:pPr>
        <w:spacing w:after="60"/>
        <w:jc w:val="center"/>
      </w:pPr>
      <w:r>
        <w:rPr>
          <w:b/>
          <w:bCs/>
          <w:caps/>
          <w:color w:val="C9A84C"/>
          <w:spacing w:val="200"/>
          <w:sz w:val="36"/>
          <w:szCs w:val="36"/>
        </w:rPr>
        <w:t>ADDENDUM 5</w:t>
      </w:r>
    </w:p>
    <w:p w14:paraId="13291583" w14:textId="77777777" w:rsidR="004C0D01" w:rsidRDefault="00000000">
      <w:pPr>
        <w:jc w:val="center"/>
      </w:pPr>
      <w:r>
        <w:rPr>
          <w:b/>
          <w:bCs/>
          <w:caps/>
          <w:spacing w:val="60"/>
          <w:sz w:val="52"/>
          <w:szCs w:val="52"/>
        </w:rPr>
        <w:t>SOVEREIGN EXECUTION MANDATE</w:t>
      </w:r>
    </w:p>
    <w:p w14:paraId="2A2AFE86" w14:textId="77777777" w:rsidR="004C0D01" w:rsidRDefault="004C0D01">
      <w:pPr>
        <w:spacing w:before="80"/>
      </w:pPr>
    </w:p>
    <w:p w14:paraId="4E733142" w14:textId="77777777" w:rsidR="004C0D01" w:rsidRDefault="004C0D01">
      <w:pPr>
        <w:pBdr>
          <w:bottom w:val="single" w:sz="16" w:space="1" w:color="C9A84C"/>
        </w:pBdr>
      </w:pPr>
    </w:p>
    <w:p w14:paraId="3435999D" w14:textId="77777777" w:rsidR="004C0D01" w:rsidRDefault="004C0D01">
      <w:pPr>
        <w:spacing w:before="80"/>
      </w:pPr>
    </w:p>
    <w:p w14:paraId="0752FC19" w14:textId="77777777" w:rsidR="004C0D01" w:rsidRDefault="00000000">
      <w:pPr>
        <w:spacing w:after="60"/>
        <w:jc w:val="center"/>
      </w:pPr>
      <w:r>
        <w:rPr>
          <w:i/>
          <w:iCs/>
          <w:color w:val="AAAAAA"/>
          <w:sz w:val="18"/>
          <w:szCs w:val="18"/>
        </w:rPr>
        <w:t>Document Class: Governing Architecture Directive</w:t>
      </w:r>
    </w:p>
    <w:p w14:paraId="159DF951" w14:textId="77777777" w:rsidR="004C0D01" w:rsidRDefault="00000000">
      <w:pPr>
        <w:spacing w:after="60"/>
        <w:jc w:val="center"/>
      </w:pPr>
      <w:r>
        <w:rPr>
          <w:color w:val="AAAAAA"/>
          <w:sz w:val="18"/>
          <w:szCs w:val="18"/>
        </w:rPr>
        <w:t>Version: 1.0   |   Effective: April 2, 2026</w:t>
      </w:r>
    </w:p>
    <w:p w14:paraId="68724EAC" w14:textId="77777777" w:rsidR="004C0D01" w:rsidRDefault="00000000">
      <w:pPr>
        <w:spacing w:after="60"/>
        <w:jc w:val="center"/>
      </w:pPr>
      <w:r>
        <w:rPr>
          <w:b/>
          <w:bCs/>
          <w:color w:val="C9A84C"/>
          <w:sz w:val="18"/>
          <w:szCs w:val="18"/>
        </w:rPr>
        <w:t>Status: CANONICAL — Binding across all ARMS modules, current and future</w:t>
      </w:r>
    </w:p>
    <w:p w14:paraId="044109CF" w14:textId="77777777" w:rsidR="004C0D01" w:rsidRDefault="004C0D01">
      <w:pPr>
        <w:spacing w:before="200"/>
      </w:pPr>
    </w:p>
    <w:p w14:paraId="4E21FE33" w14:textId="77777777" w:rsidR="004C0D01" w:rsidRDefault="004C0D01">
      <w:pPr>
        <w:spacing w:before="200"/>
      </w:pPr>
    </w:p>
    <w:p w14:paraId="0921C69E" w14:textId="77777777" w:rsidR="004C0D01" w:rsidRDefault="00000000">
      <w:pPr>
        <w:spacing w:after="100"/>
      </w:pPr>
      <w:r>
        <w:rPr>
          <w:b/>
          <w:bCs/>
          <w:caps/>
          <w:color w:val="C9A84C"/>
          <w:spacing w:val="40"/>
          <w:sz w:val="24"/>
          <w:szCs w:val="24"/>
        </w:rPr>
        <w:t>1.  Purpose</w:t>
      </w:r>
    </w:p>
    <w:p w14:paraId="6FCD57F0" w14:textId="77777777" w:rsidR="004C0D01" w:rsidRDefault="004C0D01">
      <w:pPr>
        <w:pBdr>
          <w:bottom w:val="single" w:sz="6" w:space="1" w:color="C9A84C"/>
        </w:pBdr>
      </w:pPr>
    </w:p>
    <w:p w14:paraId="33B38966" w14:textId="77777777" w:rsidR="004C0D01" w:rsidRDefault="004C0D01">
      <w:pPr>
        <w:spacing w:before="80"/>
      </w:pPr>
    </w:p>
    <w:p w14:paraId="09AAE799" w14:textId="77777777" w:rsidR="004C0D01" w:rsidRDefault="00000000">
      <w:pPr>
        <w:spacing w:before="80" w:after="80"/>
      </w:pPr>
      <w:r>
        <w:t>This Addendum establishes the Sovereign Execution Mandate (SEM) as the governing architecture directive of the Achelion Risk Management System (ARMS). It defines the precise and permanent boundary between Portfolio Manager (PM) function and system function.</w:t>
      </w:r>
    </w:p>
    <w:p w14:paraId="7C838E61" w14:textId="77777777" w:rsidR="004C0D01" w:rsidRDefault="004C0D01">
      <w:pPr>
        <w:spacing w:before="80"/>
      </w:pPr>
    </w:p>
    <w:p w14:paraId="5DFA091C" w14:textId="77777777" w:rsidR="004C0D01" w:rsidRDefault="00000000">
      <w:pPr>
        <w:spacing w:before="80" w:after="80"/>
      </w:pPr>
      <w:r>
        <w:t>This directive is binding on all existing modules, all future module development, all third-party integrations, and all engineering decisions made by AT LLC personnel. No module, feature, workflow, or process may be designed, modified, or deployed in a manner inconsistent with this Mandate.</w:t>
      </w:r>
    </w:p>
    <w:p w14:paraId="5C3C6A56" w14:textId="77777777" w:rsidR="004C0D01" w:rsidRDefault="004C0D01">
      <w:pPr>
        <w:spacing w:before="200"/>
      </w:pPr>
    </w:p>
    <w:p w14:paraId="14C8460D" w14:textId="77777777" w:rsidR="004C0D01" w:rsidRDefault="00000000">
      <w:pPr>
        <w:spacing w:after="100"/>
      </w:pPr>
      <w:r>
        <w:rPr>
          <w:b/>
          <w:bCs/>
          <w:caps/>
          <w:color w:val="C9A84C"/>
          <w:spacing w:val="40"/>
          <w:sz w:val="24"/>
          <w:szCs w:val="24"/>
        </w:rPr>
        <w:t>2.  The Mandate</w:t>
      </w:r>
    </w:p>
    <w:p w14:paraId="62342E46" w14:textId="77777777" w:rsidR="004C0D01" w:rsidRDefault="004C0D01">
      <w:pPr>
        <w:pBdr>
          <w:bottom w:val="single" w:sz="6" w:space="1" w:color="C9A84C"/>
        </w:pBdr>
      </w:pPr>
    </w:p>
    <w:p w14:paraId="06E00D33" w14:textId="77777777" w:rsidR="004C0D01" w:rsidRDefault="004C0D01">
      <w:pPr>
        <w:spacing w:before="80"/>
      </w:pPr>
    </w:p>
    <w:p w14:paraId="5C6701DE" w14:textId="77777777" w:rsidR="004C0D01" w:rsidRDefault="00000000">
      <w:pPr>
        <w:spacing w:before="80" w:after="80"/>
        <w:jc w:val="center"/>
      </w:pPr>
      <w:r>
        <w:rPr>
          <w:b/>
          <w:bCs/>
          <w:sz w:val="28"/>
          <w:szCs w:val="28"/>
        </w:rPr>
        <w:t>ARMS is a sovereign execution system.</w:t>
      </w:r>
    </w:p>
    <w:p w14:paraId="76BF7F28" w14:textId="77777777" w:rsidR="004C0D01" w:rsidRDefault="00000000">
      <w:pPr>
        <w:spacing w:after="160"/>
        <w:jc w:val="center"/>
      </w:pPr>
      <w:r>
        <w:rPr>
          <w:b/>
          <w:bCs/>
          <w:color w:val="C9A84C"/>
          <w:sz w:val="28"/>
          <w:szCs w:val="28"/>
        </w:rPr>
        <w:t>The PM is not an execution resource.</w:t>
      </w:r>
    </w:p>
    <w:p w14:paraId="2B7E15BF" w14:textId="77777777" w:rsidR="004C0D01" w:rsidRDefault="00000000">
      <w:pPr>
        <w:spacing w:before="80" w:after="80"/>
      </w:pPr>
      <w:r>
        <w:t>The Portfolio Manager's function within the Achelion operational structure is exclusively confined to three domains:</w:t>
      </w:r>
    </w:p>
    <w:p w14:paraId="1F150FBD" w14:textId="77777777" w:rsidR="004C0D01" w:rsidRDefault="004C0D01">
      <w:pPr>
        <w:spacing w:before="100"/>
      </w:pPr>
    </w:p>
    <w:p w14:paraId="060986DA" w14:textId="77777777" w:rsidR="004C0D01" w:rsidRDefault="00000000">
      <w:pPr>
        <w:spacing w:before="120" w:after="60"/>
      </w:pPr>
      <w:r>
        <w:rPr>
          <w:b/>
          <w:bCs/>
          <w:color w:val="F0D080"/>
          <w:sz w:val="22"/>
          <w:szCs w:val="22"/>
        </w:rPr>
        <w:t>Domain I — Thesis Generation</w:t>
      </w:r>
    </w:p>
    <w:p w14:paraId="36870DB9" w14:textId="77777777" w:rsidR="004C0D01" w:rsidRDefault="00000000">
      <w:pPr>
        <w:spacing w:before="80" w:after="80"/>
      </w:pPr>
      <w:r>
        <w:t>Identifying civilizational infrastructure shifts, structural bottlenecks, and macro regime inflections before mainstream consensus. This is the PM's primary competitive edge and the source of Achelion's alpha. It cannot be systematized. It must not be diluted by operational or transactional demands on PM attention.</w:t>
      </w:r>
    </w:p>
    <w:p w14:paraId="76263258" w14:textId="77777777" w:rsidR="004C0D01" w:rsidRDefault="004C0D01">
      <w:pPr>
        <w:spacing w:before="60"/>
      </w:pPr>
    </w:p>
    <w:p w14:paraId="32664664" w14:textId="77777777" w:rsidR="004C0D01" w:rsidRDefault="00000000">
      <w:pPr>
        <w:spacing w:before="120" w:after="60"/>
      </w:pPr>
      <w:r>
        <w:rPr>
          <w:b/>
          <w:bCs/>
          <w:color w:val="F0D080"/>
          <w:sz w:val="22"/>
          <w:szCs w:val="22"/>
        </w:rPr>
        <w:t>Domain II — Narrative Architecture</w:t>
      </w:r>
    </w:p>
    <w:p w14:paraId="18A73DE0" w14:textId="77777777" w:rsidR="004C0D01" w:rsidRDefault="00000000">
      <w:pPr>
        <w:spacing w:before="80" w:after="80"/>
      </w:pPr>
      <w:r>
        <w:lastRenderedPageBreak/>
        <w:t>Translating thesis into investor-grade narrative for LP relationships, capital formation, and institutional positioning. This domain requires the PM's full cognitive presence and cannot coexist with real-time portfolio execution demands.</w:t>
      </w:r>
    </w:p>
    <w:p w14:paraId="62FD8228" w14:textId="77777777" w:rsidR="004C0D01" w:rsidRDefault="004C0D01">
      <w:pPr>
        <w:spacing w:before="60"/>
      </w:pPr>
    </w:p>
    <w:p w14:paraId="327712D2" w14:textId="77777777" w:rsidR="004C0D01" w:rsidRDefault="00000000">
      <w:pPr>
        <w:spacing w:before="120" w:after="60"/>
      </w:pPr>
      <w:r>
        <w:rPr>
          <w:b/>
          <w:bCs/>
          <w:color w:val="F0D080"/>
          <w:sz w:val="22"/>
          <w:szCs w:val="22"/>
        </w:rPr>
        <w:t>Domain III — Relationship Capital &amp; Category A Intelligence</w:t>
      </w:r>
    </w:p>
    <w:p w14:paraId="1D19D769" w14:textId="77777777" w:rsidR="004C0D01" w:rsidRDefault="00000000">
      <w:pPr>
        <w:spacing w:before="80" w:after="80"/>
      </w:pPr>
      <w:r>
        <w:t>Surface-level human signal acquired through direct relationship channels — conversations, rooms, and intelligence that no data feed, model, or algorithm can replicate. This is Gate 6 intelligence. It flows into ARMS as thesis input. It does not flow back out as a PM execution prompt.</w:t>
      </w:r>
    </w:p>
    <w:p w14:paraId="036997D0" w14:textId="77777777" w:rsidR="004C0D01" w:rsidRDefault="004C0D01">
      <w:pPr>
        <w:spacing w:before="160"/>
      </w:pPr>
    </w:p>
    <w:p w14:paraId="04F1B0AD" w14:textId="77777777" w:rsidR="004C0D01" w:rsidRDefault="00000000">
      <w:pPr>
        <w:jc w:val="center"/>
      </w:pPr>
      <w:r>
        <w:rPr>
          <w:b/>
          <w:bCs/>
          <w:i/>
          <w:iCs/>
          <w:sz w:val="26"/>
          <w:szCs w:val="26"/>
        </w:rPr>
        <w:t>The PM brings the kill.</w:t>
      </w:r>
    </w:p>
    <w:p w14:paraId="47139378" w14:textId="77777777" w:rsidR="004C0D01" w:rsidRDefault="00000000">
      <w:pPr>
        <w:spacing w:before="40"/>
        <w:jc w:val="center"/>
      </w:pPr>
      <w:r>
        <w:rPr>
          <w:b/>
          <w:bCs/>
          <w:i/>
          <w:iCs/>
          <w:color w:val="C9A84C"/>
          <w:sz w:val="26"/>
          <w:szCs w:val="26"/>
        </w:rPr>
        <w:t>ARMS runs the slaughter.</w:t>
      </w:r>
    </w:p>
    <w:p w14:paraId="550D4C64" w14:textId="77777777" w:rsidR="004C0D01" w:rsidRDefault="004C0D01">
      <w:pPr>
        <w:spacing w:before="160"/>
      </w:pPr>
    </w:p>
    <w:p w14:paraId="7A388472" w14:textId="77777777" w:rsidR="004C0D01" w:rsidRDefault="004C0D01">
      <w:pPr>
        <w:spacing w:before="200"/>
      </w:pPr>
    </w:p>
    <w:p w14:paraId="653E0DBC" w14:textId="77777777" w:rsidR="004C0D01" w:rsidRDefault="00000000">
      <w:pPr>
        <w:spacing w:after="100"/>
      </w:pPr>
      <w:r>
        <w:rPr>
          <w:b/>
          <w:bCs/>
          <w:caps/>
          <w:color w:val="C9A84C"/>
          <w:spacing w:val="40"/>
          <w:sz w:val="24"/>
          <w:szCs w:val="24"/>
        </w:rPr>
        <w:t>3.  Exclusive System Jurisdiction</w:t>
      </w:r>
    </w:p>
    <w:p w14:paraId="18A1DCF6" w14:textId="77777777" w:rsidR="004C0D01" w:rsidRDefault="004C0D01">
      <w:pPr>
        <w:pBdr>
          <w:bottom w:val="single" w:sz="6" w:space="1" w:color="C9A84C"/>
        </w:pBdr>
      </w:pPr>
    </w:p>
    <w:p w14:paraId="14A67FEB" w14:textId="77777777" w:rsidR="004C0D01" w:rsidRDefault="004C0D01">
      <w:pPr>
        <w:spacing w:before="80"/>
      </w:pPr>
    </w:p>
    <w:p w14:paraId="528616D6" w14:textId="77777777" w:rsidR="004C0D01" w:rsidRDefault="00000000">
      <w:pPr>
        <w:spacing w:before="80" w:after="80"/>
      </w:pPr>
      <w:r>
        <w:t>The following functions belong to ARMS — autonomously, permanently, and without PM input, confirmation, approval, or override:</w:t>
      </w:r>
    </w:p>
    <w:p w14:paraId="7D26FFFB" w14:textId="77777777" w:rsidR="004C0D01" w:rsidRDefault="004C0D01">
      <w:pPr>
        <w:spacing w:before="80"/>
      </w:pPr>
    </w:p>
    <w:p w14:paraId="5C374422" w14:textId="77777777" w:rsidR="004C0D01" w:rsidRDefault="00000000">
      <w:pPr>
        <w:pStyle w:val="ListParagraph"/>
        <w:numPr>
          <w:ilvl w:val="0"/>
          <w:numId w:val="2"/>
        </w:numPr>
        <w:spacing w:before="60" w:after="60"/>
        <w:ind w:left="360"/>
      </w:pPr>
      <w:r>
        <w:t>Regime composite scoring and threshold classification</w:t>
      </w:r>
    </w:p>
    <w:p w14:paraId="4F3DA13F" w14:textId="77777777" w:rsidR="004C0D01" w:rsidRDefault="00000000">
      <w:pPr>
        <w:pStyle w:val="ListParagraph"/>
        <w:numPr>
          <w:ilvl w:val="0"/>
          <w:numId w:val="2"/>
        </w:numPr>
        <w:spacing w:before="60" w:after="60"/>
        <w:ind w:left="360"/>
      </w:pPr>
      <w:r>
        <w:t>All position sizing — initial deployment, size-up, and trim</w:t>
      </w:r>
    </w:p>
    <w:p w14:paraId="0A5FC003" w14:textId="77777777" w:rsidR="004C0D01" w:rsidRDefault="00000000">
      <w:pPr>
        <w:pStyle w:val="ListParagraph"/>
        <w:numPr>
          <w:ilvl w:val="0"/>
          <w:numId w:val="2"/>
        </w:numPr>
        <w:spacing w:before="60" w:after="60"/>
        <w:ind w:left="360"/>
      </w:pPr>
      <w:r>
        <w:t>Hedge budget calculation and PTRH sizing (CAM module)</w:t>
      </w:r>
    </w:p>
    <w:p w14:paraId="1655E991" w14:textId="77777777" w:rsidR="004C0D01" w:rsidRDefault="00000000">
      <w:pPr>
        <w:pStyle w:val="ListParagraph"/>
        <w:numPr>
          <w:ilvl w:val="0"/>
          <w:numId w:val="2"/>
        </w:numPr>
        <w:spacing w:before="60" w:after="60"/>
        <w:ind w:left="360"/>
      </w:pPr>
      <w:r>
        <w:t>CDF conviction decay and position adjustment</w:t>
      </w:r>
    </w:p>
    <w:p w14:paraId="78EE152C" w14:textId="77777777" w:rsidR="004C0D01" w:rsidRDefault="00000000">
      <w:pPr>
        <w:pStyle w:val="ListParagraph"/>
        <w:numPr>
          <w:ilvl w:val="0"/>
          <w:numId w:val="2"/>
        </w:numPr>
        <w:spacing w:before="60" w:after="60"/>
        <w:ind w:left="360"/>
      </w:pPr>
      <w:r>
        <w:t>PDS drawdown sentinel triggers and ceiling enforcement</w:t>
      </w:r>
    </w:p>
    <w:p w14:paraId="60AF2D59" w14:textId="77777777" w:rsidR="004C0D01" w:rsidRDefault="00000000">
      <w:pPr>
        <w:pStyle w:val="ListParagraph"/>
        <w:numPr>
          <w:ilvl w:val="0"/>
          <w:numId w:val="2"/>
        </w:numPr>
        <w:spacing w:before="60" w:after="60"/>
        <w:ind w:left="360"/>
      </w:pPr>
      <w:r>
        <w:t>Deployment queue sequencing and execution</w:t>
      </w:r>
    </w:p>
    <w:p w14:paraId="3B6B8C9E" w14:textId="77777777" w:rsidR="004C0D01" w:rsidRDefault="00000000">
      <w:pPr>
        <w:pStyle w:val="ListParagraph"/>
        <w:numPr>
          <w:ilvl w:val="0"/>
          <w:numId w:val="2"/>
        </w:numPr>
        <w:spacing w:before="60" w:after="60"/>
        <w:ind w:left="360"/>
      </w:pPr>
      <w:r>
        <w:t>Thesis concentration calculation and cap enforcement</w:t>
      </w:r>
    </w:p>
    <w:p w14:paraId="27FE68B6" w14:textId="77777777" w:rsidR="004C0D01" w:rsidRDefault="00000000">
      <w:pPr>
        <w:pStyle w:val="ListParagraph"/>
        <w:numPr>
          <w:ilvl w:val="0"/>
          <w:numId w:val="2"/>
        </w:numPr>
        <w:spacing w:before="60" w:after="60"/>
        <w:ind w:left="360"/>
      </w:pPr>
      <w:r>
        <w:t>Sizing coherence resolution across shared-thesis positions</w:t>
      </w:r>
    </w:p>
    <w:p w14:paraId="6603C364" w14:textId="77777777" w:rsidR="004C0D01" w:rsidRDefault="00000000">
      <w:pPr>
        <w:pStyle w:val="ListParagraph"/>
        <w:numPr>
          <w:ilvl w:val="0"/>
          <w:numId w:val="2"/>
        </w:numPr>
        <w:spacing w:before="60" w:after="60"/>
        <w:ind w:left="360"/>
      </w:pPr>
      <w:r>
        <w:t>EOD snapshot generation and distribution</w:t>
      </w:r>
    </w:p>
    <w:p w14:paraId="396BB2CA" w14:textId="77777777" w:rsidR="004C0D01" w:rsidRDefault="00000000">
      <w:pPr>
        <w:pStyle w:val="ListParagraph"/>
        <w:numPr>
          <w:ilvl w:val="0"/>
          <w:numId w:val="2"/>
        </w:numPr>
        <w:spacing w:before="60" w:after="60"/>
        <w:ind w:left="360"/>
      </w:pPr>
      <w:r>
        <w:t>SSL stress scenario monitoring and alert generation</w:t>
      </w:r>
    </w:p>
    <w:p w14:paraId="73B6B297" w14:textId="77777777" w:rsidR="004C0D01" w:rsidRDefault="00000000">
      <w:pPr>
        <w:pStyle w:val="ListParagraph"/>
        <w:numPr>
          <w:ilvl w:val="0"/>
          <w:numId w:val="2"/>
        </w:numPr>
        <w:spacing w:before="60" w:after="60"/>
        <w:ind w:left="360"/>
      </w:pPr>
      <w:r>
        <w:t>SLOF eligibility determination and options execution parameters</w:t>
      </w:r>
    </w:p>
    <w:p w14:paraId="42EE486F" w14:textId="77777777" w:rsidR="004C0D01" w:rsidRDefault="00000000">
      <w:pPr>
        <w:pStyle w:val="ListParagraph"/>
        <w:numPr>
          <w:ilvl w:val="0"/>
          <w:numId w:val="2"/>
        </w:numPr>
        <w:spacing w:before="60" w:after="60"/>
        <w:ind w:left="360"/>
      </w:pPr>
      <w:r>
        <w:t>Pre-flight integrity checks prior to any queue execution</w:t>
      </w:r>
    </w:p>
    <w:p w14:paraId="4A5DB4A6" w14:textId="77777777" w:rsidR="004C0D01" w:rsidRDefault="00000000">
      <w:pPr>
        <w:pStyle w:val="ListParagraph"/>
        <w:numPr>
          <w:ilvl w:val="0"/>
          <w:numId w:val="2"/>
        </w:numPr>
        <w:spacing w:before="60" w:after="60"/>
        <w:ind w:left="360"/>
      </w:pPr>
      <w:r>
        <w:t>All rebalancing decisions</w:t>
      </w:r>
    </w:p>
    <w:p w14:paraId="07E8147B" w14:textId="77777777" w:rsidR="004C0D01" w:rsidRDefault="004C0D01">
      <w:pPr>
        <w:spacing w:before="120"/>
      </w:pPr>
    </w:p>
    <w:p w14:paraId="6D6673CB" w14:textId="77777777" w:rsidR="004C0D01" w:rsidRDefault="00000000">
      <w:r>
        <w:rPr>
          <w:b/>
          <w:bCs/>
          <w:color w:val="C0392B"/>
        </w:rPr>
        <w:t>No module may present any of the above as a question, prompt, confirmation request, or decision point directed at the PM.</w:t>
      </w:r>
    </w:p>
    <w:p w14:paraId="0E752D08" w14:textId="77777777" w:rsidR="004C0D01" w:rsidRDefault="004C0D01">
      <w:pPr>
        <w:spacing w:before="200"/>
      </w:pPr>
    </w:p>
    <w:p w14:paraId="404D502B" w14:textId="77777777" w:rsidR="004C0D01" w:rsidRDefault="00000000">
      <w:pPr>
        <w:spacing w:after="100"/>
      </w:pPr>
      <w:r>
        <w:rPr>
          <w:b/>
          <w:bCs/>
          <w:caps/>
          <w:color w:val="C9A84C"/>
          <w:spacing w:val="40"/>
          <w:sz w:val="24"/>
          <w:szCs w:val="24"/>
        </w:rPr>
        <w:t>4.  The Only Legitimate PM Touchpoint</w:t>
      </w:r>
    </w:p>
    <w:p w14:paraId="7109474D" w14:textId="77777777" w:rsidR="004C0D01" w:rsidRDefault="004C0D01">
      <w:pPr>
        <w:pBdr>
          <w:bottom w:val="single" w:sz="6" w:space="1" w:color="C9A84C"/>
        </w:pBdr>
      </w:pPr>
    </w:p>
    <w:p w14:paraId="0C015255" w14:textId="77777777" w:rsidR="004C0D01" w:rsidRDefault="004C0D01">
      <w:pPr>
        <w:spacing w:before="80"/>
      </w:pPr>
    </w:p>
    <w:p w14:paraId="29C03603" w14:textId="77777777" w:rsidR="004C0D01" w:rsidRDefault="00000000">
      <w:pPr>
        <w:spacing w:before="80" w:after="80"/>
      </w:pPr>
      <w:r>
        <w:t>PM interaction with the execution layer exists for one purpose only:</w:t>
      </w:r>
    </w:p>
    <w:p w14:paraId="4DE4CE3B" w14:textId="77777777" w:rsidR="004C0D01" w:rsidRDefault="004C0D01">
      <w:pPr>
        <w:spacing w:before="80"/>
      </w:pPr>
    </w:p>
    <w:p w14:paraId="5DC88FAA" w14:textId="77777777" w:rsidR="004C0D01" w:rsidRDefault="00000000">
      <w:pPr>
        <w:spacing w:before="80" w:after="80"/>
        <w:jc w:val="center"/>
      </w:pPr>
      <w:r>
        <w:rPr>
          <w:b/>
          <w:bCs/>
          <w:caps/>
          <w:color w:val="C9A84C"/>
          <w:spacing w:val="40"/>
          <w:sz w:val="22"/>
          <w:szCs w:val="22"/>
        </w:rPr>
        <w:t>REGULATORY COMPLIANCE WITH FINRA AND SEC AUDIT REQUIREMENTS</w:t>
      </w:r>
    </w:p>
    <w:p w14:paraId="723C4B9D" w14:textId="77777777" w:rsidR="004C0D01" w:rsidRDefault="00000000">
      <w:pPr>
        <w:spacing w:before="80" w:after="80"/>
      </w:pPr>
      <w:r>
        <w:lastRenderedPageBreak/>
        <w:t>Where applicable law or FINRA/SEC examination standards require a documented human touchpoint, that touchpoint is administrative in nature. The system has already determined the correct action. The PM's documented acknowledgment satisfies the regulatory record. It does not alter the outcome.</w:t>
      </w:r>
    </w:p>
    <w:p w14:paraId="0E2DC498" w14:textId="77777777" w:rsidR="004C0D01" w:rsidRDefault="004C0D01">
      <w:pPr>
        <w:spacing w:before="100"/>
      </w:pPr>
    </w:p>
    <w:p w14:paraId="0CDBA6C1" w14:textId="77777777" w:rsidR="004C0D01" w:rsidRDefault="00000000">
      <w:pPr>
        <w:spacing w:before="80" w:after="80"/>
      </w:pPr>
      <w:r>
        <w:t>All compliance touchpoints shall be:</w:t>
      </w:r>
    </w:p>
    <w:p w14:paraId="6199020B" w14:textId="77777777" w:rsidR="004C0D01" w:rsidRDefault="004C0D01">
      <w:pPr>
        <w:spacing w:before="60"/>
      </w:pPr>
    </w:p>
    <w:p w14:paraId="45F04839" w14:textId="77777777" w:rsidR="004C0D01" w:rsidRDefault="00000000">
      <w:pPr>
        <w:pStyle w:val="ListParagraph"/>
        <w:numPr>
          <w:ilvl w:val="0"/>
          <w:numId w:val="2"/>
        </w:numPr>
        <w:spacing w:before="60" w:after="60"/>
        <w:ind w:left="360"/>
      </w:pPr>
      <w:r>
        <w:t>Clearly labeled as regulatory in nature — not decisional</w:t>
      </w:r>
    </w:p>
    <w:p w14:paraId="2E0F7F96" w14:textId="77777777" w:rsidR="004C0D01" w:rsidRDefault="00000000">
      <w:pPr>
        <w:pStyle w:val="ListParagraph"/>
        <w:numPr>
          <w:ilvl w:val="0"/>
          <w:numId w:val="2"/>
        </w:numPr>
        <w:spacing w:before="60" w:after="60"/>
        <w:ind w:left="360"/>
      </w:pPr>
      <w:r>
        <w:t>Pre-populated by ARMS with the action taken and the rule that governed it</w:t>
      </w:r>
    </w:p>
    <w:p w14:paraId="239E5EE8" w14:textId="77777777" w:rsidR="004C0D01" w:rsidRDefault="00000000">
      <w:pPr>
        <w:pStyle w:val="ListParagraph"/>
        <w:numPr>
          <w:ilvl w:val="0"/>
          <w:numId w:val="2"/>
        </w:numPr>
        <w:spacing w:before="60" w:after="60"/>
        <w:ind w:left="360"/>
      </w:pPr>
      <w:r>
        <w:t>Requiring only acknowledgment, not analysis</w:t>
      </w:r>
    </w:p>
    <w:p w14:paraId="0DABB3B7" w14:textId="77777777" w:rsidR="004C0D01" w:rsidRDefault="00000000">
      <w:pPr>
        <w:pStyle w:val="ListParagraph"/>
        <w:numPr>
          <w:ilvl w:val="0"/>
          <w:numId w:val="2"/>
        </w:numPr>
        <w:spacing w:before="60" w:after="60"/>
        <w:ind w:left="360"/>
      </w:pPr>
      <w:r>
        <w:t>Batched where possible to minimize PM time expenditure</w:t>
      </w:r>
    </w:p>
    <w:p w14:paraId="0F1A2742" w14:textId="77777777" w:rsidR="004C0D01" w:rsidRDefault="00000000">
      <w:pPr>
        <w:pStyle w:val="ListParagraph"/>
        <w:numPr>
          <w:ilvl w:val="0"/>
          <w:numId w:val="2"/>
        </w:numPr>
        <w:spacing w:before="60" w:after="60"/>
        <w:ind w:left="360"/>
      </w:pPr>
      <w:r>
        <w:t>Logged automatically in the compliance audit trail</w:t>
      </w:r>
    </w:p>
    <w:p w14:paraId="7960D628" w14:textId="77777777" w:rsidR="004C0D01" w:rsidRDefault="004C0D01">
      <w:pPr>
        <w:spacing w:before="200"/>
      </w:pPr>
    </w:p>
    <w:p w14:paraId="1304ABCE" w14:textId="77777777" w:rsidR="004C0D01" w:rsidRDefault="00000000">
      <w:pPr>
        <w:spacing w:after="100"/>
      </w:pPr>
      <w:r>
        <w:rPr>
          <w:b/>
          <w:bCs/>
          <w:caps/>
          <w:color w:val="C9A84C"/>
          <w:spacing w:val="40"/>
          <w:sz w:val="24"/>
          <w:szCs w:val="24"/>
        </w:rPr>
        <w:t>5.  The Architectural Flaw Test</w:t>
      </w:r>
    </w:p>
    <w:p w14:paraId="353FA746" w14:textId="77777777" w:rsidR="004C0D01" w:rsidRDefault="004C0D01">
      <w:pPr>
        <w:pBdr>
          <w:bottom w:val="single" w:sz="6" w:space="1" w:color="C9A84C"/>
        </w:pBdr>
      </w:pPr>
    </w:p>
    <w:p w14:paraId="6600ED10" w14:textId="77777777" w:rsidR="004C0D01" w:rsidRDefault="004C0D01">
      <w:pPr>
        <w:spacing w:before="80"/>
      </w:pPr>
    </w:p>
    <w:p w14:paraId="4C936756" w14:textId="77777777" w:rsidR="004C0D01" w:rsidRDefault="004C0D0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D01" w14:paraId="0DACE547" w14:textId="77777777">
        <w:tblPrEx>
          <w:tblCellMar>
            <w:top w:w="0" w:type="dxa"/>
            <w:bottom w:w="0" w:type="dxa"/>
          </w:tblCellMar>
        </w:tblPrEx>
        <w:tc>
          <w:tcPr>
            <w:tcW w:w="0" w:type="auto"/>
            <w:tcBorders>
              <w:top w:val="single" w:sz="8" w:space="0" w:color="C9A84C"/>
              <w:left w:val="single" w:sz="8" w:space="0" w:color="C9A84C"/>
              <w:bottom w:val="single" w:sz="8" w:space="0" w:color="C9A84C"/>
              <w:right w:val="single" w:sz="8" w:space="0" w:color="C9A84C"/>
            </w:tcBorders>
            <w:shd w:val="clear" w:color="auto" w:fill="1A1600"/>
            <w:tcMar>
              <w:top w:w="200" w:type="dxa"/>
              <w:left w:w="300" w:type="dxa"/>
              <w:bottom w:w="200" w:type="dxa"/>
              <w:right w:w="300" w:type="dxa"/>
            </w:tcMar>
          </w:tcPr>
          <w:p w14:paraId="4DF036FE" w14:textId="77777777" w:rsidR="004C0D01" w:rsidRDefault="00000000">
            <w:pPr>
              <w:spacing w:after="80"/>
            </w:pPr>
            <w:r>
              <w:rPr>
                <w:b/>
                <w:bCs/>
                <w:caps/>
                <w:color w:val="C9A84C"/>
                <w:spacing w:val="60"/>
              </w:rPr>
              <w:t>THE ARCHITECTURAL FLAW TEST</w:t>
            </w:r>
          </w:p>
          <w:p w14:paraId="137A8591" w14:textId="77777777" w:rsidR="004C0D01" w:rsidRDefault="00000000">
            <w:pPr>
              <w:spacing w:before="60" w:after="80"/>
            </w:pPr>
            <w:r>
              <w:rPr>
                <w:i/>
                <w:iCs/>
                <w:color w:val="AAAAAA"/>
              </w:rPr>
              <w:t>Every module — existing and future — must pass this filter before deployment:</w:t>
            </w:r>
          </w:p>
          <w:p w14:paraId="5E62D69A" w14:textId="77777777" w:rsidR="004C0D01" w:rsidRDefault="00000000">
            <w:pPr>
              <w:spacing w:before="80" w:after="80"/>
              <w:jc w:val="center"/>
            </w:pPr>
            <w:r>
              <w:rPr>
                <w:b/>
                <w:bCs/>
                <w:i/>
                <w:iCs/>
                <w:sz w:val="22"/>
                <w:szCs w:val="22"/>
              </w:rPr>
              <w:t>"Does this module ask the PM to think, score, calculate, rank, or decide anything data-dependent?"</w:t>
            </w:r>
          </w:p>
          <w:p w14:paraId="10CFC45D" w14:textId="77777777" w:rsidR="004C0D01" w:rsidRDefault="00000000">
            <w:pPr>
              <w:spacing w:before="80"/>
            </w:pPr>
            <w:r>
              <w:rPr>
                <w:b/>
                <w:bCs/>
                <w:color w:val="C0392B"/>
              </w:rPr>
              <w:t>If the answer is YES — the module is architecturally flawed and must be returned to design.</w:t>
            </w:r>
          </w:p>
        </w:tc>
      </w:tr>
    </w:tbl>
    <w:p w14:paraId="3CE47ED4" w14:textId="77777777" w:rsidR="004C0D01" w:rsidRDefault="004C0D01">
      <w:pPr>
        <w:spacing w:before="160"/>
      </w:pPr>
    </w:p>
    <w:p w14:paraId="24E26109" w14:textId="77777777" w:rsidR="004C0D01" w:rsidRDefault="00000000">
      <w:pPr>
        <w:spacing w:before="80" w:after="80"/>
      </w:pPr>
      <w:r>
        <w:t>When a module fails the flaw test, the resolution is never to ask the PM. The resolution is one of the following:</w:t>
      </w:r>
    </w:p>
    <w:p w14:paraId="1BB15DD4" w14:textId="77777777" w:rsidR="004C0D01" w:rsidRDefault="004C0D0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3658"/>
        <w:gridCol w:w="3801"/>
      </w:tblGrid>
      <w:tr w:rsidR="004C0D01" w14:paraId="0081B366" w14:textId="77777777">
        <w:tblPrEx>
          <w:tblCellMar>
            <w:top w:w="0" w:type="dxa"/>
            <w:bottom w:w="0" w:type="dxa"/>
          </w:tblCellMar>
        </w:tblPrEx>
        <w:tc>
          <w:tcPr>
            <w:tcW w:w="1400" w:type="dxa"/>
            <w:tcBorders>
              <w:top w:val="single" w:sz="4" w:space="0" w:color="C9A84C"/>
              <w:left w:val="single" w:sz="4" w:space="0" w:color="C9A84C"/>
              <w:bottom w:val="single" w:sz="4" w:space="0" w:color="C9A84C"/>
              <w:right w:val="single" w:sz="4" w:space="0" w:color="C9A84C"/>
            </w:tcBorders>
            <w:shd w:val="clear" w:color="auto" w:fill="2A2A2A"/>
            <w:tcMar>
              <w:top w:w="120" w:type="dxa"/>
              <w:left w:w="160" w:type="dxa"/>
              <w:bottom w:w="120" w:type="dxa"/>
              <w:right w:w="160" w:type="dxa"/>
            </w:tcMar>
          </w:tcPr>
          <w:p w14:paraId="7E695365" w14:textId="77777777" w:rsidR="004C0D01" w:rsidRDefault="00000000">
            <w:r>
              <w:rPr>
                <w:b/>
                <w:bCs/>
                <w:caps/>
                <w:color w:val="C9A84C"/>
                <w:spacing w:val="40"/>
                <w:sz w:val="18"/>
                <w:szCs w:val="18"/>
              </w:rPr>
              <w:t>Resolution</w:t>
            </w:r>
          </w:p>
        </w:tc>
        <w:tc>
          <w:tcPr>
            <w:tcW w:w="3880" w:type="dxa"/>
            <w:tcBorders>
              <w:top w:val="single" w:sz="4" w:space="0" w:color="C9A84C"/>
              <w:left w:val="single" w:sz="4" w:space="0" w:color="C9A84C"/>
              <w:bottom w:val="single" w:sz="4" w:space="0" w:color="C9A84C"/>
              <w:right w:val="single" w:sz="4" w:space="0" w:color="C9A84C"/>
            </w:tcBorders>
            <w:shd w:val="clear" w:color="auto" w:fill="2A2A2A"/>
            <w:tcMar>
              <w:top w:w="120" w:type="dxa"/>
              <w:left w:w="160" w:type="dxa"/>
              <w:bottom w:w="120" w:type="dxa"/>
              <w:right w:w="160" w:type="dxa"/>
            </w:tcMar>
          </w:tcPr>
          <w:p w14:paraId="29B1518A" w14:textId="77777777" w:rsidR="004C0D01" w:rsidRDefault="00000000">
            <w:r>
              <w:rPr>
                <w:b/>
                <w:bCs/>
                <w:caps/>
                <w:color w:val="C9A84C"/>
                <w:spacing w:val="40"/>
                <w:sz w:val="18"/>
                <w:szCs w:val="18"/>
              </w:rPr>
              <w:t>Condition</w:t>
            </w:r>
          </w:p>
        </w:tc>
        <w:tc>
          <w:tcPr>
            <w:tcW w:w="4080" w:type="dxa"/>
            <w:tcBorders>
              <w:top w:val="single" w:sz="4" w:space="0" w:color="C9A84C"/>
              <w:left w:val="single" w:sz="4" w:space="0" w:color="C9A84C"/>
              <w:bottom w:val="single" w:sz="4" w:space="0" w:color="C9A84C"/>
              <w:right w:val="single" w:sz="4" w:space="0" w:color="C9A84C"/>
            </w:tcBorders>
            <w:shd w:val="clear" w:color="auto" w:fill="2A2A2A"/>
            <w:tcMar>
              <w:top w:w="120" w:type="dxa"/>
              <w:left w:w="160" w:type="dxa"/>
              <w:bottom w:w="120" w:type="dxa"/>
              <w:right w:w="160" w:type="dxa"/>
            </w:tcMar>
          </w:tcPr>
          <w:p w14:paraId="1291DAC0" w14:textId="77777777" w:rsidR="004C0D01" w:rsidRDefault="00000000">
            <w:r>
              <w:rPr>
                <w:b/>
                <w:bCs/>
                <w:caps/>
                <w:color w:val="C9A84C"/>
                <w:spacing w:val="40"/>
                <w:sz w:val="18"/>
                <w:szCs w:val="18"/>
              </w:rPr>
              <w:t>System Action</w:t>
            </w:r>
          </w:p>
        </w:tc>
      </w:tr>
      <w:tr w:rsidR="004C0D01" w14:paraId="7E8A5E74" w14:textId="77777777">
        <w:tblPrEx>
          <w:tblCellMar>
            <w:top w:w="0" w:type="dxa"/>
            <w:bottom w:w="0" w:type="dxa"/>
          </w:tblCellMar>
        </w:tblPrEx>
        <w:tc>
          <w:tcPr>
            <w:tcW w:w="1400" w:type="dxa"/>
            <w:tcBorders>
              <w:top w:val="single" w:sz="2" w:space="0" w:color="444444"/>
              <w:left w:val="single" w:sz="2" w:space="0" w:color="444444"/>
              <w:bottom w:val="single" w:sz="2" w:space="0" w:color="444444"/>
              <w:right w:val="single" w:sz="2" w:space="0" w:color="444444"/>
            </w:tcBorders>
            <w:shd w:val="clear" w:color="auto" w:fill="141414"/>
            <w:tcMar>
              <w:top w:w="100" w:type="dxa"/>
              <w:left w:w="160" w:type="dxa"/>
              <w:bottom w:w="100" w:type="dxa"/>
              <w:right w:w="160" w:type="dxa"/>
            </w:tcMar>
          </w:tcPr>
          <w:p w14:paraId="0ACBF3A6" w14:textId="77777777" w:rsidR="004C0D01" w:rsidRDefault="00000000">
            <w:r>
              <w:rPr>
                <w:b/>
                <w:bCs/>
                <w:color w:val="F0D080"/>
              </w:rPr>
              <w:t>A</w:t>
            </w:r>
          </w:p>
        </w:tc>
        <w:tc>
          <w:tcPr>
            <w:tcW w:w="3880" w:type="dxa"/>
            <w:tcBorders>
              <w:top w:val="single" w:sz="2" w:space="0" w:color="444444"/>
              <w:left w:val="single" w:sz="2" w:space="0" w:color="444444"/>
              <w:bottom w:val="single" w:sz="2" w:space="0" w:color="444444"/>
              <w:right w:val="single" w:sz="2" w:space="0" w:color="444444"/>
            </w:tcBorders>
            <w:shd w:val="clear" w:color="auto" w:fill="141414"/>
            <w:tcMar>
              <w:top w:w="100" w:type="dxa"/>
              <w:left w:w="160" w:type="dxa"/>
              <w:bottom w:w="100" w:type="dxa"/>
              <w:right w:w="160" w:type="dxa"/>
            </w:tcMar>
          </w:tcPr>
          <w:p w14:paraId="4D4EE57F" w14:textId="77777777" w:rsidR="004C0D01" w:rsidRDefault="00000000">
            <w:r>
              <w:rPr>
                <w:sz w:val="18"/>
                <w:szCs w:val="18"/>
              </w:rPr>
              <w:t>Governing rule exists but was not implemented.</w:t>
            </w:r>
          </w:p>
        </w:tc>
        <w:tc>
          <w:tcPr>
            <w:tcW w:w="4080" w:type="dxa"/>
            <w:tcBorders>
              <w:top w:val="single" w:sz="2" w:space="0" w:color="444444"/>
              <w:left w:val="single" w:sz="2" w:space="0" w:color="444444"/>
              <w:bottom w:val="single" w:sz="2" w:space="0" w:color="444444"/>
              <w:right w:val="single" w:sz="2" w:space="0" w:color="444444"/>
            </w:tcBorders>
            <w:shd w:val="clear" w:color="auto" w:fill="141414"/>
            <w:tcMar>
              <w:top w:w="100" w:type="dxa"/>
              <w:left w:w="160" w:type="dxa"/>
              <w:bottom w:w="100" w:type="dxa"/>
              <w:right w:w="160" w:type="dxa"/>
            </w:tcMar>
          </w:tcPr>
          <w:p w14:paraId="66C71555" w14:textId="77777777" w:rsidR="004C0D01" w:rsidRDefault="00000000">
            <w:r>
              <w:rPr>
                <w:sz w:val="18"/>
                <w:szCs w:val="18"/>
              </w:rPr>
              <w:t>Implement the rule. Deploy.</w:t>
            </w:r>
          </w:p>
        </w:tc>
      </w:tr>
      <w:tr w:rsidR="004C0D01" w14:paraId="6FB02F93" w14:textId="77777777">
        <w:tblPrEx>
          <w:tblCellMar>
            <w:top w:w="0" w:type="dxa"/>
            <w:bottom w:w="0" w:type="dxa"/>
          </w:tblCellMar>
        </w:tblPrEx>
        <w:tc>
          <w:tcPr>
            <w:tcW w:w="1400" w:type="dxa"/>
            <w:tcBorders>
              <w:top w:val="single" w:sz="2" w:space="0" w:color="444444"/>
              <w:left w:val="single" w:sz="2" w:space="0" w:color="444444"/>
              <w:bottom w:val="single" w:sz="2" w:space="0" w:color="444444"/>
              <w:right w:val="single" w:sz="2" w:space="0" w:color="444444"/>
            </w:tcBorders>
            <w:shd w:val="clear" w:color="auto" w:fill="1A1A1A"/>
            <w:tcMar>
              <w:top w:w="100" w:type="dxa"/>
              <w:left w:w="160" w:type="dxa"/>
              <w:bottom w:w="100" w:type="dxa"/>
              <w:right w:w="160" w:type="dxa"/>
            </w:tcMar>
          </w:tcPr>
          <w:p w14:paraId="1D567CA8" w14:textId="77777777" w:rsidR="004C0D01" w:rsidRDefault="00000000">
            <w:r>
              <w:rPr>
                <w:b/>
                <w:bCs/>
                <w:color w:val="F0D080"/>
              </w:rPr>
              <w:t>B</w:t>
            </w:r>
          </w:p>
        </w:tc>
        <w:tc>
          <w:tcPr>
            <w:tcW w:w="3880" w:type="dxa"/>
            <w:tcBorders>
              <w:top w:val="single" w:sz="2" w:space="0" w:color="444444"/>
              <w:left w:val="single" w:sz="2" w:space="0" w:color="444444"/>
              <w:bottom w:val="single" w:sz="2" w:space="0" w:color="444444"/>
              <w:right w:val="single" w:sz="2" w:space="0" w:color="444444"/>
            </w:tcBorders>
            <w:shd w:val="clear" w:color="auto" w:fill="1A1A1A"/>
            <w:tcMar>
              <w:top w:w="100" w:type="dxa"/>
              <w:left w:w="160" w:type="dxa"/>
              <w:bottom w:w="100" w:type="dxa"/>
              <w:right w:w="160" w:type="dxa"/>
            </w:tcMar>
          </w:tcPr>
          <w:p w14:paraId="19F8FDE5" w14:textId="77777777" w:rsidR="004C0D01" w:rsidRDefault="00000000">
            <w:r>
              <w:rPr>
                <w:sz w:val="18"/>
                <w:szCs w:val="18"/>
              </w:rPr>
              <w:t>Governing rule does not exist.</w:t>
            </w:r>
          </w:p>
        </w:tc>
        <w:tc>
          <w:tcPr>
            <w:tcW w:w="4080" w:type="dxa"/>
            <w:tcBorders>
              <w:top w:val="single" w:sz="2" w:space="0" w:color="444444"/>
              <w:left w:val="single" w:sz="2" w:space="0" w:color="444444"/>
              <w:bottom w:val="single" w:sz="2" w:space="0" w:color="444444"/>
              <w:right w:val="single" w:sz="2" w:space="0" w:color="444444"/>
            </w:tcBorders>
            <w:shd w:val="clear" w:color="auto" w:fill="1A1A1A"/>
            <w:tcMar>
              <w:top w:w="100" w:type="dxa"/>
              <w:left w:w="160" w:type="dxa"/>
              <w:bottom w:w="100" w:type="dxa"/>
              <w:right w:w="160" w:type="dxa"/>
            </w:tcMar>
          </w:tcPr>
          <w:p w14:paraId="0030EAE6" w14:textId="77777777" w:rsidR="004C0D01" w:rsidRDefault="00000000">
            <w:r>
              <w:rPr>
                <w:sz w:val="18"/>
                <w:szCs w:val="18"/>
              </w:rPr>
              <w:t>Write the rule, codify in the module spec, implement. Gap goes into the rulebook — not into a PM prompt.</w:t>
            </w:r>
          </w:p>
        </w:tc>
      </w:tr>
      <w:tr w:rsidR="004C0D01" w14:paraId="2C734FC9" w14:textId="77777777">
        <w:tblPrEx>
          <w:tblCellMar>
            <w:top w:w="0" w:type="dxa"/>
            <w:bottom w:w="0" w:type="dxa"/>
          </w:tblCellMar>
        </w:tblPrEx>
        <w:tc>
          <w:tcPr>
            <w:tcW w:w="1400" w:type="dxa"/>
            <w:tcBorders>
              <w:top w:val="single" w:sz="2" w:space="0" w:color="444444"/>
              <w:left w:val="single" w:sz="2" w:space="0" w:color="444444"/>
              <w:bottom w:val="single" w:sz="2" w:space="0" w:color="444444"/>
              <w:right w:val="single" w:sz="2" w:space="0" w:color="444444"/>
            </w:tcBorders>
            <w:shd w:val="clear" w:color="auto" w:fill="141414"/>
            <w:tcMar>
              <w:top w:w="100" w:type="dxa"/>
              <w:left w:w="160" w:type="dxa"/>
              <w:bottom w:w="100" w:type="dxa"/>
              <w:right w:w="160" w:type="dxa"/>
            </w:tcMar>
          </w:tcPr>
          <w:p w14:paraId="551E192E" w14:textId="77777777" w:rsidR="004C0D01" w:rsidRDefault="00000000">
            <w:r>
              <w:rPr>
                <w:b/>
                <w:bCs/>
                <w:color w:val="F0D080"/>
              </w:rPr>
              <w:t>C</w:t>
            </w:r>
          </w:p>
        </w:tc>
        <w:tc>
          <w:tcPr>
            <w:tcW w:w="3880" w:type="dxa"/>
            <w:tcBorders>
              <w:top w:val="single" w:sz="2" w:space="0" w:color="444444"/>
              <w:left w:val="single" w:sz="2" w:space="0" w:color="444444"/>
              <w:bottom w:val="single" w:sz="2" w:space="0" w:color="444444"/>
              <w:right w:val="single" w:sz="2" w:space="0" w:color="444444"/>
            </w:tcBorders>
            <w:shd w:val="clear" w:color="auto" w:fill="141414"/>
            <w:tcMar>
              <w:top w:w="100" w:type="dxa"/>
              <w:left w:w="160" w:type="dxa"/>
              <w:bottom w:w="100" w:type="dxa"/>
              <w:right w:w="160" w:type="dxa"/>
            </w:tcMar>
          </w:tcPr>
          <w:p w14:paraId="7EB8EED2" w14:textId="77777777" w:rsidR="004C0D01" w:rsidRDefault="00000000">
            <w:r>
              <w:rPr>
                <w:sz w:val="18"/>
                <w:szCs w:val="18"/>
              </w:rPr>
              <w:t>Two rules conflict with no defined hierarchy.</w:t>
            </w:r>
          </w:p>
        </w:tc>
        <w:tc>
          <w:tcPr>
            <w:tcW w:w="4080" w:type="dxa"/>
            <w:tcBorders>
              <w:top w:val="single" w:sz="2" w:space="0" w:color="444444"/>
              <w:left w:val="single" w:sz="2" w:space="0" w:color="444444"/>
              <w:bottom w:val="single" w:sz="2" w:space="0" w:color="444444"/>
              <w:right w:val="single" w:sz="2" w:space="0" w:color="444444"/>
            </w:tcBorders>
            <w:shd w:val="clear" w:color="auto" w:fill="141414"/>
            <w:tcMar>
              <w:top w:w="100" w:type="dxa"/>
              <w:left w:w="160" w:type="dxa"/>
              <w:bottom w:w="100" w:type="dxa"/>
              <w:right w:w="160" w:type="dxa"/>
            </w:tcMar>
          </w:tcPr>
          <w:p w14:paraId="17AEEAD3" w14:textId="77777777" w:rsidR="004C0D01" w:rsidRDefault="00000000">
            <w:r>
              <w:rPr>
                <w:sz w:val="18"/>
                <w:szCs w:val="18"/>
              </w:rPr>
              <w:t>Define hierarchy, document as rulebook amendment, implement. One-time engineering task. Never a PM decision.</w:t>
            </w:r>
          </w:p>
        </w:tc>
      </w:tr>
    </w:tbl>
    <w:p w14:paraId="5EC88F29" w14:textId="77777777" w:rsidR="004C0D01" w:rsidRDefault="004C0D01">
      <w:pPr>
        <w:spacing w:before="120"/>
      </w:pPr>
    </w:p>
    <w:p w14:paraId="4F28FA20" w14:textId="77777777" w:rsidR="004C0D01" w:rsidRDefault="00000000">
      <w:pPr>
        <w:spacing w:before="80" w:after="80"/>
      </w:pPr>
      <w:r>
        <w:rPr>
          <w:i/>
          <w:iCs/>
          <w:color w:val="AAAAAA"/>
        </w:rPr>
        <w:t>Resolution C is the only condition that may temporarily surface to PM awareness — and only as notification that a rulebook amendment is being drafted, never as a request for a data-dependent decision.</w:t>
      </w:r>
    </w:p>
    <w:p w14:paraId="72107C7B" w14:textId="77777777" w:rsidR="004C0D01" w:rsidRDefault="004C0D01">
      <w:pPr>
        <w:spacing w:before="200"/>
      </w:pPr>
    </w:p>
    <w:p w14:paraId="7D84793C" w14:textId="77777777" w:rsidR="004C0D01" w:rsidRDefault="00000000">
      <w:pPr>
        <w:spacing w:after="100"/>
      </w:pPr>
      <w:r>
        <w:rPr>
          <w:b/>
          <w:bCs/>
          <w:caps/>
          <w:color w:val="C9A84C"/>
          <w:spacing w:val="40"/>
          <w:sz w:val="24"/>
          <w:szCs w:val="24"/>
        </w:rPr>
        <w:t>6.  PAIE Governing Principle</w:t>
      </w:r>
    </w:p>
    <w:p w14:paraId="5E2BEB0E" w14:textId="77777777" w:rsidR="004C0D01" w:rsidRDefault="004C0D01">
      <w:pPr>
        <w:pBdr>
          <w:bottom w:val="single" w:sz="6" w:space="1" w:color="C9A84C"/>
        </w:pBdr>
      </w:pPr>
    </w:p>
    <w:p w14:paraId="55E56674" w14:textId="77777777" w:rsidR="004C0D01" w:rsidRDefault="004C0D01">
      <w:pPr>
        <w:spacing w:before="80"/>
      </w:pPr>
    </w:p>
    <w:p w14:paraId="5C985F55" w14:textId="77777777" w:rsidR="004C0D01" w:rsidRDefault="00000000">
      <w:pPr>
        <w:spacing w:before="80" w:after="80"/>
      </w:pPr>
      <w:r>
        <w:t>The Portfolio Architecture Integrity Engine (PAIE) is the primary expression of this Mandate within the ARMS codebase. Its design is non-negotiable:</w:t>
      </w:r>
    </w:p>
    <w:p w14:paraId="5C8E2EFF" w14:textId="77777777" w:rsidR="004C0D01" w:rsidRDefault="004C0D01">
      <w:pPr>
        <w:spacing w:before="80"/>
      </w:pPr>
    </w:p>
    <w:p w14:paraId="55ADD4C9" w14:textId="77777777" w:rsidR="004C0D01" w:rsidRDefault="00000000">
      <w:pPr>
        <w:pStyle w:val="ListParagraph"/>
        <w:numPr>
          <w:ilvl w:val="0"/>
          <w:numId w:val="2"/>
        </w:numPr>
        <w:spacing w:before="60" w:after="60"/>
        <w:ind w:left="360"/>
      </w:pPr>
      <w:r>
        <w:t>PAIE has no PM interface</w:t>
      </w:r>
    </w:p>
    <w:p w14:paraId="08C90F4B" w14:textId="77777777" w:rsidR="004C0D01" w:rsidRDefault="00000000">
      <w:pPr>
        <w:pStyle w:val="ListParagraph"/>
        <w:numPr>
          <w:ilvl w:val="0"/>
          <w:numId w:val="2"/>
        </w:numPr>
        <w:spacing w:before="60" w:after="60"/>
        <w:ind w:left="360"/>
      </w:pPr>
      <w:r>
        <w:t>PAIE has no confirmation mechanism directed at the PM</w:t>
      </w:r>
    </w:p>
    <w:p w14:paraId="245C75C8" w14:textId="77777777" w:rsidR="004C0D01" w:rsidRDefault="00000000">
      <w:pPr>
        <w:pStyle w:val="ListParagraph"/>
        <w:numPr>
          <w:ilvl w:val="0"/>
          <w:numId w:val="2"/>
        </w:numPr>
        <w:spacing w:before="60" w:after="60"/>
        <w:ind w:left="360"/>
      </w:pPr>
      <w:r>
        <w:t>PAIE executes, adjusts, logs, and reports</w:t>
      </w:r>
    </w:p>
    <w:p w14:paraId="0A1F42B7" w14:textId="77777777" w:rsidR="004C0D01" w:rsidRDefault="00000000">
      <w:pPr>
        <w:pStyle w:val="ListParagraph"/>
        <w:numPr>
          <w:ilvl w:val="0"/>
          <w:numId w:val="2"/>
        </w:numPr>
        <w:spacing w:before="60" w:after="60"/>
        <w:ind w:left="360"/>
      </w:pPr>
      <w:r>
        <w:t>PAIE output to the PM is read-only: here is what I did and why</w:t>
      </w:r>
    </w:p>
    <w:p w14:paraId="6C4F1DC6" w14:textId="77777777" w:rsidR="004C0D01" w:rsidRDefault="00000000">
      <w:pPr>
        <w:pStyle w:val="ListParagraph"/>
        <w:numPr>
          <w:ilvl w:val="0"/>
          <w:numId w:val="2"/>
        </w:numPr>
        <w:spacing w:before="60" w:after="60"/>
        <w:ind w:left="360"/>
      </w:pPr>
      <w:r>
        <w:t>PAIE never asks: here is what I found — what should I do?</w:t>
      </w:r>
    </w:p>
    <w:p w14:paraId="32363715" w14:textId="77777777" w:rsidR="004C0D01" w:rsidRDefault="004C0D01">
      <w:pPr>
        <w:spacing w:before="80"/>
      </w:pPr>
    </w:p>
    <w:p w14:paraId="64EBE7BC" w14:textId="77777777" w:rsidR="004C0D01" w:rsidRDefault="00000000">
      <w:pPr>
        <w:spacing w:before="80" w:after="80"/>
      </w:pPr>
      <w:r>
        <w:t>Full PAIE module specification is documented in the PAIE FSD v1.0, delivered concurrently with this Addendum.</w:t>
      </w:r>
    </w:p>
    <w:p w14:paraId="4925FF99" w14:textId="77777777" w:rsidR="004C0D01" w:rsidRDefault="004C0D01">
      <w:pPr>
        <w:spacing w:before="200"/>
      </w:pPr>
    </w:p>
    <w:p w14:paraId="51CB646D" w14:textId="77777777" w:rsidR="004C0D01" w:rsidRDefault="00000000">
      <w:pPr>
        <w:spacing w:after="100"/>
      </w:pPr>
      <w:r>
        <w:rPr>
          <w:b/>
          <w:bCs/>
          <w:caps/>
          <w:color w:val="C9A84C"/>
          <w:spacing w:val="40"/>
          <w:sz w:val="24"/>
          <w:szCs w:val="24"/>
        </w:rPr>
        <w:t>7.  Standing Engineering Directive — AT LLC</w:t>
      </w:r>
    </w:p>
    <w:p w14:paraId="02D88D42" w14:textId="77777777" w:rsidR="004C0D01" w:rsidRDefault="004C0D01">
      <w:pPr>
        <w:pBdr>
          <w:bottom w:val="single" w:sz="6" w:space="1" w:color="C9A84C"/>
        </w:pBdr>
      </w:pPr>
    </w:p>
    <w:p w14:paraId="48AFC06B" w14:textId="77777777" w:rsidR="004C0D01" w:rsidRDefault="004C0D01">
      <w:pPr>
        <w:spacing w:before="80"/>
      </w:pPr>
    </w:p>
    <w:p w14:paraId="19759F7E" w14:textId="77777777" w:rsidR="004C0D01" w:rsidRDefault="00000000">
      <w:pPr>
        <w:spacing w:before="80" w:after="80"/>
      </w:pPr>
      <w:r>
        <w:t>Josh Paul, Lead Engineer, AT LLC, and all subsequent AT LLC engineering personnel are bound by the following standing directive:</w:t>
      </w:r>
    </w:p>
    <w:p w14:paraId="50746E5A" w14:textId="77777777" w:rsidR="004C0D01" w:rsidRDefault="004C0D0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D01" w14:paraId="11391CDF" w14:textId="77777777">
        <w:tblPrEx>
          <w:tblCellMar>
            <w:top w:w="0" w:type="dxa"/>
            <w:bottom w:w="0" w:type="dxa"/>
          </w:tblCellMar>
        </w:tblPrEx>
        <w:tc>
          <w:tcPr>
            <w:tcW w:w="0" w:type="auto"/>
            <w:tcBorders>
              <w:top w:val="single" w:sz="8" w:space="0" w:color="C9A84C"/>
              <w:left w:val="single" w:sz="8" w:space="0" w:color="C9A84C"/>
              <w:bottom w:val="single" w:sz="8" w:space="0" w:color="C9A84C"/>
              <w:right w:val="single" w:sz="8" w:space="0" w:color="C9A84C"/>
            </w:tcBorders>
            <w:shd w:val="clear" w:color="auto" w:fill="1A1A1A"/>
            <w:tcMar>
              <w:top w:w="200" w:type="dxa"/>
              <w:left w:w="320" w:type="dxa"/>
              <w:bottom w:w="200" w:type="dxa"/>
              <w:right w:w="320" w:type="dxa"/>
            </w:tcMar>
          </w:tcPr>
          <w:p w14:paraId="1DBA5AC6" w14:textId="77777777" w:rsidR="004C0D01" w:rsidRDefault="00000000">
            <w:r>
              <w:rPr>
                <w:i/>
                <w:iCs/>
              </w:rPr>
              <w:t>Every module built for ARMS shall be evaluated against the Sovereign Execution Mandate before delivery. If a module requires PM input for anything other than a documented compliance touchpoint, it is returned to design. This is not a preference or a style guideline. It is the governing architecture principle of the system.</w:t>
            </w:r>
          </w:p>
        </w:tc>
      </w:tr>
    </w:tbl>
    <w:p w14:paraId="571560AA" w14:textId="77777777" w:rsidR="004C0D01" w:rsidRDefault="004C0D01">
      <w:pPr>
        <w:spacing w:before="120"/>
      </w:pPr>
    </w:p>
    <w:p w14:paraId="6A2A48CD" w14:textId="77777777" w:rsidR="004C0D01" w:rsidRDefault="00000000">
      <w:pPr>
        <w:spacing w:before="80" w:after="80"/>
      </w:pPr>
      <w:r>
        <w:t>Modules that pass SEM evaluation shall include the following certification in their FSD header:</w:t>
      </w:r>
    </w:p>
    <w:p w14:paraId="7337C1A7" w14:textId="77777777" w:rsidR="004C0D01" w:rsidRDefault="004C0D01">
      <w:pPr>
        <w:spacing w:before="80"/>
      </w:pPr>
    </w:p>
    <w:p w14:paraId="3D0D1410" w14:textId="77777777" w:rsidR="004C0D01" w:rsidRDefault="00000000">
      <w:pPr>
        <w:pStyle w:val="ListParagraph"/>
        <w:numPr>
          <w:ilvl w:val="0"/>
          <w:numId w:val="2"/>
        </w:numPr>
        <w:spacing w:before="60" w:after="60"/>
        <w:ind w:left="360"/>
      </w:pPr>
      <w:r>
        <w:t>SEM Compliant: YES — module may proceed to production</w:t>
      </w:r>
    </w:p>
    <w:p w14:paraId="39C76EF9" w14:textId="77777777" w:rsidR="004C0D01" w:rsidRDefault="00000000">
      <w:pPr>
        <w:pStyle w:val="ListParagraph"/>
        <w:numPr>
          <w:ilvl w:val="0"/>
          <w:numId w:val="2"/>
        </w:numPr>
        <w:spacing w:before="60" w:after="60"/>
        <w:ind w:left="360"/>
      </w:pPr>
      <w:r>
        <w:t>SEM Compliant: PENDING [describe resolution in progress] — module is blocked from production until resolved</w:t>
      </w:r>
    </w:p>
    <w:p w14:paraId="32F91309" w14:textId="77777777" w:rsidR="004C0D01" w:rsidRDefault="004C0D01">
      <w:pPr>
        <w:spacing w:before="200"/>
      </w:pPr>
    </w:p>
    <w:p w14:paraId="185C0C2D" w14:textId="77777777" w:rsidR="004C0D01" w:rsidRDefault="00000000">
      <w:pPr>
        <w:spacing w:after="100"/>
      </w:pPr>
      <w:r>
        <w:rPr>
          <w:b/>
          <w:bCs/>
          <w:caps/>
          <w:color w:val="C9A84C"/>
          <w:spacing w:val="40"/>
          <w:sz w:val="24"/>
          <w:szCs w:val="24"/>
        </w:rPr>
        <w:t>8.  The North Star</w:t>
      </w:r>
    </w:p>
    <w:p w14:paraId="1E4BCDE7" w14:textId="77777777" w:rsidR="004C0D01" w:rsidRDefault="004C0D01">
      <w:pPr>
        <w:pBdr>
          <w:bottom w:val="single" w:sz="6" w:space="1" w:color="C9A84C"/>
        </w:pBdr>
      </w:pPr>
    </w:p>
    <w:p w14:paraId="5D26C932" w14:textId="77777777" w:rsidR="004C0D01" w:rsidRDefault="004C0D01">
      <w:pPr>
        <w:spacing w:before="80"/>
      </w:pPr>
    </w:p>
    <w:p w14:paraId="3401586F" w14:textId="77777777" w:rsidR="004C0D01" w:rsidRDefault="004C0D0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0D01" w14:paraId="77AD8702" w14:textId="77777777">
        <w:tblPrEx>
          <w:tblCellMar>
            <w:top w:w="0" w:type="dxa"/>
            <w:bottom w:w="0" w:type="dxa"/>
          </w:tblCellMar>
        </w:tblPrEx>
        <w:tc>
          <w:tcPr>
            <w:tcW w:w="0" w:type="auto"/>
            <w:tcBorders>
              <w:top w:val="single" w:sz="16" w:space="0" w:color="C9A84C"/>
              <w:left w:val="single" w:sz="16" w:space="0" w:color="C9A84C"/>
              <w:bottom w:val="single" w:sz="16" w:space="0" w:color="C9A84C"/>
              <w:right w:val="single" w:sz="16" w:space="0" w:color="C9A84C"/>
            </w:tcBorders>
            <w:shd w:val="clear" w:color="auto" w:fill="0D0D00"/>
            <w:tcMar>
              <w:top w:w="240" w:type="dxa"/>
              <w:left w:w="400" w:type="dxa"/>
              <w:bottom w:w="240" w:type="dxa"/>
              <w:right w:w="400" w:type="dxa"/>
            </w:tcMar>
          </w:tcPr>
          <w:p w14:paraId="32AA68ED" w14:textId="77777777" w:rsidR="004C0D01" w:rsidRDefault="00000000">
            <w:pPr>
              <w:spacing w:after="80"/>
              <w:jc w:val="center"/>
            </w:pPr>
            <w:r>
              <w:rPr>
                <w:b/>
                <w:bCs/>
                <w:caps/>
                <w:color w:val="C9A84C"/>
                <w:spacing w:val="120"/>
              </w:rPr>
              <w:t>THE NORTH STAR</w:t>
            </w:r>
          </w:p>
          <w:p w14:paraId="4E881454" w14:textId="77777777" w:rsidR="004C0D01" w:rsidRDefault="00000000">
            <w:pPr>
              <w:spacing w:before="80" w:after="80"/>
              <w:jc w:val="center"/>
            </w:pPr>
            <w:r>
              <w:rPr>
                <w:i/>
                <w:iCs/>
                <w:color w:val="AAAAAA"/>
                <w:sz w:val="22"/>
                <w:szCs w:val="22"/>
              </w:rPr>
              <w:t>ARMS evolves toward one destination:</w:t>
            </w:r>
          </w:p>
          <w:p w14:paraId="5580B840" w14:textId="77777777" w:rsidR="004C0D01" w:rsidRDefault="00000000">
            <w:pPr>
              <w:spacing w:before="80" w:after="120"/>
              <w:jc w:val="center"/>
            </w:pPr>
            <w:r>
              <w:rPr>
                <w:b/>
                <w:bCs/>
                <w:caps/>
                <w:spacing w:val="80"/>
                <w:sz w:val="28"/>
                <w:szCs w:val="28"/>
              </w:rPr>
              <w:t>FULL AUTONOMOUS SOVEREIGNTY</w:t>
            </w:r>
          </w:p>
          <w:p w14:paraId="46295201" w14:textId="77777777" w:rsidR="004C0D01" w:rsidRDefault="004C0D01">
            <w:pPr>
              <w:pBdr>
                <w:bottom w:val="single" w:sz="4" w:space="1" w:color="C9A84C"/>
              </w:pBdr>
            </w:pPr>
          </w:p>
          <w:p w14:paraId="3A3BD9A3" w14:textId="77777777" w:rsidR="004C0D01" w:rsidRDefault="004C0D01">
            <w:pPr>
              <w:spacing w:before="80"/>
            </w:pPr>
          </w:p>
          <w:p w14:paraId="251923EC" w14:textId="77777777" w:rsidR="004C0D01" w:rsidRDefault="00000000">
            <w:pPr>
              <w:spacing w:before="80"/>
              <w:jc w:val="center"/>
            </w:pPr>
            <w:r>
              <w:t>Every build cycle, every module, every engineering decision moves the system closer to a state where the PM's presence is irrelevant to portfolio execution — and therefore completely available for the function no system can replicate.</w:t>
            </w:r>
          </w:p>
          <w:p w14:paraId="5083E92E" w14:textId="77777777" w:rsidR="004C0D01" w:rsidRDefault="004C0D01">
            <w:pPr>
              <w:spacing w:before="80"/>
            </w:pPr>
          </w:p>
          <w:p w14:paraId="6F955862" w14:textId="77777777" w:rsidR="004C0D01" w:rsidRDefault="00000000">
            <w:pPr>
              <w:jc w:val="center"/>
            </w:pPr>
            <w:r>
              <w:rPr>
                <w:b/>
                <w:bCs/>
                <w:i/>
                <w:iCs/>
                <w:color w:val="C9A84C"/>
                <w:sz w:val="22"/>
                <w:szCs w:val="22"/>
              </w:rPr>
              <w:t>The PM is not a portfolio operator. The PM is a thesis hunter.</w:t>
            </w:r>
          </w:p>
          <w:p w14:paraId="4F6C9D2A" w14:textId="77777777" w:rsidR="004C0D01" w:rsidRDefault="004C0D01">
            <w:pPr>
              <w:spacing w:before="40"/>
            </w:pPr>
          </w:p>
          <w:p w14:paraId="14D62DF3" w14:textId="77777777" w:rsidR="004C0D01" w:rsidRDefault="00000000">
            <w:pPr>
              <w:jc w:val="center"/>
            </w:pPr>
            <w:r>
              <w:rPr>
                <w:i/>
                <w:iCs/>
                <w:color w:val="AAAAAA"/>
              </w:rPr>
              <w:t>The system exists to honor that distinction absolutely.</w:t>
            </w:r>
          </w:p>
        </w:tc>
      </w:tr>
    </w:tbl>
    <w:p w14:paraId="57215FB8" w14:textId="77777777" w:rsidR="004C0D01" w:rsidRDefault="004C0D01">
      <w:pPr>
        <w:spacing w:before="300"/>
      </w:pPr>
    </w:p>
    <w:p w14:paraId="366209C2" w14:textId="77777777" w:rsidR="004C0D01" w:rsidRDefault="004C0D01">
      <w:pPr>
        <w:pBdr>
          <w:bottom w:val="single" w:sz="6" w:space="1" w:color="C9A84C"/>
        </w:pBdr>
      </w:pPr>
    </w:p>
    <w:p w14:paraId="6A1D313D" w14:textId="77777777" w:rsidR="004C0D01" w:rsidRDefault="004C0D01">
      <w:pPr>
        <w:spacing w:before="80"/>
      </w:pPr>
    </w:p>
    <w:p w14:paraId="7CF6E239" w14:textId="77777777" w:rsidR="004C0D01" w:rsidRDefault="00000000">
      <w:pPr>
        <w:spacing w:before="60" w:after="40"/>
      </w:pPr>
      <w:r>
        <w:rPr>
          <w:b/>
          <w:bCs/>
          <w:caps/>
          <w:color w:val="C9A84C"/>
          <w:spacing w:val="60"/>
          <w:sz w:val="16"/>
          <w:szCs w:val="16"/>
        </w:rPr>
        <w:t>Document Control</w:t>
      </w:r>
    </w:p>
    <w:p w14:paraId="2651A895" w14:textId="77777777" w:rsidR="004C0D01" w:rsidRDefault="00000000">
      <w:pPr>
        <w:spacing w:before="80" w:after="80"/>
      </w:pPr>
      <w:r>
        <w:rPr>
          <w:color w:val="AAAAAA"/>
        </w:rPr>
        <w:t>Supersedes: Nothing — this is an originating governance document.</w:t>
      </w:r>
    </w:p>
    <w:p w14:paraId="25BD29FB" w14:textId="77777777" w:rsidR="004C0D01" w:rsidRDefault="00000000">
      <w:pPr>
        <w:spacing w:before="80" w:after="80"/>
      </w:pPr>
      <w:r>
        <w:rPr>
          <w:color w:val="AAAAAA"/>
        </w:rPr>
        <w:t>Cross-references: PM Playbook v4.0 §1, ARMS FSD v1.1, GP Briefing v1.0, Addenda 1–4, PAIE FSD v1.0.</w:t>
      </w:r>
    </w:p>
    <w:p w14:paraId="65005175" w14:textId="77777777" w:rsidR="004C0D01" w:rsidRDefault="00000000">
      <w:pPr>
        <w:spacing w:before="80" w:after="80"/>
      </w:pPr>
      <w:r>
        <w:rPr>
          <w:color w:val="AAAAAA"/>
        </w:rPr>
        <w:t>Next review: Upon any proposed exception to §3 or §5.</w:t>
      </w:r>
    </w:p>
    <w:p w14:paraId="5841D616" w14:textId="77777777" w:rsidR="004C0D01" w:rsidRDefault="004C0D01">
      <w:pPr>
        <w:spacing w:before="40"/>
      </w:pPr>
    </w:p>
    <w:p w14:paraId="70BEE900" w14:textId="77777777" w:rsidR="004C0D01" w:rsidRDefault="00000000">
      <w:pPr>
        <w:spacing w:before="80" w:after="80"/>
        <w:jc w:val="center"/>
      </w:pPr>
      <w:r>
        <w:rPr>
          <w:color w:val="555555"/>
        </w:rPr>
        <w:t>CONFIDENTIAL — ACHELION CAPITAL MANAGEMENT LLC — INTERNAL USE ONLY</w:t>
      </w:r>
    </w:p>
    <w:sectPr w:rsidR="004C0D01">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93AF6" w14:textId="77777777" w:rsidR="007E085B" w:rsidRDefault="007E085B">
      <w:r>
        <w:separator/>
      </w:r>
    </w:p>
  </w:endnote>
  <w:endnote w:type="continuationSeparator" w:id="0">
    <w:p w14:paraId="49AD18A0" w14:textId="77777777" w:rsidR="007E085B" w:rsidRDefault="007E0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1037A" w14:textId="77777777" w:rsidR="00577A3D" w:rsidRDefault="00577A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8E581" w14:textId="77777777" w:rsidR="004C0D01" w:rsidRDefault="00000000">
    <w:pPr>
      <w:pBdr>
        <w:top w:val="single" w:sz="6" w:space="1" w:color="C9A84C"/>
      </w:pBdr>
      <w:tabs>
        <w:tab w:val="right" w:pos="9360"/>
      </w:tabs>
      <w:spacing w:before="120"/>
    </w:pPr>
    <w:r>
      <w:rPr>
        <w:caps/>
        <w:color w:val="AAAAAA"/>
        <w:sz w:val="14"/>
        <w:szCs w:val="14"/>
      </w:rPr>
      <w:t>CONFIDENTIAL — INTERNAL USE ONLY</w:t>
    </w:r>
    <w:r>
      <w:rPr>
        <w:color w:val="AAAAAA"/>
        <w:sz w:val="14"/>
        <w:szCs w:val="14"/>
      </w:rPr>
      <w:tab/>
      <w:t xml:space="preserve">Page </w:t>
    </w:r>
    <w:r>
      <w:rPr>
        <w:color w:val="AAAAAA"/>
        <w:sz w:val="14"/>
        <w:szCs w:val="14"/>
      </w:rPr>
      <w:fldChar w:fldCharType="begin"/>
    </w:r>
    <w:r>
      <w:rPr>
        <w:color w:val="AAAAAA"/>
        <w:sz w:val="14"/>
        <w:szCs w:val="14"/>
      </w:rPr>
      <w:instrText>PAGE</w:instrText>
    </w:r>
    <w:r>
      <w:rPr>
        <w:color w:val="AAAAAA"/>
        <w:sz w:val="14"/>
        <w:szCs w:val="14"/>
      </w:rPr>
      <w:fldChar w:fldCharType="separate"/>
    </w:r>
    <w:r w:rsidR="00577A3D">
      <w:rPr>
        <w:noProof/>
        <w:color w:val="AAAAAA"/>
        <w:sz w:val="14"/>
        <w:szCs w:val="14"/>
      </w:rPr>
      <w:t>1</w:t>
    </w:r>
    <w:r>
      <w:rPr>
        <w:color w:val="AAAAAA"/>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6E5E0" w14:textId="77777777" w:rsidR="00577A3D" w:rsidRDefault="00577A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C920D" w14:textId="77777777" w:rsidR="007E085B" w:rsidRDefault="007E085B">
      <w:r>
        <w:separator/>
      </w:r>
    </w:p>
  </w:footnote>
  <w:footnote w:type="continuationSeparator" w:id="0">
    <w:p w14:paraId="5A28D952" w14:textId="77777777" w:rsidR="007E085B" w:rsidRDefault="007E08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DCF6B" w14:textId="77777777" w:rsidR="00577A3D" w:rsidRDefault="00577A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D1E76" w14:textId="77777777" w:rsidR="004C0D01" w:rsidRDefault="00000000">
    <w:pPr>
      <w:pBdr>
        <w:bottom w:val="single" w:sz="6" w:space="1" w:color="C9A84C"/>
      </w:pBdr>
      <w:tabs>
        <w:tab w:val="right" w:pos="9360"/>
      </w:tabs>
      <w:spacing w:after="120"/>
    </w:pPr>
    <w:r>
      <w:rPr>
        <w:b/>
        <w:bCs/>
        <w:caps/>
        <w:color w:val="C9A84C"/>
        <w:spacing w:val="40"/>
        <w:sz w:val="16"/>
        <w:szCs w:val="16"/>
      </w:rPr>
      <w:t>ACHELION CAPITAL MANAGEMENT LLC</w:t>
    </w:r>
    <w:r>
      <w:rPr>
        <w:color w:val="AAAAAA"/>
        <w:sz w:val="16"/>
        <w:szCs w:val="16"/>
      </w:rPr>
      <w:tab/>
      <w:t>ARMS v4.0 — ADDENDUM 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00691" w14:textId="77777777" w:rsidR="00577A3D" w:rsidRDefault="00577A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6481B"/>
    <w:multiLevelType w:val="hybridMultilevel"/>
    <w:tmpl w:val="0B68EF2E"/>
    <w:lvl w:ilvl="0" w:tplc="5CD25EC6">
      <w:start w:val="1"/>
      <w:numFmt w:val="bullet"/>
      <w:lvlText w:val="●"/>
      <w:lvlJc w:val="left"/>
      <w:pPr>
        <w:ind w:left="720" w:hanging="360"/>
      </w:pPr>
    </w:lvl>
    <w:lvl w:ilvl="1" w:tplc="440626AE">
      <w:start w:val="1"/>
      <w:numFmt w:val="bullet"/>
      <w:lvlText w:val="○"/>
      <w:lvlJc w:val="left"/>
      <w:pPr>
        <w:ind w:left="1440" w:hanging="360"/>
      </w:pPr>
    </w:lvl>
    <w:lvl w:ilvl="2" w:tplc="5A88751E">
      <w:start w:val="1"/>
      <w:numFmt w:val="bullet"/>
      <w:lvlText w:val="■"/>
      <w:lvlJc w:val="left"/>
      <w:pPr>
        <w:ind w:left="2160" w:hanging="360"/>
      </w:pPr>
    </w:lvl>
    <w:lvl w:ilvl="3" w:tplc="8604E1D0">
      <w:start w:val="1"/>
      <w:numFmt w:val="bullet"/>
      <w:lvlText w:val="●"/>
      <w:lvlJc w:val="left"/>
      <w:pPr>
        <w:ind w:left="2880" w:hanging="360"/>
      </w:pPr>
    </w:lvl>
    <w:lvl w:ilvl="4" w:tplc="8556D24E">
      <w:start w:val="1"/>
      <w:numFmt w:val="bullet"/>
      <w:lvlText w:val="○"/>
      <w:lvlJc w:val="left"/>
      <w:pPr>
        <w:ind w:left="3600" w:hanging="360"/>
      </w:pPr>
    </w:lvl>
    <w:lvl w:ilvl="5" w:tplc="AC9C85D4">
      <w:start w:val="1"/>
      <w:numFmt w:val="bullet"/>
      <w:lvlText w:val="■"/>
      <w:lvlJc w:val="left"/>
      <w:pPr>
        <w:ind w:left="4320" w:hanging="360"/>
      </w:pPr>
    </w:lvl>
    <w:lvl w:ilvl="6" w:tplc="A6A46B90">
      <w:start w:val="1"/>
      <w:numFmt w:val="bullet"/>
      <w:lvlText w:val="●"/>
      <w:lvlJc w:val="left"/>
      <w:pPr>
        <w:ind w:left="5040" w:hanging="360"/>
      </w:pPr>
    </w:lvl>
    <w:lvl w:ilvl="7" w:tplc="CF3CED2A">
      <w:start w:val="1"/>
      <w:numFmt w:val="bullet"/>
      <w:lvlText w:val="●"/>
      <w:lvlJc w:val="left"/>
      <w:pPr>
        <w:ind w:left="5760" w:hanging="360"/>
      </w:pPr>
    </w:lvl>
    <w:lvl w:ilvl="8" w:tplc="1ACA153E">
      <w:start w:val="1"/>
      <w:numFmt w:val="bullet"/>
      <w:lvlText w:val="●"/>
      <w:lvlJc w:val="left"/>
      <w:pPr>
        <w:ind w:left="6480" w:hanging="360"/>
      </w:pPr>
    </w:lvl>
  </w:abstractNum>
  <w:abstractNum w:abstractNumId="1" w15:restartNumberingAfterBreak="0">
    <w:nsid w:val="72601D48"/>
    <w:multiLevelType w:val="hybridMultilevel"/>
    <w:tmpl w:val="FF504604"/>
    <w:lvl w:ilvl="0" w:tplc="69B6D494">
      <w:start w:val="1"/>
      <w:numFmt w:val="bullet"/>
      <w:lvlText w:val="–"/>
      <w:lvlJc w:val="left"/>
      <w:pPr>
        <w:ind w:left="560" w:hanging="280"/>
      </w:pPr>
      <w:rPr>
        <w:rFonts w:ascii="Arial" w:eastAsia="Arial" w:hAnsi="Arial" w:cs="Arial"/>
        <w:color w:val="C9A84C"/>
      </w:rPr>
    </w:lvl>
    <w:lvl w:ilvl="1" w:tplc="D1E020A4">
      <w:numFmt w:val="decimal"/>
      <w:lvlText w:val=""/>
      <w:lvlJc w:val="left"/>
    </w:lvl>
    <w:lvl w:ilvl="2" w:tplc="7520AEDA">
      <w:numFmt w:val="decimal"/>
      <w:lvlText w:val=""/>
      <w:lvlJc w:val="left"/>
    </w:lvl>
    <w:lvl w:ilvl="3" w:tplc="53AC8044">
      <w:numFmt w:val="decimal"/>
      <w:lvlText w:val=""/>
      <w:lvlJc w:val="left"/>
    </w:lvl>
    <w:lvl w:ilvl="4" w:tplc="0FF0B99C">
      <w:numFmt w:val="decimal"/>
      <w:lvlText w:val=""/>
      <w:lvlJc w:val="left"/>
    </w:lvl>
    <w:lvl w:ilvl="5" w:tplc="12F49886">
      <w:numFmt w:val="decimal"/>
      <w:lvlText w:val=""/>
      <w:lvlJc w:val="left"/>
    </w:lvl>
    <w:lvl w:ilvl="6" w:tplc="F260E55C">
      <w:numFmt w:val="decimal"/>
      <w:lvlText w:val=""/>
      <w:lvlJc w:val="left"/>
    </w:lvl>
    <w:lvl w:ilvl="7" w:tplc="7FBCBEB2">
      <w:numFmt w:val="decimal"/>
      <w:lvlText w:val=""/>
      <w:lvlJc w:val="left"/>
    </w:lvl>
    <w:lvl w:ilvl="8" w:tplc="323C850E">
      <w:numFmt w:val="decimal"/>
      <w:lvlText w:val=""/>
      <w:lvlJc w:val="left"/>
    </w:lvl>
  </w:abstractNum>
  <w:num w:numId="1" w16cid:durableId="1516924404">
    <w:abstractNumId w:val="0"/>
    <w:lvlOverride w:ilvl="0">
      <w:startOverride w:val="1"/>
    </w:lvlOverride>
  </w:num>
  <w:num w:numId="2" w16cid:durableId="10680685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D01"/>
    <w:rsid w:val="004C0D01"/>
    <w:rsid w:val="00577A3D"/>
    <w:rsid w:val="005C6AD2"/>
    <w:rsid w:val="007E0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A8701"/>
  <w15:docId w15:val="{0C8E91DA-94CA-C14B-8752-3E86283B0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FFFFF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77A3D"/>
    <w:pPr>
      <w:tabs>
        <w:tab w:val="center" w:pos="4680"/>
        <w:tab w:val="right" w:pos="9360"/>
      </w:tabs>
    </w:pPr>
  </w:style>
  <w:style w:type="character" w:customStyle="1" w:styleId="HeaderChar">
    <w:name w:val="Header Char"/>
    <w:basedOn w:val="DefaultParagraphFont"/>
    <w:link w:val="Header"/>
    <w:uiPriority w:val="99"/>
    <w:rsid w:val="00577A3D"/>
  </w:style>
  <w:style w:type="paragraph" w:styleId="Footer">
    <w:name w:val="footer"/>
    <w:basedOn w:val="Normal"/>
    <w:link w:val="FooterChar"/>
    <w:uiPriority w:val="99"/>
    <w:unhideWhenUsed/>
    <w:rsid w:val="00577A3D"/>
    <w:pPr>
      <w:tabs>
        <w:tab w:val="center" w:pos="4680"/>
        <w:tab w:val="right" w:pos="9360"/>
      </w:tabs>
    </w:pPr>
  </w:style>
  <w:style w:type="character" w:customStyle="1" w:styleId="FooterChar">
    <w:name w:val="Footer Char"/>
    <w:basedOn w:val="DefaultParagraphFont"/>
    <w:link w:val="Footer"/>
    <w:uiPriority w:val="99"/>
    <w:rsid w:val="00577A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1026</Words>
  <Characters>5853</Characters>
  <Application>Microsoft Office Word</Application>
  <DocSecurity>0</DocSecurity>
  <Lines>48</Lines>
  <Paragraphs>13</Paragraphs>
  <ScaleCrop>false</ScaleCrop>
  <Company/>
  <LinksUpToDate>false</LinksUpToDate>
  <CharactersWithSpaces>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Contact</cp:lastModifiedBy>
  <cp:revision>2</cp:revision>
  <dcterms:created xsi:type="dcterms:W3CDTF">2026-04-02T22:16:00Z</dcterms:created>
  <dcterms:modified xsi:type="dcterms:W3CDTF">2026-04-02T22:16:00Z</dcterms:modified>
</cp:coreProperties>
</file>