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506586898" w:displacedByCustomXml="next"/>
    <w:bookmarkEnd w:id="1" w:displacedByCustomXml="next"/>
    <w:sdt>
      <w:sdtPr>
        <w:rPr>
          <w:rFonts w:eastAsiaTheme="minorHAnsi"/>
          <w:color w:val="4472C4" w:themeColor="accent1"/>
          <w:lang w:val="en-CA"/>
        </w:rPr>
        <w:id w:val="305441048"/>
        <w:docPartObj>
          <w:docPartGallery w:val="Cover Pages"/>
          <w:docPartUnique/>
        </w:docPartObj>
      </w:sdtPr>
      <w:sdtEndPr>
        <w:rPr>
          <w:b/>
          <w:color w:val="auto"/>
          <w:u w:val="single"/>
        </w:rPr>
      </w:sdtEndPr>
      <w:sdtContent>
        <w:p w14:paraId="3E66DAC2" w14:textId="7BA1CBF5" w:rsidR="00603905" w:rsidRPr="00CF0BBA" w:rsidRDefault="00603905" w:rsidP="008876FC">
          <w:pPr>
            <w:pStyle w:val="NoSpacing"/>
            <w:spacing w:after="240"/>
            <w:jc w:val="center"/>
            <w:rPr>
              <w:color w:val="4472C4" w:themeColor="accent1"/>
            </w:rPr>
          </w:pPr>
          <w:r w:rsidRPr="00CF0BBA">
            <w:rPr>
              <w:noProof/>
              <w:color w:val="4472C4" w:themeColor="accent1"/>
            </w:rPr>
            <w:drawing>
              <wp:inline distT="0" distB="0" distL="0" distR="0" wp14:anchorId="78BEE745" wp14:editId="4EBB475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96"/>
              <w:szCs w:val="72"/>
            </w:rPr>
            <w:alias w:val="Title"/>
            <w:tag w:val=""/>
            <w:id w:val="1735040861"/>
            <w:placeholder>
              <w:docPart w:val="F74F2B52A15344EDBEE7A307E807996E"/>
            </w:placeholder>
            <w:dataBinding w:prefixMappings="xmlns:ns0='http://purl.org/dc/elements/1.1/' xmlns:ns1='http://schemas.openxmlformats.org/package/2006/metadata/core-properties' " w:xpath="/ns1:coreProperties[1]/ns0:title[1]" w:storeItemID="{6C3C8BC8-F283-45AE-878A-BAB7291924A1}"/>
            <w:text/>
          </w:sdtPr>
          <w:sdtEndPr/>
          <w:sdtContent>
            <w:p w14:paraId="0AE30B23" w14:textId="664DBAF8" w:rsidR="00603905" w:rsidRPr="00CF0BBA" w:rsidRDefault="00603905" w:rsidP="008876F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96"/>
                  <w:szCs w:val="80"/>
                </w:rPr>
              </w:pPr>
              <w:r w:rsidRPr="00CF0BBA">
                <w:rPr>
                  <w:rFonts w:asciiTheme="majorHAnsi" w:eastAsiaTheme="majorEastAsia" w:hAnsiTheme="majorHAnsi" w:cstheme="majorBidi"/>
                  <w:caps/>
                  <w:color w:val="4472C4" w:themeColor="accent1"/>
                  <w:sz w:val="96"/>
                  <w:szCs w:val="72"/>
                </w:rPr>
                <w:t>Mr. Mihaly v. APEGA CASE Study</w:t>
              </w:r>
            </w:p>
          </w:sdtContent>
        </w:sdt>
        <w:sdt>
          <w:sdtPr>
            <w:rPr>
              <w:color w:val="4472C4" w:themeColor="accent1"/>
              <w:sz w:val="32"/>
              <w:szCs w:val="28"/>
            </w:rPr>
            <w:alias w:val="Subtitle"/>
            <w:tag w:val=""/>
            <w:id w:val="328029620"/>
            <w:placeholder>
              <w:docPart w:val="AFE8ACFCF35442F4B2F03D61184293AC"/>
            </w:placeholder>
            <w:dataBinding w:prefixMappings="xmlns:ns0='http://purl.org/dc/elements/1.1/' xmlns:ns1='http://schemas.openxmlformats.org/package/2006/metadata/core-properties' " w:xpath="/ns1:coreProperties[1]/ns0:subject[1]" w:storeItemID="{6C3C8BC8-F283-45AE-878A-BAB7291924A1}"/>
            <w:text/>
          </w:sdtPr>
          <w:sdtEndPr/>
          <w:sdtContent>
            <w:p w14:paraId="432EFC35" w14:textId="4D72646D" w:rsidR="00603905" w:rsidRPr="00CF0BBA" w:rsidRDefault="00603905" w:rsidP="008876FC">
              <w:pPr>
                <w:pStyle w:val="NoSpacing"/>
                <w:spacing w:after="240"/>
                <w:jc w:val="center"/>
                <w:rPr>
                  <w:color w:val="4472C4" w:themeColor="accent1"/>
                  <w:sz w:val="32"/>
                  <w:szCs w:val="28"/>
                </w:rPr>
              </w:pPr>
              <w:r w:rsidRPr="00CF0BBA">
                <w:rPr>
                  <w:color w:val="4472C4" w:themeColor="accent1"/>
                  <w:sz w:val="32"/>
                  <w:szCs w:val="28"/>
                </w:rPr>
                <w:t>By: Krista Lane Dazo and Junghoon Oh</w:t>
              </w:r>
            </w:p>
          </w:sdtContent>
        </w:sdt>
        <w:p w14:paraId="7C8E4375" w14:textId="1B964DA9" w:rsidR="00603905" w:rsidRPr="00CF0BBA" w:rsidRDefault="00603905" w:rsidP="008876FC">
          <w:pPr>
            <w:pStyle w:val="NoSpacing"/>
            <w:spacing w:after="240"/>
            <w:jc w:val="center"/>
            <w:rPr>
              <w:color w:val="4472C4" w:themeColor="accent1"/>
            </w:rPr>
          </w:pPr>
          <w:r w:rsidRPr="00CF0BBA">
            <w:rPr>
              <w:noProof/>
              <w:color w:val="4472C4" w:themeColor="accent1"/>
            </w:rPr>
            <w:drawing>
              <wp:inline distT="0" distB="0" distL="0" distR="0" wp14:anchorId="702DFF6B" wp14:editId="2FACA07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A9159A" w14:textId="04DD307B" w:rsidR="00603905" w:rsidRPr="00CF0BBA" w:rsidRDefault="00603905" w:rsidP="00A30F31">
          <w:pPr>
            <w:spacing w:after="240" w:line="240" w:lineRule="auto"/>
            <w:jc w:val="both"/>
            <w:rPr>
              <w:rFonts w:asciiTheme="majorHAnsi" w:eastAsiaTheme="majorEastAsia" w:hAnsiTheme="majorHAnsi" w:cstheme="majorBidi"/>
              <w:b/>
              <w:color w:val="2F5496" w:themeColor="accent1" w:themeShade="BF"/>
              <w:sz w:val="32"/>
              <w:szCs w:val="32"/>
              <w:u w:val="single"/>
            </w:rPr>
          </w:pPr>
          <w:r w:rsidRPr="00CF0BBA">
            <w:rPr>
              <w:noProof/>
              <w:color w:val="4472C4" w:themeColor="accent1"/>
            </w:rPr>
            <mc:AlternateContent>
              <mc:Choice Requires="wps">
                <w:drawing>
                  <wp:anchor distT="0" distB="0" distL="114300" distR="114300" simplePos="0" relativeHeight="251659264" behindDoc="0" locked="0" layoutInCell="1" allowOverlap="1" wp14:anchorId="01AD9A06" wp14:editId="34999109">
                    <wp:simplePos x="0" y="0"/>
                    <wp:positionH relativeFrom="margin">
                      <wp:align>left</wp:align>
                    </wp:positionH>
                    <wp:positionV relativeFrom="page">
                      <wp:posOffset>8045857</wp:posOffset>
                    </wp:positionV>
                    <wp:extent cx="6288657" cy="1090247"/>
                    <wp:effectExtent l="0" t="0" r="0" b="15240"/>
                    <wp:wrapNone/>
                    <wp:docPr id="142" name="Text Box 142"/>
                    <wp:cNvGraphicFramePr/>
                    <a:graphic xmlns:a="http://schemas.openxmlformats.org/drawingml/2006/main">
                      <a:graphicData uri="http://schemas.microsoft.com/office/word/2010/wordprocessingShape">
                        <wps:wsp>
                          <wps:cNvSpPr txBox="1"/>
                          <wps:spPr>
                            <a:xfrm>
                              <a:off x="0" y="0"/>
                              <a:ext cx="6288657" cy="1090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28"/>
                                  </w:rPr>
                                  <w:alias w:val="Date"/>
                                  <w:tag w:val=""/>
                                  <w:id w:val="-1866581704"/>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EndPr/>
                                <w:sdtContent>
                                  <w:p w14:paraId="3B66981D" w14:textId="33711F95" w:rsidR="00FD6602" w:rsidRPr="00436CBD" w:rsidRDefault="00FD6602" w:rsidP="00603905">
                                    <w:pPr>
                                      <w:pStyle w:val="NoSpacing"/>
                                      <w:spacing w:after="40"/>
                                      <w:jc w:val="center"/>
                                      <w:rPr>
                                        <w:caps/>
                                        <w:color w:val="4472C4" w:themeColor="accent1"/>
                                        <w:sz w:val="36"/>
                                        <w:szCs w:val="28"/>
                                      </w:rPr>
                                    </w:pPr>
                                    <w:r w:rsidRPr="00436CBD">
                                      <w:rPr>
                                        <w:caps/>
                                        <w:color w:val="4472C4" w:themeColor="accent1"/>
                                        <w:sz w:val="36"/>
                                        <w:szCs w:val="28"/>
                                      </w:rPr>
                                      <w:t>February 16, 2018</w:t>
                                    </w:r>
                                  </w:p>
                                </w:sdtContent>
                              </w:sdt>
                              <w:p w14:paraId="69E656E4" w14:textId="24378CAD" w:rsidR="00FD6602" w:rsidRPr="00436CBD" w:rsidRDefault="00546B03" w:rsidP="00603905">
                                <w:pPr>
                                  <w:pStyle w:val="NoSpacing"/>
                                  <w:jc w:val="center"/>
                                  <w:rPr>
                                    <w:color w:val="4472C4" w:themeColor="accent1"/>
                                    <w:sz w:val="28"/>
                                  </w:rPr>
                                </w:pPr>
                                <w:sdt>
                                  <w:sdtPr>
                                    <w:rPr>
                                      <w:caps/>
                                      <w:color w:val="4472C4" w:themeColor="accent1"/>
                                      <w:sz w:val="28"/>
                                    </w:rPr>
                                    <w:alias w:val="Company"/>
                                    <w:tag w:val=""/>
                                    <w:id w:val="1593039500"/>
                                    <w:dataBinding w:prefixMappings="xmlns:ns0='http://schemas.openxmlformats.org/officeDocument/2006/extended-properties' " w:xpath="/ns0:Properties[1]/ns0:Company[1]" w:storeItemID="{6668398D-A668-4E3E-A5EB-62B293D839F1}"/>
                                    <w:text/>
                                  </w:sdtPr>
                                  <w:sdtEndPr/>
                                  <w:sdtContent>
                                    <w:r w:rsidR="00FB5BF5">
                                      <w:rPr>
                                        <w:caps/>
                                        <w:color w:val="4472C4" w:themeColor="accent1"/>
                                        <w:sz w:val="28"/>
                                      </w:rPr>
                                      <w:t>For: Dr. Denis Onen</w:t>
                                    </w:r>
                                  </w:sdtContent>
                                </w:sdt>
                              </w:p>
                              <w:p w14:paraId="44A0582C" w14:textId="7C029408" w:rsidR="00FD6602" w:rsidRDefault="00546B03" w:rsidP="00603905">
                                <w:pPr>
                                  <w:pStyle w:val="NoSpacing"/>
                                  <w:jc w:val="center"/>
                                  <w:rPr>
                                    <w:color w:val="4472C4" w:themeColor="accent1"/>
                                    <w:sz w:val="28"/>
                                  </w:rPr>
                                </w:pPr>
                                <w:sdt>
                                  <w:sdtPr>
                                    <w:rPr>
                                      <w:color w:val="4472C4" w:themeColor="accent1"/>
                                      <w:sz w:val="28"/>
                                    </w:rPr>
                                    <w:alias w:val="Address"/>
                                    <w:tag w:val=""/>
                                    <w:id w:val="-1931410337"/>
                                    <w:dataBinding w:prefixMappings="xmlns:ns0='http://schemas.microsoft.com/office/2006/coverPageProps' " w:xpath="/ns0:CoverPageProperties[1]/ns0:CompanyAddress[1]" w:storeItemID="{55AF091B-3C7A-41E3-B477-F2FDAA23CFDA}"/>
                                    <w:text/>
                                  </w:sdtPr>
                                  <w:sdtEndPr/>
                                  <w:sdtContent>
                                    <w:r w:rsidR="00FD6602" w:rsidRPr="00436CBD">
                                      <w:rPr>
                                        <w:color w:val="4472C4" w:themeColor="accent1"/>
                                        <w:sz w:val="28"/>
                                      </w:rPr>
                                      <w:t>University of Calgary</w:t>
                                    </w:r>
                                  </w:sdtContent>
                                </w:sdt>
                              </w:p>
                              <w:p w14:paraId="09F5E2CE" w14:textId="00074947" w:rsidR="008876FC" w:rsidRPr="00436CBD" w:rsidRDefault="008876FC" w:rsidP="00603905">
                                <w:pPr>
                                  <w:pStyle w:val="NoSpacing"/>
                                  <w:jc w:val="center"/>
                                  <w:rPr>
                                    <w:color w:val="4472C4" w:themeColor="accent1"/>
                                    <w:sz w:val="28"/>
                                  </w:rPr>
                                </w:pPr>
                                <w:r>
                                  <w:rPr>
                                    <w:color w:val="4472C4" w:themeColor="accent1"/>
                                    <w:sz w:val="28"/>
                                  </w:rPr>
                                  <w:t>ENGG 513 – Winter 2018</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D9A06" id="_x0000_t202" coordsize="21600,21600" o:spt="202" path="m,l,21600r21600,l21600,xe">
                    <v:stroke joinstyle="miter"/>
                    <v:path gradientshapeok="t" o:connecttype="rect"/>
                  </v:shapetype>
                  <v:shape id="Text Box 142" o:spid="_x0000_s1026" type="#_x0000_t202" style="position:absolute;left:0;text-align:left;margin-left:0;margin-top:633.55pt;width:495.15pt;height:85.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" filled="f" stroked="f" strokeweight=".5pt">
                    <v:textbox inset="0,0,0,0">
                      <w:txbxContent>
                        <w:sdt>
                          <w:sdtPr>
                            <w:rPr>
                              <w:caps/>
                              <w:color w:val="4472C4" w:themeColor="accent1"/>
                              <w:sz w:val="36"/>
                              <w:szCs w:val="28"/>
                            </w:rPr>
                            <w:alias w:val="Date"/>
                            <w:tag w:val=""/>
                            <w:id w:val="-1866581704"/>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EndPr/>
                          <w:sdtContent>
                            <w:p w14:paraId="3B66981D" w14:textId="33711F95" w:rsidR="00FD6602" w:rsidRPr="00436CBD" w:rsidRDefault="00FD6602" w:rsidP="00603905">
                              <w:pPr>
                                <w:pStyle w:val="NoSpacing"/>
                                <w:spacing w:after="40"/>
                                <w:jc w:val="center"/>
                                <w:rPr>
                                  <w:caps/>
                                  <w:color w:val="4472C4" w:themeColor="accent1"/>
                                  <w:sz w:val="36"/>
                                  <w:szCs w:val="28"/>
                                </w:rPr>
                              </w:pPr>
                              <w:r w:rsidRPr="00436CBD">
                                <w:rPr>
                                  <w:caps/>
                                  <w:color w:val="4472C4" w:themeColor="accent1"/>
                                  <w:sz w:val="36"/>
                                  <w:szCs w:val="28"/>
                                </w:rPr>
                                <w:t>February 16, 2018</w:t>
                              </w:r>
                            </w:p>
                          </w:sdtContent>
                        </w:sdt>
                        <w:p w14:paraId="69E656E4" w14:textId="24378CAD" w:rsidR="00FD6602" w:rsidRPr="00436CBD" w:rsidRDefault="00546B03" w:rsidP="00603905">
                          <w:pPr>
                            <w:pStyle w:val="NoSpacing"/>
                            <w:jc w:val="center"/>
                            <w:rPr>
                              <w:color w:val="4472C4" w:themeColor="accent1"/>
                              <w:sz w:val="28"/>
                            </w:rPr>
                          </w:pPr>
                          <w:sdt>
                            <w:sdtPr>
                              <w:rPr>
                                <w:caps/>
                                <w:color w:val="4472C4" w:themeColor="accent1"/>
                                <w:sz w:val="28"/>
                              </w:rPr>
                              <w:alias w:val="Company"/>
                              <w:tag w:val=""/>
                              <w:id w:val="1593039500"/>
                              <w:dataBinding w:prefixMappings="xmlns:ns0='http://schemas.openxmlformats.org/officeDocument/2006/extended-properties' " w:xpath="/ns0:Properties[1]/ns0:Company[1]" w:storeItemID="{6668398D-A668-4E3E-A5EB-62B293D839F1}"/>
                              <w:text/>
                            </w:sdtPr>
                            <w:sdtEndPr/>
                            <w:sdtContent>
                              <w:r w:rsidR="00FB5BF5">
                                <w:rPr>
                                  <w:caps/>
                                  <w:color w:val="4472C4" w:themeColor="accent1"/>
                                  <w:sz w:val="28"/>
                                </w:rPr>
                                <w:t>For: Dr. Denis Onen</w:t>
                              </w:r>
                            </w:sdtContent>
                          </w:sdt>
                        </w:p>
                        <w:p w14:paraId="44A0582C" w14:textId="7C029408" w:rsidR="00FD6602" w:rsidRDefault="00546B03" w:rsidP="00603905">
                          <w:pPr>
                            <w:pStyle w:val="NoSpacing"/>
                            <w:jc w:val="center"/>
                            <w:rPr>
                              <w:color w:val="4472C4" w:themeColor="accent1"/>
                              <w:sz w:val="28"/>
                            </w:rPr>
                          </w:pPr>
                          <w:sdt>
                            <w:sdtPr>
                              <w:rPr>
                                <w:color w:val="4472C4" w:themeColor="accent1"/>
                                <w:sz w:val="28"/>
                              </w:rPr>
                              <w:alias w:val="Address"/>
                              <w:tag w:val=""/>
                              <w:id w:val="-1931410337"/>
                              <w:dataBinding w:prefixMappings="xmlns:ns0='http://schemas.microsoft.com/office/2006/coverPageProps' " w:xpath="/ns0:CoverPageProperties[1]/ns0:CompanyAddress[1]" w:storeItemID="{55AF091B-3C7A-41E3-B477-F2FDAA23CFDA}"/>
                              <w:text/>
                            </w:sdtPr>
                            <w:sdtEndPr/>
                            <w:sdtContent>
                              <w:r w:rsidR="00FD6602" w:rsidRPr="00436CBD">
                                <w:rPr>
                                  <w:color w:val="4472C4" w:themeColor="accent1"/>
                                  <w:sz w:val="28"/>
                                </w:rPr>
                                <w:t>University of Calgary</w:t>
                              </w:r>
                            </w:sdtContent>
                          </w:sdt>
                        </w:p>
                        <w:p w14:paraId="09F5E2CE" w14:textId="00074947" w:rsidR="008876FC" w:rsidRPr="00436CBD" w:rsidRDefault="008876FC" w:rsidP="00603905">
                          <w:pPr>
                            <w:pStyle w:val="NoSpacing"/>
                            <w:jc w:val="center"/>
                            <w:rPr>
                              <w:color w:val="4472C4" w:themeColor="accent1"/>
                              <w:sz w:val="28"/>
                            </w:rPr>
                          </w:pPr>
                          <w:r>
                            <w:rPr>
                              <w:color w:val="4472C4" w:themeColor="accent1"/>
                              <w:sz w:val="28"/>
                            </w:rPr>
                            <w:t>ENGG 513 – Winter 2018</w:t>
                          </w:r>
                        </w:p>
                      </w:txbxContent>
                    </v:textbox>
                    <w10:wrap anchorx="margin" anchory="page"/>
                  </v:shape>
                </w:pict>
              </mc:Fallback>
            </mc:AlternateContent>
          </w:r>
          <w:r w:rsidRPr="00CF0BBA">
            <w:rPr>
              <w:b/>
              <w:u w:val="single"/>
            </w:rPr>
            <w:br w:type="page"/>
          </w:r>
        </w:p>
      </w:sdtContent>
    </w:sdt>
    <w:sdt>
      <w:sdtPr>
        <w:rPr>
          <w:rFonts w:asciiTheme="minorHAnsi" w:eastAsiaTheme="minorHAnsi" w:hAnsiTheme="minorHAnsi" w:cstheme="minorBidi"/>
          <w:color w:val="auto"/>
          <w:sz w:val="22"/>
          <w:szCs w:val="22"/>
          <w:lang w:val="en-CA"/>
        </w:rPr>
        <w:id w:val="-1191146909"/>
        <w:docPartObj>
          <w:docPartGallery w:val="Table of Contents"/>
          <w:docPartUnique/>
        </w:docPartObj>
      </w:sdtPr>
      <w:sdtEndPr>
        <w:rPr>
          <w:b/>
          <w:bCs/>
          <w:noProof/>
        </w:rPr>
      </w:sdtEndPr>
      <w:sdtContent>
        <w:p w14:paraId="3314652C" w14:textId="5CD7035E" w:rsidR="00603905" w:rsidRPr="00CF0BBA" w:rsidRDefault="00603905" w:rsidP="00A30F31">
          <w:pPr>
            <w:pStyle w:val="TOCHeading"/>
            <w:spacing w:before="0" w:after="240" w:line="240" w:lineRule="auto"/>
            <w:jc w:val="both"/>
          </w:pPr>
          <w:r w:rsidRPr="00CF0BBA">
            <w:t>Contents</w:t>
          </w:r>
        </w:p>
        <w:p w14:paraId="57C34988" w14:textId="7A351B06" w:rsidR="00C9738F" w:rsidRDefault="00603905">
          <w:pPr>
            <w:pStyle w:val="TOC1"/>
            <w:tabs>
              <w:tab w:val="right" w:leader="dot" w:pos="9440"/>
            </w:tabs>
            <w:rPr>
              <w:rFonts w:eastAsiaTheme="minorEastAsia"/>
              <w:noProof/>
              <w:lang w:val="en-US"/>
            </w:rPr>
          </w:pPr>
          <w:r w:rsidRPr="00CF0BBA">
            <w:fldChar w:fldCharType="begin"/>
          </w:r>
          <w:r w:rsidRPr="00CF0BBA">
            <w:instrText xml:space="preserve"> TOC \o "1-3" \h \z \u </w:instrText>
          </w:r>
          <w:r w:rsidRPr="00CF0BBA">
            <w:fldChar w:fldCharType="separate"/>
          </w:r>
          <w:hyperlink w:anchor="_Toc506599063" w:history="1">
            <w:r w:rsidR="00C9738F" w:rsidRPr="0001716D">
              <w:rPr>
                <w:rStyle w:val="Hyperlink"/>
                <w:b/>
                <w:noProof/>
              </w:rPr>
              <w:t>Introduction</w:t>
            </w:r>
            <w:r w:rsidR="00C9738F">
              <w:rPr>
                <w:noProof/>
                <w:webHidden/>
              </w:rPr>
              <w:tab/>
            </w:r>
            <w:r w:rsidR="00C9738F">
              <w:rPr>
                <w:noProof/>
                <w:webHidden/>
              </w:rPr>
              <w:fldChar w:fldCharType="begin"/>
            </w:r>
            <w:r w:rsidR="00C9738F">
              <w:rPr>
                <w:noProof/>
                <w:webHidden/>
              </w:rPr>
              <w:instrText xml:space="preserve"> PAGEREF _Toc506599063 \h </w:instrText>
            </w:r>
            <w:r w:rsidR="00C9738F">
              <w:rPr>
                <w:noProof/>
                <w:webHidden/>
              </w:rPr>
            </w:r>
            <w:r w:rsidR="00C9738F">
              <w:rPr>
                <w:noProof/>
                <w:webHidden/>
              </w:rPr>
              <w:fldChar w:fldCharType="separate"/>
            </w:r>
            <w:r w:rsidR="00C9738F">
              <w:rPr>
                <w:noProof/>
                <w:webHidden/>
              </w:rPr>
              <w:t>2</w:t>
            </w:r>
            <w:r w:rsidR="00C9738F">
              <w:rPr>
                <w:noProof/>
                <w:webHidden/>
              </w:rPr>
              <w:fldChar w:fldCharType="end"/>
            </w:r>
          </w:hyperlink>
        </w:p>
        <w:p w14:paraId="79E8CC4E" w14:textId="1530332C" w:rsidR="00C9738F" w:rsidRDefault="00546B03">
          <w:pPr>
            <w:pStyle w:val="TOC1"/>
            <w:tabs>
              <w:tab w:val="right" w:leader="dot" w:pos="9440"/>
            </w:tabs>
            <w:rPr>
              <w:rFonts w:eastAsiaTheme="minorEastAsia"/>
              <w:noProof/>
              <w:lang w:val="en-US"/>
            </w:rPr>
          </w:pPr>
          <w:hyperlink w:anchor="_Toc506599064" w:history="1">
            <w:r w:rsidR="00C9738F" w:rsidRPr="0001716D">
              <w:rPr>
                <w:rStyle w:val="Hyperlink"/>
                <w:b/>
                <w:noProof/>
              </w:rPr>
              <w:t>Stakeholders</w:t>
            </w:r>
            <w:r w:rsidR="00C9738F">
              <w:rPr>
                <w:noProof/>
                <w:webHidden/>
              </w:rPr>
              <w:tab/>
            </w:r>
            <w:r w:rsidR="00C9738F">
              <w:rPr>
                <w:noProof/>
                <w:webHidden/>
              </w:rPr>
              <w:fldChar w:fldCharType="begin"/>
            </w:r>
            <w:r w:rsidR="00C9738F">
              <w:rPr>
                <w:noProof/>
                <w:webHidden/>
              </w:rPr>
              <w:instrText xml:space="preserve"> PAGEREF _Toc506599064 \h </w:instrText>
            </w:r>
            <w:r w:rsidR="00C9738F">
              <w:rPr>
                <w:noProof/>
                <w:webHidden/>
              </w:rPr>
            </w:r>
            <w:r w:rsidR="00C9738F">
              <w:rPr>
                <w:noProof/>
                <w:webHidden/>
              </w:rPr>
              <w:fldChar w:fldCharType="separate"/>
            </w:r>
            <w:r w:rsidR="00C9738F">
              <w:rPr>
                <w:noProof/>
                <w:webHidden/>
              </w:rPr>
              <w:t>2</w:t>
            </w:r>
            <w:r w:rsidR="00C9738F">
              <w:rPr>
                <w:noProof/>
                <w:webHidden/>
              </w:rPr>
              <w:fldChar w:fldCharType="end"/>
            </w:r>
          </w:hyperlink>
        </w:p>
        <w:p w14:paraId="72F2CDBC" w14:textId="797CEE2D" w:rsidR="00C9738F" w:rsidRDefault="00546B03">
          <w:pPr>
            <w:pStyle w:val="TOC2"/>
            <w:tabs>
              <w:tab w:val="right" w:leader="dot" w:pos="9440"/>
            </w:tabs>
            <w:rPr>
              <w:rFonts w:eastAsiaTheme="minorEastAsia"/>
              <w:noProof/>
              <w:lang w:val="en-US"/>
            </w:rPr>
          </w:pPr>
          <w:hyperlink w:anchor="_Toc506599065" w:history="1">
            <w:r w:rsidR="00C9738F" w:rsidRPr="0001716D">
              <w:rPr>
                <w:rStyle w:val="Hyperlink"/>
                <w:noProof/>
              </w:rPr>
              <w:t>Association of Professional Engineers and Geoscientists of Alberta [APEGA]</w:t>
            </w:r>
            <w:r w:rsidR="00C9738F">
              <w:rPr>
                <w:noProof/>
                <w:webHidden/>
              </w:rPr>
              <w:tab/>
            </w:r>
            <w:r w:rsidR="00C9738F">
              <w:rPr>
                <w:noProof/>
                <w:webHidden/>
              </w:rPr>
              <w:fldChar w:fldCharType="begin"/>
            </w:r>
            <w:r w:rsidR="00C9738F">
              <w:rPr>
                <w:noProof/>
                <w:webHidden/>
              </w:rPr>
              <w:instrText xml:space="preserve"> PAGEREF _Toc506599065 \h </w:instrText>
            </w:r>
            <w:r w:rsidR="00C9738F">
              <w:rPr>
                <w:noProof/>
                <w:webHidden/>
              </w:rPr>
            </w:r>
            <w:r w:rsidR="00C9738F">
              <w:rPr>
                <w:noProof/>
                <w:webHidden/>
              </w:rPr>
              <w:fldChar w:fldCharType="separate"/>
            </w:r>
            <w:r w:rsidR="00C9738F">
              <w:rPr>
                <w:noProof/>
                <w:webHidden/>
              </w:rPr>
              <w:t>2</w:t>
            </w:r>
            <w:r w:rsidR="00C9738F">
              <w:rPr>
                <w:noProof/>
                <w:webHidden/>
              </w:rPr>
              <w:fldChar w:fldCharType="end"/>
            </w:r>
          </w:hyperlink>
        </w:p>
        <w:p w14:paraId="67CB99CF" w14:textId="24DFDB63" w:rsidR="00C9738F" w:rsidRDefault="00546B03">
          <w:pPr>
            <w:pStyle w:val="TOC2"/>
            <w:tabs>
              <w:tab w:val="right" w:leader="dot" w:pos="9440"/>
            </w:tabs>
            <w:rPr>
              <w:rFonts w:eastAsiaTheme="minorEastAsia"/>
              <w:noProof/>
              <w:lang w:val="en-US"/>
            </w:rPr>
          </w:pPr>
          <w:hyperlink w:anchor="_Toc506599066" w:history="1">
            <w:r w:rsidR="00C9738F" w:rsidRPr="0001716D">
              <w:rPr>
                <w:rStyle w:val="Hyperlink"/>
                <w:noProof/>
              </w:rPr>
              <w:t>APEGA Board of Examiners</w:t>
            </w:r>
            <w:r w:rsidR="00C9738F">
              <w:rPr>
                <w:noProof/>
                <w:webHidden/>
              </w:rPr>
              <w:tab/>
            </w:r>
            <w:r w:rsidR="00C9738F">
              <w:rPr>
                <w:noProof/>
                <w:webHidden/>
              </w:rPr>
              <w:fldChar w:fldCharType="begin"/>
            </w:r>
            <w:r w:rsidR="00C9738F">
              <w:rPr>
                <w:noProof/>
                <w:webHidden/>
              </w:rPr>
              <w:instrText xml:space="preserve"> PAGEREF _Toc506599066 \h </w:instrText>
            </w:r>
            <w:r w:rsidR="00C9738F">
              <w:rPr>
                <w:noProof/>
                <w:webHidden/>
              </w:rPr>
            </w:r>
            <w:r w:rsidR="00C9738F">
              <w:rPr>
                <w:noProof/>
                <w:webHidden/>
              </w:rPr>
              <w:fldChar w:fldCharType="separate"/>
            </w:r>
            <w:r w:rsidR="00C9738F">
              <w:rPr>
                <w:noProof/>
                <w:webHidden/>
              </w:rPr>
              <w:t>2</w:t>
            </w:r>
            <w:r w:rsidR="00C9738F">
              <w:rPr>
                <w:noProof/>
                <w:webHidden/>
              </w:rPr>
              <w:fldChar w:fldCharType="end"/>
            </w:r>
          </w:hyperlink>
        </w:p>
        <w:p w14:paraId="08D8856D" w14:textId="2965D93C" w:rsidR="00C9738F" w:rsidRDefault="00546B03">
          <w:pPr>
            <w:pStyle w:val="TOC2"/>
            <w:tabs>
              <w:tab w:val="right" w:leader="dot" w:pos="9440"/>
            </w:tabs>
            <w:rPr>
              <w:rFonts w:eastAsiaTheme="minorEastAsia"/>
              <w:noProof/>
              <w:lang w:val="en-US"/>
            </w:rPr>
          </w:pPr>
          <w:hyperlink w:anchor="_Toc506599067" w:history="1">
            <w:r w:rsidR="00C9738F" w:rsidRPr="0001716D">
              <w:rPr>
                <w:rStyle w:val="Hyperlink"/>
                <w:noProof/>
              </w:rPr>
              <w:t>Alberta Human Rights Commission [AHRC]</w:t>
            </w:r>
            <w:r w:rsidR="00C9738F">
              <w:rPr>
                <w:noProof/>
                <w:webHidden/>
              </w:rPr>
              <w:tab/>
            </w:r>
            <w:r w:rsidR="00C9738F">
              <w:rPr>
                <w:noProof/>
                <w:webHidden/>
              </w:rPr>
              <w:fldChar w:fldCharType="begin"/>
            </w:r>
            <w:r w:rsidR="00C9738F">
              <w:rPr>
                <w:noProof/>
                <w:webHidden/>
              </w:rPr>
              <w:instrText xml:space="preserve"> PAGEREF _Toc506599067 \h </w:instrText>
            </w:r>
            <w:r w:rsidR="00C9738F">
              <w:rPr>
                <w:noProof/>
                <w:webHidden/>
              </w:rPr>
            </w:r>
            <w:r w:rsidR="00C9738F">
              <w:rPr>
                <w:noProof/>
                <w:webHidden/>
              </w:rPr>
              <w:fldChar w:fldCharType="separate"/>
            </w:r>
            <w:r w:rsidR="00C9738F">
              <w:rPr>
                <w:noProof/>
                <w:webHidden/>
              </w:rPr>
              <w:t>3</w:t>
            </w:r>
            <w:r w:rsidR="00C9738F">
              <w:rPr>
                <w:noProof/>
                <w:webHidden/>
              </w:rPr>
              <w:fldChar w:fldCharType="end"/>
            </w:r>
          </w:hyperlink>
        </w:p>
        <w:p w14:paraId="7583574C" w14:textId="44BF9A75" w:rsidR="00C9738F" w:rsidRDefault="00546B03">
          <w:pPr>
            <w:pStyle w:val="TOC2"/>
            <w:tabs>
              <w:tab w:val="right" w:leader="dot" w:pos="9440"/>
            </w:tabs>
            <w:rPr>
              <w:rFonts w:eastAsiaTheme="minorEastAsia"/>
              <w:noProof/>
              <w:lang w:val="en-US"/>
            </w:rPr>
          </w:pPr>
          <w:hyperlink w:anchor="_Toc506599068" w:history="1">
            <w:r w:rsidR="00C9738F" w:rsidRPr="0001716D">
              <w:rPr>
                <w:rStyle w:val="Hyperlink"/>
                <w:noProof/>
              </w:rPr>
              <w:t>Court of Queen’s Bench [CQB] of Alberta</w:t>
            </w:r>
            <w:r w:rsidR="00C9738F">
              <w:rPr>
                <w:noProof/>
                <w:webHidden/>
              </w:rPr>
              <w:tab/>
            </w:r>
            <w:r w:rsidR="00C9738F">
              <w:rPr>
                <w:noProof/>
                <w:webHidden/>
              </w:rPr>
              <w:fldChar w:fldCharType="begin"/>
            </w:r>
            <w:r w:rsidR="00C9738F">
              <w:rPr>
                <w:noProof/>
                <w:webHidden/>
              </w:rPr>
              <w:instrText xml:space="preserve"> PAGEREF _Toc506599068 \h </w:instrText>
            </w:r>
            <w:r w:rsidR="00C9738F">
              <w:rPr>
                <w:noProof/>
                <w:webHidden/>
              </w:rPr>
            </w:r>
            <w:r w:rsidR="00C9738F">
              <w:rPr>
                <w:noProof/>
                <w:webHidden/>
              </w:rPr>
              <w:fldChar w:fldCharType="separate"/>
            </w:r>
            <w:r w:rsidR="00C9738F">
              <w:rPr>
                <w:noProof/>
                <w:webHidden/>
              </w:rPr>
              <w:t>3</w:t>
            </w:r>
            <w:r w:rsidR="00C9738F">
              <w:rPr>
                <w:noProof/>
                <w:webHidden/>
              </w:rPr>
              <w:fldChar w:fldCharType="end"/>
            </w:r>
          </w:hyperlink>
        </w:p>
        <w:p w14:paraId="4AB9015C" w14:textId="2C4CAB4B" w:rsidR="00C9738F" w:rsidRDefault="00546B03">
          <w:pPr>
            <w:pStyle w:val="TOC2"/>
            <w:tabs>
              <w:tab w:val="right" w:leader="dot" w:pos="9440"/>
            </w:tabs>
            <w:rPr>
              <w:rFonts w:eastAsiaTheme="minorEastAsia"/>
              <w:noProof/>
              <w:lang w:val="en-US"/>
            </w:rPr>
          </w:pPr>
          <w:hyperlink w:anchor="_Toc506599069" w:history="1">
            <w:r w:rsidR="00C9738F" w:rsidRPr="0001716D">
              <w:rPr>
                <w:rStyle w:val="Hyperlink"/>
                <w:noProof/>
              </w:rPr>
              <w:t>Court of Appeal of Alberta</w:t>
            </w:r>
            <w:r w:rsidR="00C9738F">
              <w:rPr>
                <w:noProof/>
                <w:webHidden/>
              </w:rPr>
              <w:tab/>
            </w:r>
            <w:r w:rsidR="00C9738F">
              <w:rPr>
                <w:noProof/>
                <w:webHidden/>
              </w:rPr>
              <w:fldChar w:fldCharType="begin"/>
            </w:r>
            <w:r w:rsidR="00C9738F">
              <w:rPr>
                <w:noProof/>
                <w:webHidden/>
              </w:rPr>
              <w:instrText xml:space="preserve"> PAGEREF _Toc506599069 \h </w:instrText>
            </w:r>
            <w:r w:rsidR="00C9738F">
              <w:rPr>
                <w:noProof/>
                <w:webHidden/>
              </w:rPr>
            </w:r>
            <w:r w:rsidR="00C9738F">
              <w:rPr>
                <w:noProof/>
                <w:webHidden/>
              </w:rPr>
              <w:fldChar w:fldCharType="separate"/>
            </w:r>
            <w:r w:rsidR="00C9738F">
              <w:rPr>
                <w:noProof/>
                <w:webHidden/>
              </w:rPr>
              <w:t>3</w:t>
            </w:r>
            <w:r w:rsidR="00C9738F">
              <w:rPr>
                <w:noProof/>
                <w:webHidden/>
              </w:rPr>
              <w:fldChar w:fldCharType="end"/>
            </w:r>
          </w:hyperlink>
        </w:p>
        <w:p w14:paraId="3675FEEA" w14:textId="55AFEE35" w:rsidR="00C9738F" w:rsidRDefault="00546B03">
          <w:pPr>
            <w:pStyle w:val="TOC2"/>
            <w:tabs>
              <w:tab w:val="right" w:leader="dot" w:pos="9440"/>
            </w:tabs>
            <w:rPr>
              <w:rFonts w:eastAsiaTheme="minorEastAsia"/>
              <w:noProof/>
              <w:lang w:val="en-US"/>
            </w:rPr>
          </w:pPr>
          <w:hyperlink w:anchor="_Toc506599070" w:history="1">
            <w:r w:rsidR="00C9738F" w:rsidRPr="0001716D">
              <w:rPr>
                <w:rStyle w:val="Hyperlink"/>
                <w:noProof/>
              </w:rPr>
              <w:t>Engineers Canada</w:t>
            </w:r>
            <w:r w:rsidR="00C9738F">
              <w:rPr>
                <w:noProof/>
                <w:webHidden/>
              </w:rPr>
              <w:tab/>
            </w:r>
            <w:r w:rsidR="00C9738F">
              <w:rPr>
                <w:noProof/>
                <w:webHidden/>
              </w:rPr>
              <w:fldChar w:fldCharType="begin"/>
            </w:r>
            <w:r w:rsidR="00C9738F">
              <w:rPr>
                <w:noProof/>
                <w:webHidden/>
              </w:rPr>
              <w:instrText xml:space="preserve"> PAGEREF _Toc506599070 \h </w:instrText>
            </w:r>
            <w:r w:rsidR="00C9738F">
              <w:rPr>
                <w:noProof/>
                <w:webHidden/>
              </w:rPr>
            </w:r>
            <w:r w:rsidR="00C9738F">
              <w:rPr>
                <w:noProof/>
                <w:webHidden/>
              </w:rPr>
              <w:fldChar w:fldCharType="separate"/>
            </w:r>
            <w:r w:rsidR="00C9738F">
              <w:rPr>
                <w:noProof/>
                <w:webHidden/>
              </w:rPr>
              <w:t>3</w:t>
            </w:r>
            <w:r w:rsidR="00C9738F">
              <w:rPr>
                <w:noProof/>
                <w:webHidden/>
              </w:rPr>
              <w:fldChar w:fldCharType="end"/>
            </w:r>
          </w:hyperlink>
        </w:p>
        <w:p w14:paraId="67C11E56" w14:textId="324F80BF" w:rsidR="00C9738F" w:rsidRDefault="00546B03">
          <w:pPr>
            <w:pStyle w:val="TOC2"/>
            <w:tabs>
              <w:tab w:val="right" w:leader="dot" w:pos="9440"/>
            </w:tabs>
            <w:rPr>
              <w:rFonts w:eastAsiaTheme="minorEastAsia"/>
              <w:noProof/>
              <w:lang w:val="en-US"/>
            </w:rPr>
          </w:pPr>
          <w:hyperlink w:anchor="_Toc506599071" w:history="1">
            <w:r w:rsidR="00C9738F" w:rsidRPr="0001716D">
              <w:rPr>
                <w:rStyle w:val="Hyperlink"/>
                <w:noProof/>
              </w:rPr>
              <w:t>National Council of Examiners for Engineering and Surveying [NCEES]</w:t>
            </w:r>
            <w:r w:rsidR="00C9738F">
              <w:rPr>
                <w:noProof/>
                <w:webHidden/>
              </w:rPr>
              <w:tab/>
            </w:r>
            <w:r w:rsidR="00C9738F">
              <w:rPr>
                <w:noProof/>
                <w:webHidden/>
              </w:rPr>
              <w:fldChar w:fldCharType="begin"/>
            </w:r>
            <w:r w:rsidR="00C9738F">
              <w:rPr>
                <w:noProof/>
                <w:webHidden/>
              </w:rPr>
              <w:instrText xml:space="preserve"> PAGEREF _Toc506599071 \h </w:instrText>
            </w:r>
            <w:r w:rsidR="00C9738F">
              <w:rPr>
                <w:noProof/>
                <w:webHidden/>
              </w:rPr>
            </w:r>
            <w:r w:rsidR="00C9738F">
              <w:rPr>
                <w:noProof/>
                <w:webHidden/>
              </w:rPr>
              <w:fldChar w:fldCharType="separate"/>
            </w:r>
            <w:r w:rsidR="00C9738F">
              <w:rPr>
                <w:noProof/>
                <w:webHidden/>
              </w:rPr>
              <w:t>3</w:t>
            </w:r>
            <w:r w:rsidR="00C9738F">
              <w:rPr>
                <w:noProof/>
                <w:webHidden/>
              </w:rPr>
              <w:fldChar w:fldCharType="end"/>
            </w:r>
          </w:hyperlink>
        </w:p>
        <w:p w14:paraId="76B5C672" w14:textId="54C5354E" w:rsidR="00C9738F" w:rsidRDefault="00546B03">
          <w:pPr>
            <w:pStyle w:val="TOC2"/>
            <w:tabs>
              <w:tab w:val="right" w:leader="dot" w:pos="9440"/>
            </w:tabs>
            <w:rPr>
              <w:rFonts w:eastAsiaTheme="minorEastAsia"/>
              <w:noProof/>
              <w:lang w:val="en-US"/>
            </w:rPr>
          </w:pPr>
          <w:hyperlink w:anchor="_Toc506599072" w:history="1">
            <w:r w:rsidR="00C9738F" w:rsidRPr="0001716D">
              <w:rPr>
                <w:rStyle w:val="Hyperlink"/>
                <w:noProof/>
              </w:rPr>
              <w:t>Ladislav Mihaly</w:t>
            </w:r>
            <w:r w:rsidR="00C9738F">
              <w:rPr>
                <w:noProof/>
                <w:webHidden/>
              </w:rPr>
              <w:tab/>
            </w:r>
            <w:r w:rsidR="00C9738F">
              <w:rPr>
                <w:noProof/>
                <w:webHidden/>
              </w:rPr>
              <w:fldChar w:fldCharType="begin"/>
            </w:r>
            <w:r w:rsidR="00C9738F">
              <w:rPr>
                <w:noProof/>
                <w:webHidden/>
              </w:rPr>
              <w:instrText xml:space="preserve"> PAGEREF _Toc506599072 \h </w:instrText>
            </w:r>
            <w:r w:rsidR="00C9738F">
              <w:rPr>
                <w:noProof/>
                <w:webHidden/>
              </w:rPr>
            </w:r>
            <w:r w:rsidR="00C9738F">
              <w:rPr>
                <w:noProof/>
                <w:webHidden/>
              </w:rPr>
              <w:fldChar w:fldCharType="separate"/>
            </w:r>
            <w:r w:rsidR="00C9738F">
              <w:rPr>
                <w:noProof/>
                <w:webHidden/>
              </w:rPr>
              <w:t>3</w:t>
            </w:r>
            <w:r w:rsidR="00C9738F">
              <w:rPr>
                <w:noProof/>
                <w:webHidden/>
              </w:rPr>
              <w:fldChar w:fldCharType="end"/>
            </w:r>
          </w:hyperlink>
        </w:p>
        <w:p w14:paraId="368AF143" w14:textId="590EFCA8" w:rsidR="00C9738F" w:rsidRDefault="00546B03">
          <w:pPr>
            <w:pStyle w:val="TOC2"/>
            <w:tabs>
              <w:tab w:val="right" w:leader="dot" w:pos="9440"/>
            </w:tabs>
            <w:rPr>
              <w:rFonts w:eastAsiaTheme="minorEastAsia"/>
              <w:noProof/>
              <w:lang w:val="en-US"/>
            </w:rPr>
          </w:pPr>
          <w:hyperlink w:anchor="_Toc506599073" w:history="1">
            <w:r w:rsidR="00C9738F" w:rsidRPr="0001716D">
              <w:rPr>
                <w:rStyle w:val="Hyperlink"/>
                <w:noProof/>
              </w:rPr>
              <w:t>Public</w:t>
            </w:r>
            <w:r w:rsidR="00C9738F">
              <w:rPr>
                <w:noProof/>
                <w:webHidden/>
              </w:rPr>
              <w:tab/>
            </w:r>
            <w:r w:rsidR="00C9738F">
              <w:rPr>
                <w:noProof/>
                <w:webHidden/>
              </w:rPr>
              <w:fldChar w:fldCharType="begin"/>
            </w:r>
            <w:r w:rsidR="00C9738F">
              <w:rPr>
                <w:noProof/>
                <w:webHidden/>
              </w:rPr>
              <w:instrText xml:space="preserve"> PAGEREF _Toc506599073 \h </w:instrText>
            </w:r>
            <w:r w:rsidR="00C9738F">
              <w:rPr>
                <w:noProof/>
                <w:webHidden/>
              </w:rPr>
            </w:r>
            <w:r w:rsidR="00C9738F">
              <w:rPr>
                <w:noProof/>
                <w:webHidden/>
              </w:rPr>
              <w:fldChar w:fldCharType="separate"/>
            </w:r>
            <w:r w:rsidR="00C9738F">
              <w:rPr>
                <w:noProof/>
                <w:webHidden/>
              </w:rPr>
              <w:t>4</w:t>
            </w:r>
            <w:r w:rsidR="00C9738F">
              <w:rPr>
                <w:noProof/>
                <w:webHidden/>
              </w:rPr>
              <w:fldChar w:fldCharType="end"/>
            </w:r>
          </w:hyperlink>
        </w:p>
        <w:p w14:paraId="0B5655E9" w14:textId="449B5178" w:rsidR="00C9738F" w:rsidRDefault="00546B03">
          <w:pPr>
            <w:pStyle w:val="TOC1"/>
            <w:tabs>
              <w:tab w:val="right" w:leader="dot" w:pos="9440"/>
            </w:tabs>
            <w:rPr>
              <w:rFonts w:eastAsiaTheme="minorEastAsia"/>
              <w:noProof/>
              <w:lang w:val="en-US"/>
            </w:rPr>
          </w:pPr>
          <w:hyperlink w:anchor="_Toc506599074" w:history="1">
            <w:r w:rsidR="00C9738F" w:rsidRPr="0001716D">
              <w:rPr>
                <w:rStyle w:val="Hyperlink"/>
                <w:b/>
                <w:noProof/>
              </w:rPr>
              <w:t>Background</w:t>
            </w:r>
            <w:r w:rsidR="00C9738F">
              <w:rPr>
                <w:noProof/>
                <w:webHidden/>
              </w:rPr>
              <w:tab/>
            </w:r>
            <w:r w:rsidR="00C9738F">
              <w:rPr>
                <w:noProof/>
                <w:webHidden/>
              </w:rPr>
              <w:fldChar w:fldCharType="begin"/>
            </w:r>
            <w:r w:rsidR="00C9738F">
              <w:rPr>
                <w:noProof/>
                <w:webHidden/>
              </w:rPr>
              <w:instrText xml:space="preserve"> PAGEREF _Toc506599074 \h </w:instrText>
            </w:r>
            <w:r w:rsidR="00C9738F">
              <w:rPr>
                <w:noProof/>
                <w:webHidden/>
              </w:rPr>
            </w:r>
            <w:r w:rsidR="00C9738F">
              <w:rPr>
                <w:noProof/>
                <w:webHidden/>
              </w:rPr>
              <w:fldChar w:fldCharType="separate"/>
            </w:r>
            <w:r w:rsidR="00C9738F">
              <w:rPr>
                <w:noProof/>
                <w:webHidden/>
              </w:rPr>
              <w:t>4</w:t>
            </w:r>
            <w:r w:rsidR="00C9738F">
              <w:rPr>
                <w:noProof/>
                <w:webHidden/>
              </w:rPr>
              <w:fldChar w:fldCharType="end"/>
            </w:r>
          </w:hyperlink>
        </w:p>
        <w:p w14:paraId="0A2A7276" w14:textId="3728CA62" w:rsidR="00C9738F" w:rsidRDefault="00546B03">
          <w:pPr>
            <w:pStyle w:val="TOC1"/>
            <w:tabs>
              <w:tab w:val="right" w:leader="dot" w:pos="9440"/>
            </w:tabs>
            <w:rPr>
              <w:rFonts w:eastAsiaTheme="minorEastAsia"/>
              <w:noProof/>
              <w:lang w:val="en-US"/>
            </w:rPr>
          </w:pPr>
          <w:hyperlink w:anchor="_Toc506599075" w:history="1">
            <w:r w:rsidR="00C9738F" w:rsidRPr="0001716D">
              <w:rPr>
                <w:rStyle w:val="Hyperlink"/>
                <w:b/>
                <w:noProof/>
              </w:rPr>
              <w:t>Court of Queen’s Bench Decision</w:t>
            </w:r>
            <w:r w:rsidR="00C9738F">
              <w:rPr>
                <w:noProof/>
                <w:webHidden/>
              </w:rPr>
              <w:tab/>
            </w:r>
            <w:r w:rsidR="00C9738F">
              <w:rPr>
                <w:noProof/>
                <w:webHidden/>
              </w:rPr>
              <w:fldChar w:fldCharType="begin"/>
            </w:r>
            <w:r w:rsidR="00C9738F">
              <w:rPr>
                <w:noProof/>
                <w:webHidden/>
              </w:rPr>
              <w:instrText xml:space="preserve"> PAGEREF _Toc506599075 \h </w:instrText>
            </w:r>
            <w:r w:rsidR="00C9738F">
              <w:rPr>
                <w:noProof/>
                <w:webHidden/>
              </w:rPr>
            </w:r>
            <w:r w:rsidR="00C9738F">
              <w:rPr>
                <w:noProof/>
                <w:webHidden/>
              </w:rPr>
              <w:fldChar w:fldCharType="separate"/>
            </w:r>
            <w:r w:rsidR="00C9738F">
              <w:rPr>
                <w:noProof/>
                <w:webHidden/>
              </w:rPr>
              <w:t>5</w:t>
            </w:r>
            <w:r w:rsidR="00C9738F">
              <w:rPr>
                <w:noProof/>
                <w:webHidden/>
              </w:rPr>
              <w:fldChar w:fldCharType="end"/>
            </w:r>
          </w:hyperlink>
        </w:p>
        <w:p w14:paraId="1975CFCB" w14:textId="20D55E2C" w:rsidR="00C9738F" w:rsidRDefault="00546B03">
          <w:pPr>
            <w:pStyle w:val="TOC1"/>
            <w:tabs>
              <w:tab w:val="right" w:leader="dot" w:pos="9440"/>
            </w:tabs>
            <w:rPr>
              <w:rFonts w:eastAsiaTheme="minorEastAsia"/>
              <w:noProof/>
              <w:lang w:val="en-US"/>
            </w:rPr>
          </w:pPr>
          <w:hyperlink w:anchor="_Toc506599076" w:history="1">
            <w:r w:rsidR="00C9738F" w:rsidRPr="0001716D">
              <w:rPr>
                <w:rStyle w:val="Hyperlink"/>
                <w:b/>
                <w:noProof/>
              </w:rPr>
              <w:t>Reflection and Opinion</w:t>
            </w:r>
            <w:r w:rsidR="00C9738F">
              <w:rPr>
                <w:noProof/>
                <w:webHidden/>
              </w:rPr>
              <w:tab/>
            </w:r>
            <w:r w:rsidR="00C9738F">
              <w:rPr>
                <w:noProof/>
                <w:webHidden/>
              </w:rPr>
              <w:fldChar w:fldCharType="begin"/>
            </w:r>
            <w:r w:rsidR="00C9738F">
              <w:rPr>
                <w:noProof/>
                <w:webHidden/>
              </w:rPr>
              <w:instrText xml:space="preserve"> PAGEREF _Toc506599076 \h </w:instrText>
            </w:r>
            <w:r w:rsidR="00C9738F">
              <w:rPr>
                <w:noProof/>
                <w:webHidden/>
              </w:rPr>
            </w:r>
            <w:r w:rsidR="00C9738F">
              <w:rPr>
                <w:noProof/>
                <w:webHidden/>
              </w:rPr>
              <w:fldChar w:fldCharType="separate"/>
            </w:r>
            <w:r w:rsidR="00C9738F">
              <w:rPr>
                <w:noProof/>
                <w:webHidden/>
              </w:rPr>
              <w:t>7</w:t>
            </w:r>
            <w:r w:rsidR="00C9738F">
              <w:rPr>
                <w:noProof/>
                <w:webHidden/>
              </w:rPr>
              <w:fldChar w:fldCharType="end"/>
            </w:r>
          </w:hyperlink>
        </w:p>
        <w:p w14:paraId="57B157B1" w14:textId="444715C5" w:rsidR="00C9738F" w:rsidRDefault="00546B03">
          <w:pPr>
            <w:pStyle w:val="TOC1"/>
            <w:tabs>
              <w:tab w:val="right" w:leader="dot" w:pos="9440"/>
            </w:tabs>
            <w:rPr>
              <w:rFonts w:eastAsiaTheme="minorEastAsia"/>
              <w:noProof/>
              <w:lang w:val="en-US"/>
            </w:rPr>
          </w:pPr>
          <w:hyperlink w:anchor="_Toc506599077" w:history="1">
            <w:r w:rsidR="00C9738F" w:rsidRPr="0001716D">
              <w:rPr>
                <w:rStyle w:val="Hyperlink"/>
                <w:b/>
                <w:noProof/>
              </w:rPr>
              <w:t>References</w:t>
            </w:r>
            <w:r w:rsidR="00C9738F">
              <w:rPr>
                <w:noProof/>
                <w:webHidden/>
              </w:rPr>
              <w:tab/>
            </w:r>
            <w:r w:rsidR="00C9738F">
              <w:rPr>
                <w:noProof/>
                <w:webHidden/>
              </w:rPr>
              <w:fldChar w:fldCharType="begin"/>
            </w:r>
            <w:r w:rsidR="00C9738F">
              <w:rPr>
                <w:noProof/>
                <w:webHidden/>
              </w:rPr>
              <w:instrText xml:space="preserve"> PAGEREF _Toc506599077 \h </w:instrText>
            </w:r>
            <w:r w:rsidR="00C9738F">
              <w:rPr>
                <w:noProof/>
                <w:webHidden/>
              </w:rPr>
            </w:r>
            <w:r w:rsidR="00C9738F">
              <w:rPr>
                <w:noProof/>
                <w:webHidden/>
              </w:rPr>
              <w:fldChar w:fldCharType="separate"/>
            </w:r>
            <w:r w:rsidR="00C9738F">
              <w:rPr>
                <w:noProof/>
                <w:webHidden/>
              </w:rPr>
              <w:t>9</w:t>
            </w:r>
            <w:r w:rsidR="00C9738F">
              <w:rPr>
                <w:noProof/>
                <w:webHidden/>
              </w:rPr>
              <w:fldChar w:fldCharType="end"/>
            </w:r>
          </w:hyperlink>
        </w:p>
        <w:p w14:paraId="307A1CE8" w14:textId="3CD1CD71" w:rsidR="00603905" w:rsidRPr="00CF0BBA" w:rsidRDefault="00603905" w:rsidP="00A30F31">
          <w:pPr>
            <w:spacing w:after="240" w:line="240" w:lineRule="auto"/>
            <w:jc w:val="both"/>
          </w:pPr>
          <w:r w:rsidRPr="00CF0BBA">
            <w:rPr>
              <w:b/>
              <w:bCs/>
              <w:noProof/>
            </w:rPr>
            <w:fldChar w:fldCharType="end"/>
          </w:r>
        </w:p>
      </w:sdtContent>
    </w:sdt>
    <w:p w14:paraId="0BB9A04D" w14:textId="77777777" w:rsidR="0017016C" w:rsidRPr="00CF0BBA" w:rsidRDefault="0017016C" w:rsidP="00A30F31">
      <w:pPr>
        <w:pStyle w:val="Heading1"/>
        <w:spacing w:before="0" w:after="240" w:line="240" w:lineRule="auto"/>
        <w:jc w:val="both"/>
        <w:rPr>
          <w:b/>
          <w:u w:val="single"/>
        </w:rPr>
      </w:pPr>
      <w:r w:rsidRPr="00CF0BBA">
        <w:rPr>
          <w:b/>
          <w:u w:val="single"/>
        </w:rPr>
        <w:br w:type="page"/>
      </w:r>
    </w:p>
    <w:p w14:paraId="72A87157" w14:textId="7D1E3A90" w:rsidR="00A56590" w:rsidRPr="00CF0BBA" w:rsidRDefault="00A56590" w:rsidP="00A30F31">
      <w:pPr>
        <w:pStyle w:val="Heading1"/>
        <w:spacing w:after="240" w:line="240" w:lineRule="auto"/>
        <w:jc w:val="both"/>
        <w:rPr>
          <w:b/>
          <w:u w:val="single"/>
        </w:rPr>
      </w:pPr>
      <w:bookmarkStart w:id="2" w:name="_Toc506599063"/>
      <w:r w:rsidRPr="00CF0BBA">
        <w:rPr>
          <w:b/>
          <w:u w:val="single"/>
        </w:rPr>
        <w:lastRenderedPageBreak/>
        <w:t>Introduction</w:t>
      </w:r>
      <w:bookmarkEnd w:id="2"/>
    </w:p>
    <w:p w14:paraId="15CA675D" w14:textId="378770A0" w:rsidR="00A56590" w:rsidRPr="00CF0BBA" w:rsidRDefault="003D06D1" w:rsidP="00A30F31">
      <w:pPr>
        <w:spacing w:before="240" w:after="240" w:line="240" w:lineRule="auto"/>
        <w:ind w:firstLine="720"/>
        <w:jc w:val="both"/>
        <w:rPr>
          <w:sz w:val="24"/>
          <w:szCs w:val="24"/>
        </w:rPr>
      </w:pPr>
      <w:r w:rsidRPr="00CF0BBA">
        <w:rPr>
          <w:sz w:val="24"/>
          <w:szCs w:val="24"/>
        </w:rPr>
        <w:t xml:space="preserve">This report will delve into one of the most controversial regulatory cases of 2016 in Canada as it greatly pertains to public protection. The </w:t>
      </w:r>
      <w:r w:rsidR="00C75733" w:rsidRPr="00CF0BBA">
        <w:rPr>
          <w:sz w:val="24"/>
          <w:szCs w:val="24"/>
        </w:rPr>
        <w:t xml:space="preserve">case proceedings of the Mr. Mihaly v. </w:t>
      </w:r>
      <w:r w:rsidR="001B12F7" w:rsidRPr="00CF0BBA">
        <w:rPr>
          <w:sz w:val="24"/>
          <w:szCs w:val="24"/>
        </w:rPr>
        <w:t>Association of Professional Engineers and Geoscientists of Alberta [</w:t>
      </w:r>
      <w:r w:rsidR="00C75733" w:rsidRPr="00CF0BBA">
        <w:rPr>
          <w:sz w:val="24"/>
          <w:szCs w:val="24"/>
        </w:rPr>
        <w:t>APEGA</w:t>
      </w:r>
      <w:r w:rsidR="001B12F7" w:rsidRPr="00CF0BBA">
        <w:rPr>
          <w:sz w:val="24"/>
          <w:szCs w:val="24"/>
        </w:rPr>
        <w:t>]</w:t>
      </w:r>
      <w:r w:rsidRPr="00CF0BBA">
        <w:rPr>
          <w:sz w:val="24"/>
          <w:szCs w:val="24"/>
        </w:rPr>
        <w:t xml:space="preserve"> will be examined</w:t>
      </w:r>
      <w:r w:rsidR="00C75733" w:rsidRPr="00CF0BBA">
        <w:rPr>
          <w:sz w:val="24"/>
          <w:szCs w:val="24"/>
        </w:rPr>
        <w:t xml:space="preserve">. </w:t>
      </w:r>
      <w:r w:rsidR="001B12F7" w:rsidRPr="00CF0BBA">
        <w:rPr>
          <w:sz w:val="24"/>
          <w:szCs w:val="24"/>
        </w:rPr>
        <w:t xml:space="preserve">The profession of engineering in Canada is a self-regulated profession. In Alberta, APEGA is the governing body for the engineering and geocscience standards and practices. </w:t>
      </w:r>
      <w:r w:rsidRPr="00CF0BBA">
        <w:rPr>
          <w:sz w:val="24"/>
          <w:szCs w:val="24"/>
        </w:rPr>
        <w:t xml:space="preserve">Mr. Mihaly is an internationally trained engineer who filed a complaint with the Alberta Human Rights Commission [AHRC] on the basis of discrimination based on place of origin, contributing to being unreasonably disadvantaged in his application for a license to practice. </w:t>
      </w:r>
    </w:p>
    <w:p w14:paraId="40CD5588" w14:textId="5259A62F" w:rsidR="001A3C08" w:rsidRDefault="001A3C08" w:rsidP="00A30F31">
      <w:pPr>
        <w:spacing w:before="240" w:after="240" w:line="240" w:lineRule="auto"/>
        <w:ind w:firstLine="720"/>
        <w:jc w:val="both"/>
        <w:rPr>
          <w:sz w:val="24"/>
          <w:szCs w:val="24"/>
        </w:rPr>
      </w:pPr>
      <w:r w:rsidRPr="00CF0BBA">
        <w:rPr>
          <w:sz w:val="24"/>
          <w:szCs w:val="24"/>
        </w:rPr>
        <w:t xml:space="preserve">This report will discuss: the stakeholders that would ultimately be affected and influenced by the court rulings; the background of the case including the Tribunal decision; and a detailed transcript of the Court of Queen’s Bench [CQB] of Alberta’s decision with regards to APEGA’s appeal. The report will be concluded with a reflection on the decisions made by </w:t>
      </w:r>
      <w:r w:rsidR="003D06D1" w:rsidRPr="00CF0BBA">
        <w:rPr>
          <w:sz w:val="24"/>
          <w:szCs w:val="24"/>
        </w:rPr>
        <w:t xml:space="preserve">the </w:t>
      </w:r>
      <w:r w:rsidRPr="00CF0BBA">
        <w:rPr>
          <w:sz w:val="24"/>
          <w:szCs w:val="24"/>
        </w:rPr>
        <w:t xml:space="preserve">AHRC Tribunal, </w:t>
      </w:r>
      <w:r w:rsidR="003D06D1" w:rsidRPr="00CF0BBA">
        <w:rPr>
          <w:sz w:val="24"/>
          <w:szCs w:val="24"/>
        </w:rPr>
        <w:t xml:space="preserve">the CQB, and the Court of Appeal of Alberta, along with opinions on granting accommodation to foreign-trained engineers and geoscientists. </w:t>
      </w:r>
    </w:p>
    <w:p w14:paraId="54494293" w14:textId="77777777" w:rsidR="00FA7E72" w:rsidRPr="00CF0BBA" w:rsidRDefault="00FA7E72" w:rsidP="00A30F31">
      <w:pPr>
        <w:spacing w:before="240" w:after="240" w:line="240" w:lineRule="auto"/>
        <w:ind w:firstLine="720"/>
        <w:jc w:val="both"/>
        <w:rPr>
          <w:sz w:val="24"/>
          <w:szCs w:val="24"/>
        </w:rPr>
      </w:pPr>
    </w:p>
    <w:p w14:paraId="7D9350AF" w14:textId="1775A325" w:rsidR="00A56590" w:rsidRPr="00CF0BBA" w:rsidRDefault="00A56590" w:rsidP="00A30F31">
      <w:pPr>
        <w:pStyle w:val="Heading1"/>
        <w:spacing w:after="240" w:line="240" w:lineRule="auto"/>
        <w:jc w:val="both"/>
        <w:rPr>
          <w:b/>
          <w:u w:val="single"/>
        </w:rPr>
      </w:pPr>
      <w:bookmarkStart w:id="3" w:name="_Toc506599064"/>
      <w:r w:rsidRPr="00CF0BBA">
        <w:rPr>
          <w:b/>
          <w:u w:val="single"/>
        </w:rPr>
        <w:t>Stakeholders</w:t>
      </w:r>
      <w:bookmarkEnd w:id="3"/>
      <w:r w:rsidRPr="00CF0BBA">
        <w:rPr>
          <w:b/>
          <w:u w:val="single"/>
        </w:rPr>
        <w:t xml:space="preserve"> </w:t>
      </w:r>
    </w:p>
    <w:p w14:paraId="5546CCDD" w14:textId="2C1ABED0" w:rsidR="00A56590" w:rsidRPr="00CF0BBA" w:rsidRDefault="00457A5E" w:rsidP="00A30F31">
      <w:pPr>
        <w:pStyle w:val="Heading2"/>
        <w:spacing w:before="240" w:after="240" w:line="240" w:lineRule="auto"/>
        <w:jc w:val="both"/>
        <w:rPr>
          <w:sz w:val="28"/>
        </w:rPr>
      </w:pPr>
      <w:bookmarkStart w:id="4" w:name="_Hlk506585312"/>
      <w:bookmarkStart w:id="5" w:name="_Toc506599065"/>
      <w:r w:rsidRPr="00CF0BBA">
        <w:rPr>
          <w:sz w:val="28"/>
        </w:rPr>
        <w:t>Association of Professional Engineers and Geoscientists of Alberta</w:t>
      </w:r>
      <w:bookmarkEnd w:id="4"/>
      <w:r w:rsidRPr="00CF0BBA">
        <w:rPr>
          <w:sz w:val="28"/>
        </w:rPr>
        <w:t xml:space="preserve"> [</w:t>
      </w:r>
      <w:r w:rsidR="00A56590" w:rsidRPr="00CF0BBA">
        <w:rPr>
          <w:sz w:val="28"/>
        </w:rPr>
        <w:t>APEGA</w:t>
      </w:r>
      <w:r w:rsidRPr="00CF0BBA">
        <w:rPr>
          <w:sz w:val="28"/>
        </w:rPr>
        <w:t>]</w:t>
      </w:r>
      <w:bookmarkEnd w:id="5"/>
    </w:p>
    <w:p w14:paraId="2B80043F" w14:textId="4B509428" w:rsidR="0021002E" w:rsidRPr="00CF0BBA" w:rsidRDefault="0021002E" w:rsidP="00A30F31">
      <w:pPr>
        <w:spacing w:before="240" w:after="240" w:line="240" w:lineRule="auto"/>
        <w:ind w:firstLine="720"/>
        <w:jc w:val="both"/>
        <w:rPr>
          <w:sz w:val="24"/>
        </w:rPr>
      </w:pPr>
      <w:r w:rsidRPr="00CF0BBA">
        <w:rPr>
          <w:sz w:val="24"/>
        </w:rPr>
        <w:t>APEGA</w:t>
      </w:r>
      <w:r w:rsidR="00C40273" w:rsidRPr="00CF0BBA">
        <w:rPr>
          <w:sz w:val="24"/>
        </w:rPr>
        <w:t xml:space="preserve"> </w:t>
      </w:r>
      <w:r w:rsidRPr="00CF0BBA">
        <w:rPr>
          <w:sz w:val="24"/>
        </w:rPr>
        <w:t>is a regulating body that upholds and oversees Alberta’s engineering and geoscience standards and practices</w:t>
      </w:r>
      <w:r w:rsidR="007105E9" w:rsidRPr="00CF0BBA">
        <w:rPr>
          <w:sz w:val="24"/>
        </w:rPr>
        <w:t xml:space="preserve"> on behalf of the Government of Alberta through the Engineering and Geoscience Professions </w:t>
      </w:r>
      <w:r w:rsidR="00C40273" w:rsidRPr="00CF0BBA">
        <w:rPr>
          <w:sz w:val="24"/>
        </w:rPr>
        <w:t xml:space="preserve">[EGP] </w:t>
      </w:r>
      <w:r w:rsidR="007105E9" w:rsidRPr="00CF0BBA">
        <w:rPr>
          <w:sz w:val="24"/>
        </w:rPr>
        <w:t>Act</w:t>
      </w:r>
      <w:r w:rsidR="00C270A1" w:rsidRPr="00CF0BBA">
        <w:rPr>
          <w:sz w:val="24"/>
        </w:rPr>
        <w:t xml:space="preserve"> </w:t>
      </w:r>
      <w:sdt>
        <w:sdtPr>
          <w:rPr>
            <w:sz w:val="24"/>
          </w:rPr>
          <w:id w:val="61228126"/>
          <w:citation/>
        </w:sdtPr>
        <w:sdtEndPr/>
        <w:sdtContent>
          <w:r w:rsidR="00C270A1" w:rsidRPr="00CF0BBA">
            <w:rPr>
              <w:sz w:val="24"/>
            </w:rPr>
            <w:fldChar w:fldCharType="begin"/>
          </w:r>
          <w:r w:rsidR="00C270A1" w:rsidRPr="00CF0BBA">
            <w:rPr>
              <w:sz w:val="24"/>
              <w:lang w:val="en-US"/>
            </w:rPr>
            <w:instrText xml:space="preserve"> CITATION APE18 \l 1033 </w:instrText>
          </w:r>
          <w:r w:rsidR="00C270A1" w:rsidRPr="00CF0BBA">
            <w:rPr>
              <w:sz w:val="24"/>
            </w:rPr>
            <w:fldChar w:fldCharType="separate"/>
          </w:r>
          <w:r w:rsidR="00DE6EEF" w:rsidRPr="00CF0BBA">
            <w:rPr>
              <w:noProof/>
              <w:sz w:val="24"/>
              <w:lang w:val="en-US"/>
            </w:rPr>
            <w:t>[1]</w:t>
          </w:r>
          <w:r w:rsidR="00C270A1" w:rsidRPr="00CF0BBA">
            <w:rPr>
              <w:sz w:val="24"/>
            </w:rPr>
            <w:fldChar w:fldCharType="end"/>
          </w:r>
        </w:sdtContent>
      </w:sdt>
      <w:r w:rsidR="001817FD">
        <w:rPr>
          <w:sz w:val="24"/>
        </w:rPr>
        <w:t>.</w:t>
      </w:r>
      <w:r w:rsidR="00C40273" w:rsidRPr="00CF0BBA">
        <w:rPr>
          <w:sz w:val="24"/>
        </w:rPr>
        <w:t xml:space="preserve"> The EGP Act</w:t>
      </w:r>
      <w:r w:rsidR="00DA45F1" w:rsidRPr="00CF0BBA">
        <w:rPr>
          <w:sz w:val="24"/>
        </w:rPr>
        <w:t xml:space="preserve"> serves to protect </w:t>
      </w:r>
      <w:r w:rsidR="00C40273" w:rsidRPr="00CF0BBA">
        <w:rPr>
          <w:sz w:val="24"/>
        </w:rPr>
        <w:t>public health</w:t>
      </w:r>
      <w:r w:rsidR="00DA45F1" w:rsidRPr="00CF0BBA">
        <w:rPr>
          <w:sz w:val="24"/>
        </w:rPr>
        <w:t>, welfare, and environment</w:t>
      </w:r>
      <w:r w:rsidR="00C40273" w:rsidRPr="00CF0BBA">
        <w:rPr>
          <w:sz w:val="24"/>
        </w:rPr>
        <w:t xml:space="preserve">, and holds safety as paramount. </w:t>
      </w:r>
      <w:r w:rsidR="007105E9" w:rsidRPr="00CF0BBA">
        <w:rPr>
          <w:sz w:val="24"/>
        </w:rPr>
        <w:t>The association is</w:t>
      </w:r>
      <w:r w:rsidR="00C270A1" w:rsidRPr="00CF0BBA">
        <w:rPr>
          <w:sz w:val="24"/>
        </w:rPr>
        <w:t xml:space="preserve">  </w:t>
      </w:r>
      <w:r w:rsidR="007105E9" w:rsidRPr="00CF0BBA">
        <w:rPr>
          <w:sz w:val="24"/>
        </w:rPr>
        <w:t xml:space="preserve"> responsible for licensing individuals </w:t>
      </w:r>
      <w:r w:rsidR="00DA45F1" w:rsidRPr="00CF0BBA">
        <w:rPr>
          <w:sz w:val="24"/>
        </w:rPr>
        <w:t xml:space="preserve">with the desire to </w:t>
      </w:r>
      <w:r w:rsidR="007105E9" w:rsidRPr="00CF0BBA">
        <w:rPr>
          <w:sz w:val="24"/>
        </w:rPr>
        <w:t xml:space="preserve">practice engineering and geoscience in Alberta and ensuring that </w:t>
      </w:r>
      <w:r w:rsidR="00581C2B" w:rsidRPr="00CF0BBA">
        <w:rPr>
          <w:sz w:val="24"/>
        </w:rPr>
        <w:t>every qualifying member practices within APEGA’s standard of ethical, professional, and technical competency</w:t>
      </w:r>
      <w:r w:rsidR="00DA45F1" w:rsidRPr="00CF0BBA">
        <w:rPr>
          <w:sz w:val="24"/>
        </w:rPr>
        <w:t xml:space="preserve">. </w:t>
      </w:r>
      <w:r w:rsidR="00437669" w:rsidRPr="00CF0BBA">
        <w:rPr>
          <w:sz w:val="24"/>
        </w:rPr>
        <w:t xml:space="preserve">APEGA’s secondary responsibilities include taking action against individuals that practice without a license or permits and support members in their professional practices </w:t>
      </w:r>
      <w:sdt>
        <w:sdtPr>
          <w:rPr>
            <w:sz w:val="24"/>
          </w:rPr>
          <w:id w:val="1722563731"/>
          <w:citation/>
        </w:sdtPr>
        <w:sdtEndPr/>
        <w:sdtContent>
          <w:r w:rsidR="00C270A1" w:rsidRPr="00CF0BBA">
            <w:rPr>
              <w:sz w:val="24"/>
            </w:rPr>
            <w:fldChar w:fldCharType="begin"/>
          </w:r>
          <w:r w:rsidR="00C270A1" w:rsidRPr="00CF0BBA">
            <w:rPr>
              <w:sz w:val="24"/>
              <w:lang w:val="en-US"/>
            </w:rPr>
            <w:instrText xml:space="preserve">CITATION APE181 \l 1033 </w:instrText>
          </w:r>
          <w:r w:rsidR="00C270A1" w:rsidRPr="00CF0BBA">
            <w:rPr>
              <w:sz w:val="24"/>
            </w:rPr>
            <w:fldChar w:fldCharType="separate"/>
          </w:r>
          <w:r w:rsidR="00DE6EEF" w:rsidRPr="00CF0BBA">
            <w:rPr>
              <w:noProof/>
              <w:sz w:val="24"/>
              <w:lang w:val="en-US"/>
            </w:rPr>
            <w:t>[2]</w:t>
          </w:r>
          <w:r w:rsidR="00C270A1" w:rsidRPr="00CF0BBA">
            <w:rPr>
              <w:sz w:val="24"/>
            </w:rPr>
            <w:fldChar w:fldCharType="end"/>
          </w:r>
        </w:sdtContent>
      </w:sdt>
      <w:r w:rsidR="001817FD">
        <w:rPr>
          <w:sz w:val="24"/>
        </w:rPr>
        <w:t>.</w:t>
      </w:r>
    </w:p>
    <w:p w14:paraId="4FB3ACBA" w14:textId="7D9FD6C1" w:rsidR="007D359A" w:rsidRPr="00CF0BBA" w:rsidRDefault="007D359A" w:rsidP="00A30F31">
      <w:pPr>
        <w:pStyle w:val="Heading2"/>
        <w:spacing w:before="240" w:after="240" w:line="240" w:lineRule="auto"/>
        <w:jc w:val="both"/>
        <w:rPr>
          <w:sz w:val="28"/>
        </w:rPr>
      </w:pPr>
      <w:bookmarkStart w:id="6" w:name="_Toc506599066"/>
      <w:r w:rsidRPr="00CF0BBA">
        <w:rPr>
          <w:sz w:val="28"/>
        </w:rPr>
        <w:t>APEGA Board of Examiners</w:t>
      </w:r>
      <w:bookmarkEnd w:id="6"/>
      <w:r w:rsidRPr="00CF0BBA">
        <w:rPr>
          <w:sz w:val="28"/>
        </w:rPr>
        <w:t xml:space="preserve"> </w:t>
      </w:r>
    </w:p>
    <w:p w14:paraId="73B4374F" w14:textId="669AAF4A" w:rsidR="007D359A" w:rsidRPr="00CF0BBA" w:rsidRDefault="00FB652F" w:rsidP="00A30F31">
      <w:pPr>
        <w:spacing w:before="240" w:after="240" w:line="240" w:lineRule="auto"/>
        <w:ind w:firstLine="720"/>
        <w:jc w:val="both"/>
        <w:rPr>
          <w:sz w:val="24"/>
        </w:rPr>
      </w:pPr>
      <w:r w:rsidRPr="00CF0BBA">
        <w:rPr>
          <w:sz w:val="24"/>
        </w:rPr>
        <w:t>Comprised of 60 to 70 members</w:t>
      </w:r>
      <w:r w:rsidR="00282BC6" w:rsidRPr="00CF0BBA">
        <w:rPr>
          <w:sz w:val="24"/>
        </w:rPr>
        <w:t>, including a handful of public members appointed by the Minister of Labour</w:t>
      </w:r>
      <w:r w:rsidRPr="00CF0BBA">
        <w:rPr>
          <w:sz w:val="24"/>
        </w:rPr>
        <w:t xml:space="preserve">, the Board of </w:t>
      </w:r>
      <w:r w:rsidR="00282BC6" w:rsidRPr="00CF0BBA">
        <w:rPr>
          <w:sz w:val="24"/>
        </w:rPr>
        <w:t>Examiners establishes admission standards and qualifications for the engineering and geoscience professions. Their duties include: developing standards, policies, and procedures that coincide with the Engineering and Geoscience Professions Act</w:t>
      </w:r>
      <w:r w:rsidR="00052210" w:rsidRPr="00CF0BBA">
        <w:rPr>
          <w:sz w:val="24"/>
        </w:rPr>
        <w:t>; reviewing applications for APEGA memberships and determining if the application meets the requirements of the Act; and developing and maintaining the exam syllabi</w:t>
      </w:r>
      <w:r w:rsidR="00C270A1" w:rsidRPr="00CF0BBA">
        <w:rPr>
          <w:sz w:val="28"/>
        </w:rPr>
        <w:t xml:space="preserve"> </w:t>
      </w:r>
      <w:sdt>
        <w:sdtPr>
          <w:rPr>
            <w:sz w:val="28"/>
          </w:rPr>
          <w:id w:val="909050771"/>
          <w:citation/>
        </w:sdtPr>
        <w:sdtEndPr/>
        <w:sdtContent>
          <w:r w:rsidR="00C270A1" w:rsidRPr="00CF0BBA">
            <w:rPr>
              <w:sz w:val="28"/>
            </w:rPr>
            <w:fldChar w:fldCharType="begin"/>
          </w:r>
          <w:r w:rsidR="00C270A1" w:rsidRPr="00CF0BBA">
            <w:rPr>
              <w:sz w:val="24"/>
              <w:lang w:val="en-US"/>
            </w:rPr>
            <w:instrText xml:space="preserve"> CITATION APE182 \l 1033 </w:instrText>
          </w:r>
          <w:r w:rsidR="00C270A1" w:rsidRPr="00CF0BBA">
            <w:rPr>
              <w:sz w:val="28"/>
            </w:rPr>
            <w:fldChar w:fldCharType="separate"/>
          </w:r>
          <w:r w:rsidR="00DE6EEF" w:rsidRPr="00CF0BBA">
            <w:rPr>
              <w:noProof/>
              <w:sz w:val="24"/>
              <w:lang w:val="en-US"/>
            </w:rPr>
            <w:t>[3]</w:t>
          </w:r>
          <w:r w:rsidR="00C270A1" w:rsidRPr="00CF0BBA">
            <w:rPr>
              <w:sz w:val="28"/>
            </w:rPr>
            <w:fldChar w:fldCharType="end"/>
          </w:r>
        </w:sdtContent>
      </w:sdt>
      <w:r w:rsidR="001817FD">
        <w:rPr>
          <w:sz w:val="28"/>
        </w:rPr>
        <w:t>.</w:t>
      </w:r>
    </w:p>
    <w:p w14:paraId="2D9A632C" w14:textId="6D3AEDCC" w:rsidR="00397502" w:rsidRPr="00CF0BBA" w:rsidRDefault="00397502" w:rsidP="00A30F31">
      <w:pPr>
        <w:pStyle w:val="Heading2"/>
        <w:spacing w:before="240" w:after="240" w:line="240" w:lineRule="auto"/>
        <w:jc w:val="both"/>
        <w:rPr>
          <w:sz w:val="28"/>
        </w:rPr>
      </w:pPr>
      <w:bookmarkStart w:id="7" w:name="_Toc506599067"/>
      <w:bookmarkStart w:id="8" w:name="_Hlk506586053"/>
      <w:r w:rsidRPr="00CF0BBA">
        <w:rPr>
          <w:sz w:val="28"/>
        </w:rPr>
        <w:lastRenderedPageBreak/>
        <w:t>Alberta Human Rights Commission [AHRC]</w:t>
      </w:r>
      <w:bookmarkEnd w:id="7"/>
    </w:p>
    <w:bookmarkEnd w:id="8"/>
    <w:p w14:paraId="4E6192E7" w14:textId="689F2437" w:rsidR="00457A5E" w:rsidRPr="00CF0BBA" w:rsidRDefault="00C91A8A" w:rsidP="00A30F31">
      <w:pPr>
        <w:spacing w:before="240" w:after="240" w:line="240" w:lineRule="auto"/>
        <w:ind w:firstLine="720"/>
        <w:jc w:val="both"/>
        <w:rPr>
          <w:sz w:val="24"/>
        </w:rPr>
      </w:pPr>
      <w:r w:rsidRPr="00CF0BBA">
        <w:rPr>
          <w:sz w:val="24"/>
        </w:rPr>
        <w:t xml:space="preserve">The Alberta Human Rights Commission was established under the Alberta Human Rights [AHR] Act. The AHR Act protects Albertans from discrimination and ensures that all are given equal opportunity to work, live, and be part of a community. Moreover, they engage communities by public education and providing public information and consultation services. </w:t>
      </w:r>
      <w:r w:rsidR="007063E4" w:rsidRPr="00CF0BBA">
        <w:rPr>
          <w:sz w:val="24"/>
        </w:rPr>
        <w:t>The commission settles and resolves discrimination complaints through human rights tribunal and court hearings</w:t>
      </w:r>
      <w:r w:rsidR="001817FD">
        <w:rPr>
          <w:sz w:val="24"/>
        </w:rPr>
        <w:t xml:space="preserve"> </w:t>
      </w:r>
      <w:sdt>
        <w:sdtPr>
          <w:rPr>
            <w:sz w:val="28"/>
          </w:rPr>
          <w:id w:val="923843738"/>
          <w:citation/>
        </w:sdtPr>
        <w:sdtEndPr/>
        <w:sdtContent>
          <w:r w:rsidR="00C270A1" w:rsidRPr="00CF0BBA">
            <w:rPr>
              <w:sz w:val="28"/>
            </w:rPr>
            <w:fldChar w:fldCharType="begin"/>
          </w:r>
          <w:r w:rsidR="00C270A1" w:rsidRPr="00CF0BBA">
            <w:rPr>
              <w:sz w:val="24"/>
              <w:lang w:val="en-US"/>
            </w:rPr>
            <w:instrText xml:space="preserve"> CITATION Alb18 \l 1033 </w:instrText>
          </w:r>
          <w:r w:rsidR="00C270A1" w:rsidRPr="00CF0BBA">
            <w:rPr>
              <w:sz w:val="28"/>
            </w:rPr>
            <w:fldChar w:fldCharType="separate"/>
          </w:r>
          <w:r w:rsidR="00DE6EEF" w:rsidRPr="00CF0BBA">
            <w:rPr>
              <w:noProof/>
              <w:sz w:val="24"/>
              <w:lang w:val="en-US"/>
            </w:rPr>
            <w:t>[4]</w:t>
          </w:r>
          <w:r w:rsidR="00C270A1" w:rsidRPr="00CF0BBA">
            <w:rPr>
              <w:sz w:val="28"/>
            </w:rPr>
            <w:fldChar w:fldCharType="end"/>
          </w:r>
        </w:sdtContent>
      </w:sdt>
      <w:r w:rsidR="001817FD">
        <w:rPr>
          <w:sz w:val="28"/>
        </w:rPr>
        <w:t>.</w:t>
      </w:r>
    </w:p>
    <w:p w14:paraId="621E296D" w14:textId="06A39167" w:rsidR="00397502" w:rsidRPr="00CF0BBA" w:rsidRDefault="00397502" w:rsidP="00A30F31">
      <w:pPr>
        <w:pStyle w:val="Heading2"/>
        <w:spacing w:before="240" w:after="240" w:line="240" w:lineRule="auto"/>
        <w:jc w:val="both"/>
        <w:rPr>
          <w:sz w:val="28"/>
        </w:rPr>
      </w:pPr>
      <w:bookmarkStart w:id="9" w:name="_Toc506599068"/>
      <w:r w:rsidRPr="00CF0BBA">
        <w:rPr>
          <w:sz w:val="28"/>
        </w:rPr>
        <w:t>Court of Queen’s Bench</w:t>
      </w:r>
      <w:r w:rsidR="007A20F3">
        <w:rPr>
          <w:sz w:val="28"/>
        </w:rPr>
        <w:t xml:space="preserve"> [CQB]</w:t>
      </w:r>
      <w:r w:rsidR="00B24F8D" w:rsidRPr="00CF0BBA">
        <w:rPr>
          <w:sz w:val="28"/>
        </w:rPr>
        <w:t xml:space="preserve"> of Alberta</w:t>
      </w:r>
      <w:bookmarkEnd w:id="9"/>
      <w:r w:rsidR="007A20F3">
        <w:rPr>
          <w:sz w:val="28"/>
        </w:rPr>
        <w:t xml:space="preserve"> </w:t>
      </w:r>
    </w:p>
    <w:p w14:paraId="08D0DD25" w14:textId="236A656A" w:rsidR="00457A5E" w:rsidRPr="00CF0BBA" w:rsidRDefault="00326EC8" w:rsidP="00A30F31">
      <w:pPr>
        <w:spacing w:before="240" w:after="240" w:line="240" w:lineRule="auto"/>
        <w:ind w:firstLine="720"/>
        <w:jc w:val="both"/>
        <w:rPr>
          <w:sz w:val="24"/>
        </w:rPr>
      </w:pPr>
      <w:r w:rsidRPr="00CF0BBA">
        <w:rPr>
          <w:sz w:val="24"/>
        </w:rPr>
        <w:t xml:space="preserve">The Court of Queen’s Bench </w:t>
      </w:r>
      <w:r w:rsidR="0066711A" w:rsidRPr="00CF0BBA">
        <w:rPr>
          <w:sz w:val="24"/>
        </w:rPr>
        <w:t>[C</w:t>
      </w:r>
      <w:r w:rsidR="000C4831" w:rsidRPr="00CF0BBA">
        <w:rPr>
          <w:sz w:val="24"/>
        </w:rPr>
        <w:t>QB</w:t>
      </w:r>
      <w:r w:rsidR="0066711A" w:rsidRPr="00CF0BBA">
        <w:rPr>
          <w:sz w:val="24"/>
        </w:rPr>
        <w:t xml:space="preserve">] </w:t>
      </w:r>
      <w:r w:rsidRPr="00CF0BBA">
        <w:rPr>
          <w:sz w:val="24"/>
        </w:rPr>
        <w:t xml:space="preserve">is </w:t>
      </w:r>
      <w:r w:rsidR="00B24F8D" w:rsidRPr="00CF0BBA">
        <w:rPr>
          <w:sz w:val="24"/>
        </w:rPr>
        <w:t xml:space="preserve">one of three courts in Alberta established by provincial legislation and administered by the Minister of Justice </w:t>
      </w:r>
      <w:sdt>
        <w:sdtPr>
          <w:rPr>
            <w:sz w:val="24"/>
          </w:rPr>
          <w:id w:val="1278140342"/>
          <w:citation/>
        </w:sdtPr>
        <w:sdtEndPr/>
        <w:sdtContent>
          <w:r w:rsidR="00C270A1" w:rsidRPr="00CF0BBA">
            <w:rPr>
              <w:sz w:val="24"/>
            </w:rPr>
            <w:fldChar w:fldCharType="begin"/>
          </w:r>
          <w:r w:rsidR="00C270A1" w:rsidRPr="00CF0BBA">
            <w:rPr>
              <w:sz w:val="24"/>
              <w:lang w:val="en-US"/>
            </w:rPr>
            <w:instrText xml:space="preserve"> CITATION Alb181 \l 1033 </w:instrText>
          </w:r>
          <w:r w:rsidR="00C270A1" w:rsidRPr="00CF0BBA">
            <w:rPr>
              <w:sz w:val="24"/>
            </w:rPr>
            <w:fldChar w:fldCharType="separate"/>
          </w:r>
          <w:r w:rsidR="00DE6EEF" w:rsidRPr="00CF0BBA">
            <w:rPr>
              <w:noProof/>
              <w:sz w:val="24"/>
              <w:lang w:val="en-US"/>
            </w:rPr>
            <w:t>[5]</w:t>
          </w:r>
          <w:r w:rsidR="00C270A1" w:rsidRPr="00CF0BBA">
            <w:rPr>
              <w:sz w:val="24"/>
            </w:rPr>
            <w:fldChar w:fldCharType="end"/>
          </w:r>
        </w:sdtContent>
      </w:sdt>
      <w:r w:rsidR="001817FD">
        <w:rPr>
          <w:sz w:val="24"/>
        </w:rPr>
        <w:t>.</w:t>
      </w:r>
      <w:r w:rsidR="0066711A" w:rsidRPr="00CF0BBA">
        <w:rPr>
          <w:sz w:val="24"/>
        </w:rPr>
        <w:t xml:space="preserve"> </w:t>
      </w:r>
      <w:r w:rsidR="00B24F8D" w:rsidRPr="00CF0BBA">
        <w:rPr>
          <w:sz w:val="24"/>
        </w:rPr>
        <w:t xml:space="preserve">It is </w:t>
      </w:r>
      <w:r w:rsidRPr="00CF0BBA">
        <w:rPr>
          <w:sz w:val="24"/>
        </w:rPr>
        <w:t>a superior court of civil and criminal jurisdiction</w:t>
      </w:r>
      <w:r w:rsidR="00B24F8D" w:rsidRPr="00CF0BBA">
        <w:rPr>
          <w:sz w:val="24"/>
        </w:rPr>
        <w:t xml:space="preserve"> constituted by the Court of Queen’s Bench Act</w:t>
      </w:r>
      <w:r w:rsidRPr="00CF0BBA">
        <w:rPr>
          <w:sz w:val="24"/>
        </w:rPr>
        <w:t xml:space="preserve">. </w:t>
      </w:r>
      <w:r w:rsidR="0066711A" w:rsidRPr="00CF0BBA">
        <w:rPr>
          <w:sz w:val="24"/>
        </w:rPr>
        <w:t xml:space="preserve">The CBC </w:t>
      </w:r>
      <w:r w:rsidRPr="00CF0BBA">
        <w:rPr>
          <w:sz w:val="24"/>
        </w:rPr>
        <w:t xml:space="preserve">aims to </w:t>
      </w:r>
      <w:r w:rsidR="00B24F8D" w:rsidRPr="00CF0BBA">
        <w:rPr>
          <w:sz w:val="24"/>
        </w:rPr>
        <w:t xml:space="preserve">preserve the Rule of Law which protects individuals’ rights and dignity </w:t>
      </w:r>
      <w:r w:rsidR="00B075DC" w:rsidRPr="00CF0BBA">
        <w:rPr>
          <w:sz w:val="24"/>
        </w:rPr>
        <w:t>and</w:t>
      </w:r>
      <w:r w:rsidR="00B24F8D" w:rsidRPr="00CF0BBA">
        <w:rPr>
          <w:sz w:val="24"/>
        </w:rPr>
        <w:t xml:space="preserve"> serve </w:t>
      </w:r>
      <w:r w:rsidRPr="00CF0BBA">
        <w:rPr>
          <w:sz w:val="24"/>
        </w:rPr>
        <w:t xml:space="preserve">an unbiased forum for </w:t>
      </w:r>
      <w:r w:rsidR="00B24F8D" w:rsidRPr="00CF0BBA">
        <w:rPr>
          <w:sz w:val="24"/>
        </w:rPr>
        <w:t xml:space="preserve">fair and apt resolution of legal disputes in Alberta </w:t>
      </w:r>
      <w:sdt>
        <w:sdtPr>
          <w:rPr>
            <w:sz w:val="24"/>
          </w:rPr>
          <w:id w:val="1441496464"/>
          <w:citation/>
        </w:sdtPr>
        <w:sdtEndPr/>
        <w:sdtContent>
          <w:r w:rsidR="00C270A1" w:rsidRPr="00CF0BBA">
            <w:rPr>
              <w:sz w:val="24"/>
            </w:rPr>
            <w:fldChar w:fldCharType="begin"/>
          </w:r>
          <w:r w:rsidR="00C270A1" w:rsidRPr="00CF0BBA">
            <w:rPr>
              <w:sz w:val="24"/>
              <w:lang w:val="en-US"/>
            </w:rPr>
            <w:instrText xml:space="preserve"> CITATION Cou18 \l 1033 </w:instrText>
          </w:r>
          <w:r w:rsidR="00C270A1" w:rsidRPr="00CF0BBA">
            <w:rPr>
              <w:sz w:val="24"/>
            </w:rPr>
            <w:fldChar w:fldCharType="separate"/>
          </w:r>
          <w:r w:rsidR="00DE6EEF" w:rsidRPr="00CF0BBA">
            <w:rPr>
              <w:noProof/>
              <w:sz w:val="24"/>
              <w:lang w:val="en-US"/>
            </w:rPr>
            <w:t>[6]</w:t>
          </w:r>
          <w:r w:rsidR="00C270A1" w:rsidRPr="00CF0BBA">
            <w:rPr>
              <w:sz w:val="24"/>
            </w:rPr>
            <w:fldChar w:fldCharType="end"/>
          </w:r>
        </w:sdtContent>
      </w:sdt>
      <w:r w:rsidR="001817FD">
        <w:rPr>
          <w:sz w:val="24"/>
        </w:rPr>
        <w:t>.</w:t>
      </w:r>
    </w:p>
    <w:p w14:paraId="747AA836" w14:textId="29BF44A9" w:rsidR="00397502" w:rsidRPr="00CF0BBA" w:rsidRDefault="00397502" w:rsidP="00A30F31">
      <w:pPr>
        <w:pStyle w:val="Heading2"/>
        <w:spacing w:before="240" w:after="240" w:line="240" w:lineRule="auto"/>
        <w:jc w:val="both"/>
        <w:rPr>
          <w:sz w:val="28"/>
        </w:rPr>
      </w:pPr>
      <w:bookmarkStart w:id="10" w:name="_Toc506599069"/>
      <w:r w:rsidRPr="00CF0BBA">
        <w:rPr>
          <w:sz w:val="28"/>
        </w:rPr>
        <w:t>Court of Appeal</w:t>
      </w:r>
      <w:r w:rsidR="00237C72" w:rsidRPr="00CF0BBA">
        <w:rPr>
          <w:sz w:val="28"/>
        </w:rPr>
        <w:t xml:space="preserve"> of Alberta</w:t>
      </w:r>
      <w:bookmarkEnd w:id="10"/>
    </w:p>
    <w:p w14:paraId="3E8606E0" w14:textId="5F036396" w:rsidR="00E823AE" w:rsidRPr="00CF0BBA" w:rsidRDefault="00237C72" w:rsidP="00A30F31">
      <w:pPr>
        <w:spacing w:before="240" w:after="240" w:line="240" w:lineRule="auto"/>
        <w:ind w:firstLine="720"/>
        <w:jc w:val="both"/>
        <w:rPr>
          <w:sz w:val="24"/>
        </w:rPr>
      </w:pPr>
      <w:r w:rsidRPr="00CF0BBA">
        <w:rPr>
          <w:sz w:val="24"/>
        </w:rPr>
        <w:t xml:space="preserve">The Court of Appeal of Alberta is the highest provincial appeal court </w:t>
      </w:r>
      <w:sdt>
        <w:sdtPr>
          <w:rPr>
            <w:sz w:val="24"/>
          </w:rPr>
          <w:id w:val="2102992553"/>
          <w:citation/>
        </w:sdtPr>
        <w:sdtEndPr/>
        <w:sdtContent>
          <w:r w:rsidR="00C270A1" w:rsidRPr="00CF0BBA">
            <w:rPr>
              <w:sz w:val="24"/>
            </w:rPr>
            <w:fldChar w:fldCharType="begin"/>
          </w:r>
          <w:r w:rsidR="00C270A1" w:rsidRPr="00CF0BBA">
            <w:rPr>
              <w:sz w:val="24"/>
              <w:lang w:val="en-US"/>
            </w:rPr>
            <w:instrText xml:space="preserve"> CITATION Cou181 \l 1033 </w:instrText>
          </w:r>
          <w:r w:rsidR="00C270A1" w:rsidRPr="00CF0BBA">
            <w:rPr>
              <w:sz w:val="24"/>
            </w:rPr>
            <w:fldChar w:fldCharType="separate"/>
          </w:r>
          <w:r w:rsidR="00DE6EEF" w:rsidRPr="00CF0BBA">
            <w:rPr>
              <w:noProof/>
              <w:sz w:val="24"/>
              <w:lang w:val="en-US"/>
            </w:rPr>
            <w:t>[7]</w:t>
          </w:r>
          <w:r w:rsidR="00C270A1" w:rsidRPr="00CF0BBA">
            <w:rPr>
              <w:sz w:val="24"/>
            </w:rPr>
            <w:fldChar w:fldCharType="end"/>
          </w:r>
        </w:sdtContent>
      </w:sdt>
      <w:r w:rsidR="001817FD">
        <w:rPr>
          <w:sz w:val="24"/>
        </w:rPr>
        <w:t>.</w:t>
      </w:r>
      <w:r w:rsidR="00C270A1" w:rsidRPr="00CF0BBA">
        <w:rPr>
          <w:sz w:val="24"/>
        </w:rPr>
        <w:t xml:space="preserve"> </w:t>
      </w:r>
      <w:r w:rsidR="00B075DC" w:rsidRPr="00CF0BBA">
        <w:rPr>
          <w:sz w:val="24"/>
        </w:rPr>
        <w:t>It</w:t>
      </w:r>
      <w:r w:rsidRPr="00CF0BBA">
        <w:rPr>
          <w:sz w:val="24"/>
        </w:rPr>
        <w:t xml:space="preserve"> </w:t>
      </w:r>
      <w:r w:rsidR="00B075DC" w:rsidRPr="00CF0BBA">
        <w:rPr>
          <w:sz w:val="24"/>
        </w:rPr>
        <w:t>examines</w:t>
      </w:r>
      <w:r w:rsidRPr="00CF0BBA">
        <w:rPr>
          <w:sz w:val="24"/>
        </w:rPr>
        <w:t xml:space="preserve"> applications and appeals with regards to judgements, orders, and decisions of the other provincial courts</w:t>
      </w:r>
      <w:r w:rsidR="00E823AE" w:rsidRPr="00CF0BBA">
        <w:rPr>
          <w:sz w:val="24"/>
        </w:rPr>
        <w:t xml:space="preserve"> and administrative and board tribunals</w:t>
      </w:r>
      <w:r w:rsidRPr="00CF0BBA">
        <w:rPr>
          <w:sz w:val="24"/>
        </w:rPr>
        <w:t>.</w:t>
      </w:r>
      <w:r w:rsidR="00E823AE" w:rsidRPr="00CF0BBA">
        <w:rPr>
          <w:sz w:val="24"/>
        </w:rPr>
        <w:t xml:space="preserve"> The Court of Appeal </w:t>
      </w:r>
      <w:r w:rsidR="00F9669D" w:rsidRPr="00CF0BBA">
        <w:rPr>
          <w:sz w:val="24"/>
        </w:rPr>
        <w:t xml:space="preserve">is not responsible for retrying </w:t>
      </w:r>
      <w:r w:rsidR="00E823AE" w:rsidRPr="00CF0BBA">
        <w:rPr>
          <w:sz w:val="24"/>
        </w:rPr>
        <w:t>cases</w:t>
      </w:r>
      <w:r w:rsidR="00F9669D" w:rsidRPr="00CF0BBA">
        <w:rPr>
          <w:sz w:val="24"/>
        </w:rPr>
        <w:t>. I</w:t>
      </w:r>
      <w:r w:rsidR="00E823AE" w:rsidRPr="00CF0BBA">
        <w:rPr>
          <w:sz w:val="24"/>
        </w:rPr>
        <w:t>nstead</w:t>
      </w:r>
      <w:r w:rsidR="00F9669D" w:rsidRPr="00CF0BBA">
        <w:rPr>
          <w:sz w:val="24"/>
        </w:rPr>
        <w:t>,</w:t>
      </w:r>
      <w:r w:rsidR="00E823AE" w:rsidRPr="00CF0BBA">
        <w:rPr>
          <w:sz w:val="24"/>
        </w:rPr>
        <w:t xml:space="preserve"> </w:t>
      </w:r>
      <w:r w:rsidR="00F9669D" w:rsidRPr="00CF0BBA">
        <w:rPr>
          <w:sz w:val="24"/>
        </w:rPr>
        <w:t>it</w:t>
      </w:r>
      <w:r w:rsidR="00E823AE" w:rsidRPr="00CF0BBA">
        <w:rPr>
          <w:sz w:val="24"/>
        </w:rPr>
        <w:t xml:space="preserve"> determine</w:t>
      </w:r>
      <w:r w:rsidR="00F9669D" w:rsidRPr="00CF0BBA">
        <w:rPr>
          <w:sz w:val="24"/>
        </w:rPr>
        <w:t>s</w:t>
      </w:r>
      <w:r w:rsidR="00E823AE" w:rsidRPr="00CF0BBA">
        <w:rPr>
          <w:sz w:val="24"/>
        </w:rPr>
        <w:t xml:space="preserve"> the presence of errors in law or facts within the decision</w:t>
      </w:r>
      <w:r w:rsidR="00F9669D" w:rsidRPr="00CF0BBA">
        <w:rPr>
          <w:sz w:val="24"/>
        </w:rPr>
        <w:t>s passed by the other courts</w:t>
      </w:r>
      <w:r w:rsidR="001817FD">
        <w:rPr>
          <w:sz w:val="24"/>
        </w:rPr>
        <w:t xml:space="preserve"> </w:t>
      </w:r>
      <w:sdt>
        <w:sdtPr>
          <w:rPr>
            <w:sz w:val="24"/>
          </w:rPr>
          <w:id w:val="-1254203445"/>
          <w:citation/>
        </w:sdtPr>
        <w:sdtEndPr/>
        <w:sdtContent>
          <w:r w:rsidR="00C270A1" w:rsidRPr="00CF0BBA">
            <w:rPr>
              <w:sz w:val="24"/>
            </w:rPr>
            <w:fldChar w:fldCharType="begin"/>
          </w:r>
          <w:r w:rsidR="00C270A1" w:rsidRPr="00CF0BBA">
            <w:rPr>
              <w:sz w:val="24"/>
              <w:lang w:val="en-US"/>
            </w:rPr>
            <w:instrText xml:space="preserve"> CITATION Cou182 \l 1033 </w:instrText>
          </w:r>
          <w:r w:rsidR="00C270A1" w:rsidRPr="00CF0BBA">
            <w:rPr>
              <w:sz w:val="24"/>
            </w:rPr>
            <w:fldChar w:fldCharType="separate"/>
          </w:r>
          <w:r w:rsidR="00DE6EEF" w:rsidRPr="00CF0BBA">
            <w:rPr>
              <w:noProof/>
              <w:sz w:val="24"/>
              <w:lang w:val="en-US"/>
            </w:rPr>
            <w:t>[8]</w:t>
          </w:r>
          <w:r w:rsidR="00C270A1" w:rsidRPr="00CF0BBA">
            <w:rPr>
              <w:sz w:val="24"/>
            </w:rPr>
            <w:fldChar w:fldCharType="end"/>
          </w:r>
        </w:sdtContent>
      </w:sdt>
      <w:r w:rsidR="001817FD">
        <w:rPr>
          <w:sz w:val="24"/>
        </w:rPr>
        <w:t>.</w:t>
      </w:r>
    </w:p>
    <w:p w14:paraId="70003101" w14:textId="261F98FB" w:rsidR="00397502" w:rsidRPr="00CF0BBA" w:rsidRDefault="00397502" w:rsidP="00A30F31">
      <w:pPr>
        <w:pStyle w:val="Heading2"/>
        <w:spacing w:before="240" w:after="240" w:line="240" w:lineRule="auto"/>
        <w:jc w:val="both"/>
        <w:rPr>
          <w:sz w:val="28"/>
        </w:rPr>
      </w:pPr>
      <w:bookmarkStart w:id="11" w:name="_Toc506599070"/>
      <w:r w:rsidRPr="00CF0BBA">
        <w:rPr>
          <w:sz w:val="28"/>
        </w:rPr>
        <w:t>Engineers Canada</w:t>
      </w:r>
      <w:bookmarkEnd w:id="11"/>
    </w:p>
    <w:p w14:paraId="253CA0F0" w14:textId="4B390CB5" w:rsidR="00457A5E" w:rsidRPr="00CF0BBA" w:rsidRDefault="00B075DC" w:rsidP="00A30F31">
      <w:pPr>
        <w:spacing w:before="240" w:after="240" w:line="240" w:lineRule="auto"/>
        <w:ind w:firstLine="720"/>
        <w:jc w:val="both"/>
        <w:rPr>
          <w:sz w:val="24"/>
        </w:rPr>
      </w:pPr>
      <w:r w:rsidRPr="00CF0BBA">
        <w:rPr>
          <w:sz w:val="24"/>
        </w:rPr>
        <w:t>Engineers Canada [EC]</w:t>
      </w:r>
      <w:r w:rsidR="001F232B" w:rsidRPr="00CF0BBA">
        <w:rPr>
          <w:sz w:val="24"/>
        </w:rPr>
        <w:t xml:space="preserve"> promotes and maintains the integrity, honour, and interests of the engineering profession</w:t>
      </w:r>
      <w:r w:rsidR="00CF7A5A" w:rsidRPr="00CF0BBA">
        <w:rPr>
          <w:sz w:val="24"/>
        </w:rPr>
        <w:t xml:space="preserve"> nationally</w:t>
      </w:r>
      <w:r w:rsidR="001F232B" w:rsidRPr="00CF0BBA">
        <w:rPr>
          <w:sz w:val="24"/>
        </w:rPr>
        <w:t xml:space="preserve"> by unifying existing </w:t>
      </w:r>
      <w:r w:rsidRPr="00CF0BBA">
        <w:rPr>
          <w:sz w:val="24"/>
        </w:rPr>
        <w:t>provincial and territorial</w:t>
      </w:r>
      <w:r w:rsidR="001F232B" w:rsidRPr="00CF0BBA">
        <w:rPr>
          <w:sz w:val="24"/>
        </w:rPr>
        <w:t xml:space="preserve"> </w:t>
      </w:r>
      <w:r w:rsidRPr="00CF0BBA">
        <w:rPr>
          <w:sz w:val="24"/>
        </w:rPr>
        <w:t xml:space="preserve">regulatory associations </w:t>
      </w:r>
      <w:sdt>
        <w:sdtPr>
          <w:rPr>
            <w:sz w:val="24"/>
          </w:rPr>
          <w:id w:val="190126287"/>
          <w:citation/>
        </w:sdtPr>
        <w:sdtEndPr/>
        <w:sdtContent>
          <w:r w:rsidR="00C270A1" w:rsidRPr="00CF0BBA">
            <w:rPr>
              <w:sz w:val="24"/>
            </w:rPr>
            <w:fldChar w:fldCharType="begin"/>
          </w:r>
          <w:r w:rsidR="00C270A1" w:rsidRPr="00CF0BBA">
            <w:rPr>
              <w:sz w:val="24"/>
              <w:lang w:val="en-US"/>
            </w:rPr>
            <w:instrText xml:space="preserve"> CITATION Eng18 \l 1033 </w:instrText>
          </w:r>
          <w:r w:rsidR="00C270A1" w:rsidRPr="00CF0BBA">
            <w:rPr>
              <w:sz w:val="24"/>
            </w:rPr>
            <w:fldChar w:fldCharType="separate"/>
          </w:r>
          <w:r w:rsidR="00DE6EEF" w:rsidRPr="00CF0BBA">
            <w:rPr>
              <w:noProof/>
              <w:sz w:val="24"/>
              <w:lang w:val="en-US"/>
            </w:rPr>
            <w:t>[9]</w:t>
          </w:r>
          <w:r w:rsidR="00C270A1" w:rsidRPr="00CF0BBA">
            <w:rPr>
              <w:sz w:val="24"/>
            </w:rPr>
            <w:fldChar w:fldCharType="end"/>
          </w:r>
        </w:sdtContent>
      </w:sdt>
      <w:r w:rsidR="001817FD">
        <w:rPr>
          <w:sz w:val="24"/>
        </w:rPr>
        <w:t>.</w:t>
      </w:r>
      <w:r w:rsidR="00C270A1" w:rsidRPr="00CF0BBA">
        <w:rPr>
          <w:sz w:val="24"/>
        </w:rPr>
        <w:t xml:space="preserve"> </w:t>
      </w:r>
      <w:r w:rsidR="001F232B" w:rsidRPr="00CF0BBA">
        <w:rPr>
          <w:sz w:val="24"/>
        </w:rPr>
        <w:t xml:space="preserve">It </w:t>
      </w:r>
      <w:r w:rsidRPr="00CF0BBA">
        <w:rPr>
          <w:sz w:val="24"/>
        </w:rPr>
        <w:t xml:space="preserve">EC </w:t>
      </w:r>
      <w:r w:rsidR="001F232B" w:rsidRPr="00CF0BBA">
        <w:rPr>
          <w:sz w:val="24"/>
        </w:rPr>
        <w:t xml:space="preserve">is involved in setting Canadian engineering professional standards </w:t>
      </w:r>
      <w:r w:rsidR="0066562E" w:rsidRPr="00CF0BBA">
        <w:rPr>
          <w:sz w:val="24"/>
        </w:rPr>
        <w:t>with t</w:t>
      </w:r>
      <w:r w:rsidR="00420B5B" w:rsidRPr="00CF0BBA">
        <w:rPr>
          <w:sz w:val="24"/>
        </w:rPr>
        <w:t>he appointed</w:t>
      </w:r>
      <w:r w:rsidR="0066562E" w:rsidRPr="00CF0BBA">
        <w:rPr>
          <w:sz w:val="24"/>
        </w:rPr>
        <w:t xml:space="preserve"> Qualifications Board</w:t>
      </w:r>
      <w:r w:rsidR="00420B5B" w:rsidRPr="00CF0BBA">
        <w:rPr>
          <w:sz w:val="24"/>
        </w:rPr>
        <w:t xml:space="preserve"> Committee</w:t>
      </w:r>
      <w:r w:rsidR="0066562E" w:rsidRPr="00CF0BBA">
        <w:rPr>
          <w:sz w:val="24"/>
        </w:rPr>
        <w:t xml:space="preserve"> by </w:t>
      </w:r>
      <w:r w:rsidRPr="00CF0BBA">
        <w:rPr>
          <w:sz w:val="24"/>
        </w:rPr>
        <w:t xml:space="preserve">accrediting undergraduate engineering programs and developing professional practice and qualifications guidelines to </w:t>
      </w:r>
      <w:r w:rsidR="001F232B" w:rsidRPr="00CF0BBA">
        <w:rPr>
          <w:sz w:val="24"/>
        </w:rPr>
        <w:t>protect public welfare</w:t>
      </w:r>
      <w:r w:rsidR="001817FD">
        <w:rPr>
          <w:sz w:val="24"/>
        </w:rPr>
        <w:t xml:space="preserve"> </w:t>
      </w:r>
      <w:sdt>
        <w:sdtPr>
          <w:rPr>
            <w:sz w:val="24"/>
          </w:rPr>
          <w:id w:val="-698926425"/>
          <w:citation/>
        </w:sdtPr>
        <w:sdtEndPr/>
        <w:sdtContent>
          <w:r w:rsidR="00C270A1" w:rsidRPr="00CF0BBA">
            <w:rPr>
              <w:sz w:val="24"/>
            </w:rPr>
            <w:fldChar w:fldCharType="begin"/>
          </w:r>
          <w:r w:rsidR="00C270A1" w:rsidRPr="00CF0BBA">
            <w:rPr>
              <w:sz w:val="24"/>
              <w:lang w:val="en-US"/>
            </w:rPr>
            <w:instrText xml:space="preserve"> CITATION Eng181 \l 1033 </w:instrText>
          </w:r>
          <w:r w:rsidR="00C270A1" w:rsidRPr="00CF0BBA">
            <w:rPr>
              <w:sz w:val="24"/>
            </w:rPr>
            <w:fldChar w:fldCharType="separate"/>
          </w:r>
          <w:r w:rsidR="00DE6EEF" w:rsidRPr="00CF0BBA">
            <w:rPr>
              <w:noProof/>
              <w:sz w:val="24"/>
              <w:lang w:val="en-US"/>
            </w:rPr>
            <w:t>[10]</w:t>
          </w:r>
          <w:r w:rsidR="00C270A1" w:rsidRPr="00CF0BBA">
            <w:rPr>
              <w:sz w:val="24"/>
            </w:rPr>
            <w:fldChar w:fldCharType="end"/>
          </w:r>
        </w:sdtContent>
      </w:sdt>
      <w:r w:rsidR="001817FD">
        <w:rPr>
          <w:sz w:val="24"/>
        </w:rPr>
        <w:t>.</w:t>
      </w:r>
    </w:p>
    <w:p w14:paraId="127AAA7E" w14:textId="0C542608" w:rsidR="00397502" w:rsidRPr="00CF0BBA" w:rsidRDefault="00397502" w:rsidP="00A30F31">
      <w:pPr>
        <w:pStyle w:val="Heading2"/>
        <w:spacing w:before="240" w:after="240" w:line="240" w:lineRule="auto"/>
        <w:jc w:val="both"/>
        <w:rPr>
          <w:sz w:val="28"/>
        </w:rPr>
      </w:pPr>
      <w:bookmarkStart w:id="12" w:name="_Toc506599071"/>
      <w:r w:rsidRPr="00CF0BBA">
        <w:rPr>
          <w:sz w:val="28"/>
        </w:rPr>
        <w:t xml:space="preserve">National Council of Examiners for Engineering and Surveying </w:t>
      </w:r>
      <w:r w:rsidR="00481139" w:rsidRPr="00CF0BBA">
        <w:rPr>
          <w:sz w:val="28"/>
        </w:rPr>
        <w:t>[NCEES]</w:t>
      </w:r>
      <w:bookmarkEnd w:id="12"/>
      <w:r w:rsidR="00481139" w:rsidRPr="00CF0BBA">
        <w:rPr>
          <w:sz w:val="28"/>
        </w:rPr>
        <w:t xml:space="preserve"> </w:t>
      </w:r>
    </w:p>
    <w:p w14:paraId="6AB48C04" w14:textId="3995F891" w:rsidR="00481139" w:rsidRPr="00CF0BBA" w:rsidRDefault="00481139" w:rsidP="00A30F31">
      <w:pPr>
        <w:spacing w:before="240" w:after="240" w:line="240" w:lineRule="auto"/>
        <w:ind w:firstLine="720"/>
        <w:jc w:val="both"/>
        <w:rPr>
          <w:sz w:val="24"/>
        </w:rPr>
      </w:pPr>
      <w:r w:rsidRPr="00CF0BBA">
        <w:rPr>
          <w:sz w:val="24"/>
        </w:rPr>
        <w:t>The National Council of Examiners for Engineering and Surveying in the United States</w:t>
      </w:r>
      <w:r w:rsidR="00420B5B" w:rsidRPr="00CF0BBA">
        <w:rPr>
          <w:sz w:val="24"/>
        </w:rPr>
        <w:t xml:space="preserve"> [US]</w:t>
      </w:r>
      <w:r w:rsidRPr="00CF0BBA">
        <w:rPr>
          <w:sz w:val="24"/>
        </w:rPr>
        <w:t xml:space="preserve"> </w:t>
      </w:r>
      <w:r w:rsidR="00B951E3" w:rsidRPr="00CF0BBA">
        <w:rPr>
          <w:sz w:val="24"/>
        </w:rPr>
        <w:t xml:space="preserve">promotes uniformity in the </w:t>
      </w:r>
      <w:r w:rsidR="00420B5B" w:rsidRPr="00CF0BBA">
        <w:rPr>
          <w:sz w:val="24"/>
        </w:rPr>
        <w:t>US</w:t>
      </w:r>
      <w:r w:rsidR="00B951E3" w:rsidRPr="00CF0BBA">
        <w:rPr>
          <w:sz w:val="24"/>
        </w:rPr>
        <w:t xml:space="preserve"> licensure process by </w:t>
      </w:r>
      <w:r w:rsidR="00E635F3" w:rsidRPr="00CF0BBA">
        <w:rPr>
          <w:sz w:val="24"/>
        </w:rPr>
        <w:t>develop</w:t>
      </w:r>
      <w:r w:rsidR="00B951E3" w:rsidRPr="00CF0BBA">
        <w:rPr>
          <w:sz w:val="24"/>
        </w:rPr>
        <w:t>ing</w:t>
      </w:r>
      <w:r w:rsidR="00E635F3" w:rsidRPr="00CF0BBA">
        <w:rPr>
          <w:sz w:val="24"/>
        </w:rPr>
        <w:t>, administer</w:t>
      </w:r>
      <w:r w:rsidR="00B951E3" w:rsidRPr="00CF0BBA">
        <w:rPr>
          <w:sz w:val="24"/>
        </w:rPr>
        <w:t>ing</w:t>
      </w:r>
      <w:r w:rsidR="00E635F3" w:rsidRPr="00CF0BBA">
        <w:rPr>
          <w:sz w:val="24"/>
        </w:rPr>
        <w:t>, and assess</w:t>
      </w:r>
      <w:r w:rsidR="00B951E3" w:rsidRPr="00CF0BBA">
        <w:rPr>
          <w:sz w:val="24"/>
        </w:rPr>
        <w:t xml:space="preserve">ing </w:t>
      </w:r>
      <w:r w:rsidR="00E635F3" w:rsidRPr="00CF0BBA">
        <w:rPr>
          <w:sz w:val="24"/>
        </w:rPr>
        <w:t xml:space="preserve">engineering and surveying licensure examinations </w:t>
      </w:r>
      <w:sdt>
        <w:sdtPr>
          <w:rPr>
            <w:sz w:val="24"/>
          </w:rPr>
          <w:id w:val="-463041595"/>
          <w:citation/>
        </w:sdtPr>
        <w:sdtEndPr/>
        <w:sdtContent>
          <w:r w:rsidR="00C270A1" w:rsidRPr="00CF0BBA">
            <w:rPr>
              <w:sz w:val="24"/>
            </w:rPr>
            <w:fldChar w:fldCharType="begin"/>
          </w:r>
          <w:r w:rsidR="00C270A1" w:rsidRPr="00CF0BBA">
            <w:rPr>
              <w:sz w:val="24"/>
              <w:lang w:val="en-US"/>
            </w:rPr>
            <w:instrText xml:space="preserve"> CITATION Nat18 \l 1033 </w:instrText>
          </w:r>
          <w:r w:rsidR="00C270A1" w:rsidRPr="00CF0BBA">
            <w:rPr>
              <w:sz w:val="24"/>
            </w:rPr>
            <w:fldChar w:fldCharType="separate"/>
          </w:r>
          <w:r w:rsidR="00DE6EEF" w:rsidRPr="00CF0BBA">
            <w:rPr>
              <w:noProof/>
              <w:sz w:val="24"/>
              <w:lang w:val="en-US"/>
            </w:rPr>
            <w:t>[11]</w:t>
          </w:r>
          <w:r w:rsidR="00C270A1" w:rsidRPr="00CF0BBA">
            <w:rPr>
              <w:sz w:val="24"/>
            </w:rPr>
            <w:fldChar w:fldCharType="end"/>
          </w:r>
        </w:sdtContent>
      </w:sdt>
      <w:r w:rsidR="001817FD">
        <w:rPr>
          <w:sz w:val="24"/>
        </w:rPr>
        <w:t>.</w:t>
      </w:r>
      <w:r w:rsidR="002A42BD" w:rsidRPr="00CF0BBA">
        <w:rPr>
          <w:sz w:val="24"/>
        </w:rPr>
        <w:t xml:space="preserve"> </w:t>
      </w:r>
      <w:r w:rsidR="000D4DED" w:rsidRPr="00CF0BBA">
        <w:rPr>
          <w:sz w:val="24"/>
        </w:rPr>
        <w:t xml:space="preserve">As an effort to uphold high competency standards, </w:t>
      </w:r>
      <w:r w:rsidR="00B951E3" w:rsidRPr="00CF0BBA">
        <w:rPr>
          <w:sz w:val="24"/>
        </w:rPr>
        <w:t>APEGA uses the Fundamentals of Engineering [FE] exam administered by the NCEES</w:t>
      </w:r>
      <w:r w:rsidR="000D4DED" w:rsidRPr="00CF0BBA">
        <w:rPr>
          <w:sz w:val="24"/>
        </w:rPr>
        <w:t xml:space="preserve"> as one of </w:t>
      </w:r>
      <w:r w:rsidR="00E635F3" w:rsidRPr="00CF0BBA">
        <w:rPr>
          <w:sz w:val="24"/>
        </w:rPr>
        <w:t>the licensure</w:t>
      </w:r>
      <w:r w:rsidR="000D4DED" w:rsidRPr="00CF0BBA">
        <w:rPr>
          <w:sz w:val="24"/>
        </w:rPr>
        <w:t xml:space="preserve"> exams</w:t>
      </w:r>
      <w:r w:rsidR="00E635F3" w:rsidRPr="00CF0BBA">
        <w:rPr>
          <w:sz w:val="24"/>
        </w:rPr>
        <w:t xml:space="preserve"> to confirm engineering graduates’ technical aptitude</w:t>
      </w:r>
      <w:r w:rsidR="001817FD">
        <w:rPr>
          <w:sz w:val="24"/>
        </w:rPr>
        <w:t xml:space="preserve"> </w:t>
      </w:r>
      <w:sdt>
        <w:sdtPr>
          <w:rPr>
            <w:sz w:val="24"/>
          </w:rPr>
          <w:id w:val="-981078184"/>
          <w:citation/>
        </w:sdtPr>
        <w:sdtEndPr/>
        <w:sdtContent>
          <w:r w:rsidR="002A42BD" w:rsidRPr="00CF0BBA">
            <w:rPr>
              <w:sz w:val="24"/>
            </w:rPr>
            <w:fldChar w:fldCharType="begin"/>
          </w:r>
          <w:r w:rsidR="002A42BD" w:rsidRPr="00CF0BBA">
            <w:rPr>
              <w:sz w:val="24"/>
              <w:lang w:val="en-US"/>
            </w:rPr>
            <w:instrText xml:space="preserve"> CITATION APE183 \l 1033 </w:instrText>
          </w:r>
          <w:r w:rsidR="002A42BD" w:rsidRPr="00CF0BBA">
            <w:rPr>
              <w:sz w:val="24"/>
            </w:rPr>
            <w:fldChar w:fldCharType="separate"/>
          </w:r>
          <w:r w:rsidR="00DE6EEF" w:rsidRPr="00CF0BBA">
            <w:rPr>
              <w:noProof/>
              <w:sz w:val="24"/>
              <w:lang w:val="en-US"/>
            </w:rPr>
            <w:t>[12]</w:t>
          </w:r>
          <w:r w:rsidR="002A42BD" w:rsidRPr="00CF0BBA">
            <w:rPr>
              <w:sz w:val="24"/>
            </w:rPr>
            <w:fldChar w:fldCharType="end"/>
          </w:r>
        </w:sdtContent>
      </w:sdt>
      <w:r w:rsidR="001817FD">
        <w:rPr>
          <w:sz w:val="24"/>
        </w:rPr>
        <w:t>.</w:t>
      </w:r>
    </w:p>
    <w:p w14:paraId="58A87B1D" w14:textId="77777777" w:rsidR="00237C72" w:rsidRPr="00CF0BBA" w:rsidRDefault="00237C72" w:rsidP="00A30F31">
      <w:pPr>
        <w:pStyle w:val="Heading2"/>
        <w:spacing w:before="240" w:after="240" w:line="240" w:lineRule="auto"/>
        <w:jc w:val="both"/>
        <w:rPr>
          <w:sz w:val="28"/>
        </w:rPr>
      </w:pPr>
      <w:bookmarkStart w:id="13" w:name="_Toc506599072"/>
      <w:r w:rsidRPr="00CF0BBA">
        <w:rPr>
          <w:sz w:val="28"/>
        </w:rPr>
        <w:t>Ladislav Mihaly</w:t>
      </w:r>
      <w:bookmarkEnd w:id="13"/>
    </w:p>
    <w:p w14:paraId="302E6D6C" w14:textId="47204318" w:rsidR="00976817" w:rsidRPr="00CF0BBA" w:rsidRDefault="000C2B16" w:rsidP="00A30F31">
      <w:pPr>
        <w:spacing w:before="240" w:after="240" w:line="240" w:lineRule="auto"/>
        <w:ind w:firstLine="720"/>
        <w:jc w:val="both"/>
        <w:rPr>
          <w:sz w:val="24"/>
        </w:rPr>
      </w:pPr>
      <w:r w:rsidRPr="00CF0BBA">
        <w:rPr>
          <w:sz w:val="24"/>
        </w:rPr>
        <w:t xml:space="preserve">Mr. Ladislav Mihaly </w:t>
      </w:r>
      <w:r w:rsidR="0066562E" w:rsidRPr="00CF0BBA">
        <w:rPr>
          <w:sz w:val="24"/>
        </w:rPr>
        <w:t xml:space="preserve">was born </w:t>
      </w:r>
      <w:r w:rsidR="00D13E35" w:rsidRPr="00CF0BBA">
        <w:rPr>
          <w:sz w:val="24"/>
        </w:rPr>
        <w:t xml:space="preserve">and educated </w:t>
      </w:r>
      <w:r w:rsidR="0066562E" w:rsidRPr="00CF0BBA">
        <w:rPr>
          <w:sz w:val="24"/>
        </w:rPr>
        <w:t xml:space="preserve">in the former Czechoslovakia. He </w:t>
      </w:r>
      <w:r w:rsidR="00F23418" w:rsidRPr="00CF0BBA">
        <w:rPr>
          <w:sz w:val="24"/>
        </w:rPr>
        <w:t xml:space="preserve">holds </w:t>
      </w:r>
      <w:r w:rsidR="0066562E" w:rsidRPr="00CF0BBA">
        <w:rPr>
          <w:sz w:val="24"/>
        </w:rPr>
        <w:t xml:space="preserve">a M. Sc. Diploma with a specialization in Technology of Fuels and Thermal Energy from the Slovak </w:t>
      </w:r>
      <w:r w:rsidR="0066562E" w:rsidRPr="00CF0BBA">
        <w:rPr>
          <w:sz w:val="24"/>
        </w:rPr>
        <w:lastRenderedPageBreak/>
        <w:t>Technical University in Bratislava in 1975</w:t>
      </w:r>
      <w:r w:rsidR="00976817" w:rsidRPr="00CF0BBA">
        <w:rPr>
          <w:sz w:val="24"/>
        </w:rPr>
        <w:t xml:space="preserve">, and a </w:t>
      </w:r>
      <w:r w:rsidR="0066562E" w:rsidRPr="00CF0BBA">
        <w:rPr>
          <w:sz w:val="24"/>
        </w:rPr>
        <w:t>Certificate in Corrosion Engineering from the Institute of Chemical Technology in Prague</w:t>
      </w:r>
      <w:r w:rsidR="00976817" w:rsidRPr="00CF0BBA">
        <w:rPr>
          <w:sz w:val="24"/>
        </w:rPr>
        <w:t xml:space="preserve"> in 1981</w:t>
      </w:r>
      <w:r w:rsidR="0066562E" w:rsidRPr="00CF0BBA">
        <w:rPr>
          <w:sz w:val="24"/>
        </w:rPr>
        <w:t xml:space="preserve">. </w:t>
      </w:r>
      <w:r w:rsidR="00F23418" w:rsidRPr="00CF0BBA">
        <w:rPr>
          <w:sz w:val="24"/>
        </w:rPr>
        <w:t xml:space="preserve">After immigrating to Canada, in May 1999, </w:t>
      </w:r>
      <w:r w:rsidR="00976817" w:rsidRPr="00CF0BBA">
        <w:rPr>
          <w:sz w:val="24"/>
        </w:rPr>
        <w:t xml:space="preserve">he </w:t>
      </w:r>
      <w:r w:rsidR="0066562E" w:rsidRPr="00CF0BBA">
        <w:rPr>
          <w:sz w:val="24"/>
        </w:rPr>
        <w:t>applied to APEGA for registration as a Professional Engineer</w:t>
      </w:r>
      <w:r w:rsidR="00F23418" w:rsidRPr="00CF0BBA">
        <w:rPr>
          <w:sz w:val="24"/>
        </w:rPr>
        <w:t>.</w:t>
      </w:r>
      <w:r w:rsidR="00F86A8B" w:rsidRPr="00CF0BBA">
        <w:rPr>
          <w:sz w:val="24"/>
        </w:rPr>
        <w:t xml:space="preserve"> </w:t>
      </w:r>
      <w:r w:rsidR="00D13E35" w:rsidRPr="00CF0BBA">
        <w:rPr>
          <w:sz w:val="24"/>
        </w:rPr>
        <w:t xml:space="preserve">In 2008, Mr. Ladislav Mihaly had complained to the AHRC that APEGA discriminated against him based on place of origin with regards to his application to be registered as a professional engineer by </w:t>
      </w:r>
      <w:r w:rsidR="00D741A8" w:rsidRPr="00CF0BBA">
        <w:rPr>
          <w:sz w:val="24"/>
        </w:rPr>
        <w:t xml:space="preserve">refusing recognition of his education as an equivalent to an accredited Canadian engineering degree and </w:t>
      </w:r>
      <w:r w:rsidR="00D13E35" w:rsidRPr="00CF0BBA">
        <w:rPr>
          <w:sz w:val="24"/>
        </w:rPr>
        <w:t>being required to write confirmatory examinations</w:t>
      </w:r>
      <w:r w:rsidR="00F86A8B" w:rsidRPr="00CF0BBA">
        <w:rPr>
          <w:sz w:val="24"/>
        </w:rPr>
        <w:t xml:space="preserve"> </w:t>
      </w:r>
      <w:r w:rsidR="002A42BD" w:rsidRPr="00CF0BBA">
        <w:rPr>
          <w:sz w:val="24"/>
          <w:szCs w:val="24"/>
        </w:rPr>
        <w:t>[</w:t>
      </w:r>
      <w:sdt>
        <w:sdtPr>
          <w:rPr>
            <w:sz w:val="24"/>
          </w:rPr>
          <w:id w:val="-522634004"/>
          <w:citation/>
        </w:sdtPr>
        <w:sdtEndPr/>
        <w:sdtContent>
          <w:r w:rsidR="002A42BD" w:rsidRPr="00CF0BBA">
            <w:rPr>
              <w:sz w:val="24"/>
            </w:rPr>
            <w:fldChar w:fldCharType="begin"/>
          </w:r>
          <w:r w:rsidR="002A42BD" w:rsidRPr="00CF0BBA">
            <w:rPr>
              <w:sz w:val="24"/>
              <w:lang w:val="en-US"/>
            </w:rPr>
            <w:instrText xml:space="preserve"> CITATION Cou16 \l 1033 </w:instrText>
          </w:r>
          <w:r w:rsidR="002A42BD" w:rsidRPr="00CF0BBA">
            <w:rPr>
              <w:sz w:val="24"/>
            </w:rPr>
            <w:fldChar w:fldCharType="separate"/>
          </w:r>
          <w:r w:rsidR="00DE6EEF" w:rsidRPr="00CF0BBA">
            <w:rPr>
              <w:noProof/>
              <w:sz w:val="24"/>
              <w:lang w:val="en-US"/>
            </w:rPr>
            <w:t xml:space="preserve"> [13]</w:t>
          </w:r>
          <w:r w:rsidR="002A42BD" w:rsidRPr="00CF0BBA">
            <w:rPr>
              <w:sz w:val="24"/>
            </w:rPr>
            <w:fldChar w:fldCharType="end"/>
          </w:r>
        </w:sdtContent>
      </w:sdt>
      <w:r w:rsidR="002A42BD" w:rsidRPr="00CF0BBA">
        <w:rPr>
          <w:sz w:val="24"/>
        </w:rPr>
        <w:t>pp. 3]</w:t>
      </w:r>
      <w:r w:rsidR="001817FD">
        <w:rPr>
          <w:sz w:val="24"/>
        </w:rPr>
        <w:t>.</w:t>
      </w:r>
    </w:p>
    <w:p w14:paraId="2E5D9AFF" w14:textId="43D610A2" w:rsidR="00CF0BBA" w:rsidRPr="00CF0BBA" w:rsidRDefault="00CF0BBA" w:rsidP="00A30F31">
      <w:pPr>
        <w:pStyle w:val="Heading2"/>
        <w:spacing w:before="240" w:after="240" w:line="240" w:lineRule="auto"/>
        <w:jc w:val="both"/>
        <w:rPr>
          <w:sz w:val="28"/>
        </w:rPr>
      </w:pPr>
      <w:bookmarkStart w:id="14" w:name="_Toc506599073"/>
      <w:r w:rsidRPr="00CF0BBA">
        <w:rPr>
          <w:sz w:val="28"/>
        </w:rPr>
        <w:t>Public</w:t>
      </w:r>
      <w:bookmarkEnd w:id="14"/>
    </w:p>
    <w:p w14:paraId="0CC0EABF" w14:textId="0615457C" w:rsidR="00CF0BBA" w:rsidRDefault="00CF0BBA" w:rsidP="00A30F31">
      <w:pPr>
        <w:spacing w:before="240" w:after="240" w:line="240" w:lineRule="auto"/>
        <w:ind w:firstLine="720"/>
        <w:jc w:val="both"/>
        <w:rPr>
          <w:sz w:val="24"/>
        </w:rPr>
      </w:pPr>
      <w:r w:rsidRPr="00CF0BBA">
        <w:rPr>
          <w:sz w:val="24"/>
        </w:rPr>
        <w:t xml:space="preserve">The scope of APEGA’s duties </w:t>
      </w:r>
      <w:r w:rsidR="00B43987">
        <w:rPr>
          <w:sz w:val="24"/>
        </w:rPr>
        <w:t xml:space="preserve">include maintaining professional standards and policies </w:t>
      </w:r>
      <w:r w:rsidRPr="00CF0BBA">
        <w:rPr>
          <w:sz w:val="24"/>
        </w:rPr>
        <w:t>to protect the welfare and safety of the public.</w:t>
      </w:r>
      <w:r w:rsidR="00B43987">
        <w:rPr>
          <w:sz w:val="24"/>
        </w:rPr>
        <w:t xml:space="preserve"> If these stringent policies are infringed upon, public safety and interest would be drastically compromised. </w:t>
      </w:r>
    </w:p>
    <w:p w14:paraId="791756D3" w14:textId="77777777" w:rsidR="00FA7E72" w:rsidRPr="00CF0BBA" w:rsidRDefault="00FA7E72" w:rsidP="00A30F31">
      <w:pPr>
        <w:spacing w:before="240" w:after="240" w:line="240" w:lineRule="auto"/>
        <w:ind w:firstLine="720"/>
        <w:jc w:val="both"/>
        <w:rPr>
          <w:sz w:val="24"/>
        </w:rPr>
      </w:pPr>
    </w:p>
    <w:p w14:paraId="7B6A655A" w14:textId="66794C86" w:rsidR="00457A5E" w:rsidRPr="00CF0BBA" w:rsidRDefault="00866908" w:rsidP="00A30F31">
      <w:pPr>
        <w:pStyle w:val="Heading1"/>
        <w:spacing w:after="240" w:line="240" w:lineRule="auto"/>
        <w:jc w:val="both"/>
        <w:rPr>
          <w:b/>
          <w:u w:val="single"/>
        </w:rPr>
      </w:pPr>
      <w:bookmarkStart w:id="15" w:name="_Toc506599074"/>
      <w:r w:rsidRPr="00CF0BBA">
        <w:rPr>
          <w:b/>
          <w:u w:val="single"/>
        </w:rPr>
        <w:t>Background</w:t>
      </w:r>
      <w:bookmarkEnd w:id="15"/>
    </w:p>
    <w:p w14:paraId="3F57967D" w14:textId="138B3BD4" w:rsidR="001C6362" w:rsidRPr="00CF0BBA" w:rsidRDefault="00A6369B" w:rsidP="00A30F31">
      <w:pPr>
        <w:spacing w:before="240" w:after="240" w:line="240" w:lineRule="auto"/>
        <w:ind w:firstLine="720"/>
        <w:jc w:val="both"/>
        <w:rPr>
          <w:sz w:val="24"/>
          <w:szCs w:val="24"/>
        </w:rPr>
      </w:pPr>
      <w:r w:rsidRPr="00CF0BBA">
        <w:rPr>
          <w:sz w:val="24"/>
          <w:szCs w:val="24"/>
        </w:rPr>
        <w:t>In 1999, Mr. Mihaly applie</w:t>
      </w:r>
      <w:r w:rsidR="00D35C71" w:rsidRPr="00CF0BBA">
        <w:rPr>
          <w:sz w:val="24"/>
          <w:szCs w:val="24"/>
        </w:rPr>
        <w:t>d</w:t>
      </w:r>
      <w:r w:rsidRPr="00CF0BBA">
        <w:rPr>
          <w:sz w:val="24"/>
          <w:szCs w:val="24"/>
        </w:rPr>
        <w:t xml:space="preserve"> to APEGA to be registered as a Professional Engineer. As ordered by APEGA, in January 2000, he failed </w:t>
      </w:r>
      <w:r w:rsidR="00427DBF" w:rsidRPr="00CF0BBA">
        <w:rPr>
          <w:sz w:val="24"/>
          <w:szCs w:val="24"/>
        </w:rPr>
        <w:t xml:space="preserve">his first attempt at </w:t>
      </w:r>
      <w:r w:rsidRPr="00CF0BBA">
        <w:rPr>
          <w:sz w:val="24"/>
          <w:szCs w:val="24"/>
        </w:rPr>
        <w:t xml:space="preserve">the </w:t>
      </w:r>
      <w:r w:rsidR="00427DBF" w:rsidRPr="00CF0BBA">
        <w:rPr>
          <w:sz w:val="24"/>
          <w:szCs w:val="24"/>
        </w:rPr>
        <w:t xml:space="preserve">compulsory </w:t>
      </w:r>
      <w:r w:rsidRPr="00CF0BBA">
        <w:rPr>
          <w:sz w:val="24"/>
          <w:szCs w:val="24"/>
        </w:rPr>
        <w:t xml:space="preserve">NPPE. After </w:t>
      </w:r>
      <w:r w:rsidR="001C6362" w:rsidRPr="00CF0BBA">
        <w:rPr>
          <w:sz w:val="24"/>
          <w:szCs w:val="24"/>
        </w:rPr>
        <w:t>further reviewing</w:t>
      </w:r>
      <w:r w:rsidRPr="00CF0BBA">
        <w:rPr>
          <w:sz w:val="24"/>
          <w:szCs w:val="24"/>
        </w:rPr>
        <w:t xml:space="preserve"> his application and transcripts, APEGA required Mr. Mihaly to: pass the NPPE; complete three confirmatory examinations; and take a course or pass an equivalent Engineering Economics exam by May 2001. </w:t>
      </w:r>
      <w:r w:rsidR="001C6362" w:rsidRPr="00CF0BBA">
        <w:rPr>
          <w:sz w:val="24"/>
          <w:szCs w:val="24"/>
        </w:rPr>
        <w:t xml:space="preserve">Although he applied to write the NPPE in October 2000, Mr. Mihaly failed to attend to write the </w:t>
      </w:r>
      <w:r w:rsidR="00D35C71" w:rsidRPr="00CF0BBA">
        <w:rPr>
          <w:sz w:val="24"/>
          <w:szCs w:val="24"/>
        </w:rPr>
        <w:t>exam</w:t>
      </w:r>
      <w:r w:rsidR="001817FD">
        <w:rPr>
          <w:sz w:val="24"/>
          <w:szCs w:val="24"/>
        </w:rPr>
        <w:t xml:space="preserve"> [</w:t>
      </w:r>
      <w:sdt>
        <w:sdtPr>
          <w:rPr>
            <w:sz w:val="24"/>
          </w:rPr>
          <w:id w:val="-916627541"/>
          <w:citation/>
        </w:sdtPr>
        <w:sdtEndPr/>
        <w:sdtContent>
          <w:r w:rsidR="002A42BD" w:rsidRPr="00CF0BBA">
            <w:rPr>
              <w:sz w:val="24"/>
            </w:rPr>
            <w:fldChar w:fldCharType="begin"/>
          </w:r>
          <w:r w:rsidR="002A42BD" w:rsidRPr="00CF0BBA">
            <w:rPr>
              <w:sz w:val="24"/>
              <w:lang w:val="en-US"/>
            </w:rPr>
            <w:instrText xml:space="preserve"> CITATION Cou16 \l 1033 </w:instrText>
          </w:r>
          <w:r w:rsidR="002A42BD" w:rsidRPr="00CF0BBA">
            <w:rPr>
              <w:sz w:val="24"/>
            </w:rPr>
            <w:fldChar w:fldCharType="separate"/>
          </w:r>
          <w:r w:rsidR="00DE6EEF" w:rsidRPr="00CF0BBA">
            <w:rPr>
              <w:noProof/>
              <w:sz w:val="24"/>
              <w:lang w:val="en-US"/>
            </w:rPr>
            <w:t xml:space="preserve"> [13]</w:t>
          </w:r>
          <w:r w:rsidR="002A42BD" w:rsidRPr="00CF0BBA">
            <w:rPr>
              <w:sz w:val="24"/>
            </w:rPr>
            <w:fldChar w:fldCharType="end"/>
          </w:r>
        </w:sdtContent>
      </w:sdt>
      <w:r w:rsidR="002A42BD" w:rsidRPr="00CF0BBA">
        <w:rPr>
          <w:sz w:val="24"/>
        </w:rPr>
        <w:t>pp. 3]</w:t>
      </w:r>
      <w:r w:rsidR="001817FD">
        <w:rPr>
          <w:sz w:val="24"/>
        </w:rPr>
        <w:t>.</w:t>
      </w:r>
    </w:p>
    <w:p w14:paraId="56798C17" w14:textId="01E08988" w:rsidR="00D831E5" w:rsidRPr="00CF0BBA" w:rsidRDefault="001C6362" w:rsidP="00A30F31">
      <w:pPr>
        <w:spacing w:before="240" w:after="240" w:line="240" w:lineRule="auto"/>
        <w:ind w:firstLine="720"/>
        <w:jc w:val="both"/>
        <w:rPr>
          <w:sz w:val="24"/>
          <w:szCs w:val="24"/>
        </w:rPr>
      </w:pPr>
      <w:r w:rsidRPr="00CF0BBA">
        <w:rPr>
          <w:sz w:val="24"/>
          <w:szCs w:val="24"/>
        </w:rPr>
        <w:t xml:space="preserve">In June 2001, APEGA withdrew his application as he failed to write the required examinations by May 2001. In May 2002, Mr. Mihaly asked APEGA to reactivate his application and applied to write the NPPE in July 2002, which he failed again. </w:t>
      </w:r>
      <w:r w:rsidR="00903F49" w:rsidRPr="00CF0BBA">
        <w:rPr>
          <w:sz w:val="24"/>
          <w:szCs w:val="24"/>
        </w:rPr>
        <w:t xml:space="preserve">In June 2002, APEGA reactivated his file and restated that he is required to write three confirmatory examinations by May 2003 and the Engineering Economics </w:t>
      </w:r>
      <w:r w:rsidR="001C0BA7" w:rsidRPr="00CF0BBA">
        <w:rPr>
          <w:sz w:val="24"/>
          <w:szCs w:val="24"/>
        </w:rPr>
        <w:t xml:space="preserve">course or exam by November 2003 </w:t>
      </w:r>
      <w:r w:rsidR="002A42BD" w:rsidRPr="00CF0BBA">
        <w:rPr>
          <w:sz w:val="24"/>
          <w:szCs w:val="24"/>
        </w:rPr>
        <w:t>[</w:t>
      </w:r>
      <w:sdt>
        <w:sdtPr>
          <w:rPr>
            <w:sz w:val="24"/>
          </w:rPr>
          <w:id w:val="-543984724"/>
          <w:citation/>
        </w:sdtPr>
        <w:sdtEndPr/>
        <w:sdtContent>
          <w:r w:rsidR="002A42BD" w:rsidRPr="00CF0BBA">
            <w:rPr>
              <w:sz w:val="24"/>
            </w:rPr>
            <w:fldChar w:fldCharType="begin"/>
          </w:r>
          <w:r w:rsidR="002A42BD" w:rsidRPr="00CF0BBA">
            <w:rPr>
              <w:sz w:val="24"/>
              <w:lang w:val="en-US"/>
            </w:rPr>
            <w:instrText xml:space="preserve"> CITATION Cou16 \l 1033 </w:instrText>
          </w:r>
          <w:r w:rsidR="002A42BD" w:rsidRPr="00CF0BBA">
            <w:rPr>
              <w:sz w:val="24"/>
            </w:rPr>
            <w:fldChar w:fldCharType="separate"/>
          </w:r>
          <w:r w:rsidR="00DE6EEF" w:rsidRPr="00CF0BBA">
            <w:rPr>
              <w:noProof/>
              <w:sz w:val="24"/>
              <w:lang w:val="en-US"/>
            </w:rPr>
            <w:t xml:space="preserve"> [13]</w:t>
          </w:r>
          <w:r w:rsidR="002A42BD" w:rsidRPr="00CF0BBA">
            <w:rPr>
              <w:sz w:val="24"/>
            </w:rPr>
            <w:fldChar w:fldCharType="end"/>
          </w:r>
        </w:sdtContent>
      </w:sdt>
      <w:r w:rsidR="002A42BD" w:rsidRPr="00CF0BBA">
        <w:rPr>
          <w:sz w:val="24"/>
        </w:rPr>
        <w:t>pp. 4]</w:t>
      </w:r>
      <w:r w:rsidR="001817FD">
        <w:rPr>
          <w:sz w:val="24"/>
        </w:rPr>
        <w:t>.</w:t>
      </w:r>
    </w:p>
    <w:p w14:paraId="020C56DE" w14:textId="64C5FF27" w:rsidR="001C0BA7" w:rsidRPr="00CF0BBA" w:rsidRDefault="002208D7" w:rsidP="00A30F31">
      <w:pPr>
        <w:spacing w:before="240" w:after="240" w:line="240" w:lineRule="auto"/>
        <w:ind w:firstLine="720"/>
        <w:jc w:val="both"/>
        <w:rPr>
          <w:sz w:val="24"/>
          <w:szCs w:val="24"/>
        </w:rPr>
      </w:pPr>
      <w:r w:rsidRPr="00CF0BBA">
        <w:rPr>
          <w:sz w:val="24"/>
          <w:szCs w:val="24"/>
        </w:rPr>
        <w:t>Mr. Mihaly</w:t>
      </w:r>
      <w:r w:rsidR="001C0BA7" w:rsidRPr="00CF0BBA">
        <w:rPr>
          <w:sz w:val="24"/>
          <w:szCs w:val="24"/>
        </w:rPr>
        <w:t xml:space="preserve"> rewrote the NPPE in January 2003 and failed again. In August 2003, APEGA withdrew his application for a second time since he failed to write the confirmatory examinations. In October 2006, </w:t>
      </w:r>
      <w:r w:rsidRPr="00CF0BBA">
        <w:rPr>
          <w:sz w:val="24"/>
          <w:szCs w:val="24"/>
        </w:rPr>
        <w:t>Mr. Mihaly</w:t>
      </w:r>
      <w:r w:rsidR="001C0BA7" w:rsidRPr="00CF0BBA">
        <w:rPr>
          <w:sz w:val="24"/>
          <w:szCs w:val="24"/>
        </w:rPr>
        <w:t xml:space="preserve"> asked APEGA to reactivate his application for a third time and APEGA </w:t>
      </w:r>
      <w:r w:rsidR="00D87782" w:rsidRPr="00CF0BBA">
        <w:rPr>
          <w:sz w:val="24"/>
          <w:szCs w:val="24"/>
        </w:rPr>
        <w:t xml:space="preserve">requested an updated resume and list of references, which he provided a month later. In August 2007, the Board of Examiners reassessed </w:t>
      </w:r>
      <w:r w:rsidRPr="00CF0BBA">
        <w:rPr>
          <w:sz w:val="24"/>
          <w:szCs w:val="24"/>
        </w:rPr>
        <w:t>Mr. Mihaly</w:t>
      </w:r>
      <w:r w:rsidR="00D87782" w:rsidRPr="00CF0BBA">
        <w:rPr>
          <w:sz w:val="24"/>
          <w:szCs w:val="24"/>
        </w:rPr>
        <w:t xml:space="preserve">’s application and established that he had to complete three confirmatory examinations and a course or examination in Engineering Economics, or the Fundamentals of Engineering [FE] exam. </w:t>
      </w:r>
      <w:r w:rsidR="00B43CF1" w:rsidRPr="00CF0BBA">
        <w:rPr>
          <w:sz w:val="24"/>
          <w:szCs w:val="24"/>
        </w:rPr>
        <w:t>Moreover, the</w:t>
      </w:r>
      <w:r w:rsidR="00D87782" w:rsidRPr="00CF0BBA">
        <w:rPr>
          <w:sz w:val="24"/>
          <w:szCs w:val="24"/>
        </w:rPr>
        <w:t xml:space="preserve"> Board determined that </w:t>
      </w:r>
      <w:r w:rsidRPr="00CF0BBA">
        <w:rPr>
          <w:sz w:val="24"/>
          <w:szCs w:val="24"/>
        </w:rPr>
        <w:t>Mr. Mihaly</w:t>
      </w:r>
      <w:r w:rsidR="00F073F7" w:rsidRPr="00CF0BBA">
        <w:rPr>
          <w:sz w:val="24"/>
          <w:szCs w:val="24"/>
        </w:rPr>
        <w:t xml:space="preserve"> </w:t>
      </w:r>
      <w:r w:rsidR="00B43CF1" w:rsidRPr="00CF0BBA">
        <w:rPr>
          <w:sz w:val="24"/>
          <w:szCs w:val="24"/>
        </w:rPr>
        <w:t xml:space="preserve">still requires one year </w:t>
      </w:r>
      <w:r w:rsidR="00D168E4" w:rsidRPr="00CF0BBA">
        <w:rPr>
          <w:sz w:val="24"/>
          <w:szCs w:val="24"/>
        </w:rPr>
        <w:t xml:space="preserve">of </w:t>
      </w:r>
      <w:r w:rsidR="00B43CF1" w:rsidRPr="00CF0BBA">
        <w:rPr>
          <w:sz w:val="24"/>
          <w:szCs w:val="24"/>
        </w:rPr>
        <w:t>acceptable D</w:t>
      </w:r>
      <w:r w:rsidR="00D168E4" w:rsidRPr="00CF0BBA">
        <w:rPr>
          <w:sz w:val="24"/>
          <w:szCs w:val="24"/>
        </w:rPr>
        <w:t>-</w:t>
      </w:r>
      <w:r w:rsidR="00B43CF1" w:rsidRPr="00CF0BBA">
        <w:rPr>
          <w:sz w:val="24"/>
          <w:szCs w:val="24"/>
        </w:rPr>
        <w:t xml:space="preserve">level Canadian engineering experience as his past work experience was not </w:t>
      </w:r>
      <w:r w:rsidR="007A20F3">
        <w:rPr>
          <w:sz w:val="24"/>
          <w:szCs w:val="24"/>
        </w:rPr>
        <w:t>eligible</w:t>
      </w:r>
      <w:r w:rsidR="001817FD">
        <w:rPr>
          <w:sz w:val="24"/>
          <w:szCs w:val="24"/>
        </w:rPr>
        <w:t xml:space="preserve"> [</w:t>
      </w:r>
      <w:sdt>
        <w:sdtPr>
          <w:rPr>
            <w:sz w:val="24"/>
          </w:rPr>
          <w:id w:val="-403064738"/>
          <w:citation/>
        </w:sdtPr>
        <w:sdtEndPr/>
        <w:sdtContent>
          <w:r w:rsidR="002A42BD" w:rsidRPr="00CF0BBA">
            <w:rPr>
              <w:sz w:val="24"/>
            </w:rPr>
            <w:fldChar w:fldCharType="begin"/>
          </w:r>
          <w:r w:rsidR="002A42BD" w:rsidRPr="00CF0BBA">
            <w:rPr>
              <w:sz w:val="24"/>
              <w:lang w:val="en-US"/>
            </w:rPr>
            <w:instrText xml:space="preserve"> CITATION Cou16 \l 1033 </w:instrText>
          </w:r>
          <w:r w:rsidR="002A42BD" w:rsidRPr="00CF0BBA">
            <w:rPr>
              <w:sz w:val="24"/>
            </w:rPr>
            <w:fldChar w:fldCharType="separate"/>
          </w:r>
          <w:r w:rsidR="00DE6EEF" w:rsidRPr="00CF0BBA">
            <w:rPr>
              <w:noProof/>
              <w:sz w:val="24"/>
              <w:lang w:val="en-US"/>
            </w:rPr>
            <w:t xml:space="preserve"> [13]</w:t>
          </w:r>
          <w:r w:rsidR="002A42BD" w:rsidRPr="00CF0BBA">
            <w:rPr>
              <w:sz w:val="24"/>
            </w:rPr>
            <w:fldChar w:fldCharType="end"/>
          </w:r>
        </w:sdtContent>
      </w:sdt>
      <w:r w:rsidR="002A42BD" w:rsidRPr="00CF0BBA">
        <w:rPr>
          <w:sz w:val="24"/>
        </w:rPr>
        <w:t>pp. 4]</w:t>
      </w:r>
      <w:r w:rsidR="001817FD">
        <w:rPr>
          <w:sz w:val="24"/>
        </w:rPr>
        <w:t>.</w:t>
      </w:r>
    </w:p>
    <w:p w14:paraId="62869E50" w14:textId="1DD8FB78" w:rsidR="00E30458" w:rsidRPr="00CF0BBA" w:rsidRDefault="00D168E4" w:rsidP="00A30F31">
      <w:pPr>
        <w:spacing w:before="240" w:after="240" w:line="240" w:lineRule="auto"/>
        <w:ind w:firstLine="720"/>
        <w:jc w:val="both"/>
        <w:rPr>
          <w:sz w:val="24"/>
          <w:szCs w:val="24"/>
        </w:rPr>
      </w:pPr>
      <w:r w:rsidRPr="00CF0BBA">
        <w:rPr>
          <w:sz w:val="24"/>
          <w:szCs w:val="24"/>
        </w:rPr>
        <w:t xml:space="preserve">In August 2008, </w:t>
      </w:r>
      <w:r w:rsidR="002208D7" w:rsidRPr="00CF0BBA">
        <w:rPr>
          <w:sz w:val="24"/>
          <w:szCs w:val="24"/>
        </w:rPr>
        <w:t>Mr. Mihaly</w:t>
      </w:r>
      <w:r w:rsidRPr="00CF0BBA">
        <w:rPr>
          <w:sz w:val="24"/>
          <w:szCs w:val="24"/>
        </w:rPr>
        <w:t xml:space="preserve"> filed a complaint with the AHRC with allegations of discrimination from APEGA for denial of registration as a professional engineer based on place of origin. </w:t>
      </w:r>
      <w:r w:rsidR="0079049D" w:rsidRPr="00CF0BBA">
        <w:rPr>
          <w:sz w:val="24"/>
          <w:szCs w:val="24"/>
        </w:rPr>
        <w:t>In Februa</w:t>
      </w:r>
      <w:r w:rsidR="00B85A1B" w:rsidRPr="00CF0BBA">
        <w:rPr>
          <w:sz w:val="24"/>
          <w:szCs w:val="24"/>
        </w:rPr>
        <w:t>ry</w:t>
      </w:r>
      <w:r w:rsidR="0079049D" w:rsidRPr="00CF0BBA">
        <w:rPr>
          <w:sz w:val="24"/>
          <w:szCs w:val="24"/>
        </w:rPr>
        <w:t xml:space="preserve"> 2014, the Tribunal determined that APEGA’s </w:t>
      </w:r>
      <w:r w:rsidR="00B85A1B" w:rsidRPr="00CF0BBA">
        <w:rPr>
          <w:sz w:val="24"/>
          <w:szCs w:val="24"/>
        </w:rPr>
        <w:t xml:space="preserve">lack of individualized assessment or exploration of other assessment options under their </w:t>
      </w:r>
      <w:r w:rsidR="0079049D" w:rsidRPr="00CF0BBA">
        <w:rPr>
          <w:sz w:val="24"/>
          <w:szCs w:val="24"/>
        </w:rPr>
        <w:t xml:space="preserve">Examination Standard and Experience </w:t>
      </w:r>
      <w:r w:rsidR="0079049D" w:rsidRPr="00CF0BBA">
        <w:rPr>
          <w:sz w:val="24"/>
          <w:szCs w:val="24"/>
        </w:rPr>
        <w:lastRenderedPageBreak/>
        <w:t>Standard</w:t>
      </w:r>
      <w:r w:rsidR="00B85A1B" w:rsidRPr="00CF0BBA">
        <w:rPr>
          <w:sz w:val="24"/>
          <w:szCs w:val="24"/>
        </w:rPr>
        <w:t xml:space="preserve"> constitutes discrimination.</w:t>
      </w:r>
      <w:r w:rsidR="00E30458" w:rsidRPr="00CF0BBA">
        <w:rPr>
          <w:sz w:val="24"/>
          <w:szCs w:val="24"/>
        </w:rPr>
        <w:t xml:space="preserve"> The ruling led to the Tribunal awarding </w:t>
      </w:r>
      <w:r w:rsidR="002208D7" w:rsidRPr="00CF0BBA">
        <w:rPr>
          <w:sz w:val="24"/>
          <w:szCs w:val="24"/>
        </w:rPr>
        <w:t>Mr. Mihaly</w:t>
      </w:r>
      <w:r w:rsidR="00E30458" w:rsidRPr="00CF0BBA">
        <w:rPr>
          <w:sz w:val="24"/>
          <w:szCs w:val="24"/>
        </w:rPr>
        <w:t xml:space="preserve"> $10,000 in </w:t>
      </w:r>
      <w:r w:rsidR="00254776" w:rsidRPr="00CF0BBA">
        <w:rPr>
          <w:sz w:val="24"/>
          <w:szCs w:val="24"/>
        </w:rPr>
        <w:t>damages and</w:t>
      </w:r>
      <w:r w:rsidR="00E30458" w:rsidRPr="00CF0BBA">
        <w:rPr>
          <w:sz w:val="24"/>
          <w:szCs w:val="24"/>
        </w:rPr>
        <w:t xml:space="preserve"> ordered APEGA to reconsider his application by appointing a committee to reassess and accommodate him by providing other options </w:t>
      </w:r>
      <w:r w:rsidR="00480615">
        <w:rPr>
          <w:sz w:val="24"/>
          <w:szCs w:val="24"/>
        </w:rPr>
        <w:t>of</w:t>
      </w:r>
      <w:r w:rsidR="00E30458" w:rsidRPr="00CF0BBA">
        <w:rPr>
          <w:sz w:val="24"/>
          <w:szCs w:val="24"/>
        </w:rPr>
        <w:t xml:space="preserve"> support </w:t>
      </w:r>
      <w:r w:rsidR="00480615">
        <w:rPr>
          <w:sz w:val="24"/>
          <w:szCs w:val="24"/>
        </w:rPr>
        <w:t>such as</w:t>
      </w:r>
      <w:r w:rsidR="00E30458" w:rsidRPr="00CF0BBA">
        <w:rPr>
          <w:sz w:val="24"/>
          <w:szCs w:val="24"/>
        </w:rPr>
        <w:t xml:space="preserve"> examination exemptions, matching </w:t>
      </w:r>
      <w:r w:rsidR="002208D7" w:rsidRPr="00CF0BBA">
        <w:rPr>
          <w:sz w:val="24"/>
          <w:szCs w:val="24"/>
        </w:rPr>
        <w:t>Mr. Mihaly</w:t>
      </w:r>
      <w:r w:rsidR="00E30458" w:rsidRPr="00CF0BBA">
        <w:rPr>
          <w:sz w:val="24"/>
          <w:szCs w:val="24"/>
        </w:rPr>
        <w:t xml:space="preserve"> with a mentor</w:t>
      </w:r>
      <w:r w:rsidR="00480615">
        <w:rPr>
          <w:sz w:val="24"/>
          <w:szCs w:val="24"/>
        </w:rPr>
        <w:t>,</w:t>
      </w:r>
      <w:r w:rsidR="00E30458" w:rsidRPr="00CF0BBA">
        <w:rPr>
          <w:sz w:val="24"/>
          <w:szCs w:val="24"/>
        </w:rPr>
        <w:t xml:space="preserve"> and networking aid.</w:t>
      </w:r>
      <w:r w:rsidR="00354F87" w:rsidRPr="00CF0BBA">
        <w:rPr>
          <w:sz w:val="24"/>
          <w:szCs w:val="24"/>
        </w:rPr>
        <w:t xml:space="preserve"> Furthermore, the Tribunal refused to award lost wages to </w:t>
      </w:r>
      <w:r w:rsidR="002208D7" w:rsidRPr="00CF0BBA">
        <w:rPr>
          <w:sz w:val="24"/>
          <w:szCs w:val="24"/>
        </w:rPr>
        <w:t>Mr. Mihaly</w:t>
      </w:r>
      <w:r w:rsidR="00354F87" w:rsidRPr="00CF0BBA">
        <w:rPr>
          <w:sz w:val="24"/>
          <w:szCs w:val="24"/>
        </w:rPr>
        <w:t xml:space="preserve"> due to lack of evidence to his claim </w:t>
      </w:r>
      <w:r w:rsidR="002A42BD" w:rsidRPr="00CF0BBA">
        <w:rPr>
          <w:sz w:val="24"/>
          <w:szCs w:val="24"/>
        </w:rPr>
        <w:t>[</w:t>
      </w:r>
      <w:sdt>
        <w:sdtPr>
          <w:rPr>
            <w:sz w:val="24"/>
          </w:rPr>
          <w:id w:val="-568034016"/>
          <w:citation/>
        </w:sdtPr>
        <w:sdtEndPr/>
        <w:sdtContent>
          <w:r w:rsidR="002A42BD" w:rsidRPr="00CF0BBA">
            <w:rPr>
              <w:sz w:val="24"/>
            </w:rPr>
            <w:fldChar w:fldCharType="begin"/>
          </w:r>
          <w:r w:rsidR="002A42BD" w:rsidRPr="00CF0BBA">
            <w:rPr>
              <w:sz w:val="24"/>
              <w:lang w:val="en-US"/>
            </w:rPr>
            <w:instrText xml:space="preserve"> CITATION Cou16 \l 1033 </w:instrText>
          </w:r>
          <w:r w:rsidR="002A42BD" w:rsidRPr="00CF0BBA">
            <w:rPr>
              <w:sz w:val="24"/>
            </w:rPr>
            <w:fldChar w:fldCharType="separate"/>
          </w:r>
          <w:r w:rsidR="00DE6EEF" w:rsidRPr="00CF0BBA">
            <w:rPr>
              <w:noProof/>
              <w:sz w:val="24"/>
              <w:lang w:val="en-US"/>
            </w:rPr>
            <w:t xml:space="preserve"> [13]</w:t>
          </w:r>
          <w:r w:rsidR="002A42BD" w:rsidRPr="00CF0BBA">
            <w:rPr>
              <w:sz w:val="24"/>
            </w:rPr>
            <w:fldChar w:fldCharType="end"/>
          </w:r>
        </w:sdtContent>
      </w:sdt>
      <w:r w:rsidR="002A42BD" w:rsidRPr="00CF0BBA">
        <w:rPr>
          <w:sz w:val="24"/>
        </w:rPr>
        <w:t>pp. 4]</w:t>
      </w:r>
      <w:r w:rsidR="001817FD">
        <w:rPr>
          <w:sz w:val="24"/>
        </w:rPr>
        <w:t>.</w:t>
      </w:r>
    </w:p>
    <w:p w14:paraId="31111FA6" w14:textId="6B38148B" w:rsidR="002A42BD" w:rsidRPr="00CF0BBA" w:rsidRDefault="00E30458" w:rsidP="00A30F31">
      <w:pPr>
        <w:spacing w:before="240" w:after="240" w:line="240" w:lineRule="auto"/>
        <w:ind w:firstLine="720"/>
        <w:jc w:val="both"/>
        <w:rPr>
          <w:sz w:val="24"/>
        </w:rPr>
      </w:pPr>
      <w:r w:rsidRPr="00CF0BBA">
        <w:rPr>
          <w:sz w:val="24"/>
          <w:szCs w:val="24"/>
        </w:rPr>
        <w:t xml:space="preserve">APEGA </w:t>
      </w:r>
      <w:r w:rsidR="007E69BD" w:rsidRPr="00CF0BBA">
        <w:rPr>
          <w:sz w:val="24"/>
          <w:szCs w:val="24"/>
        </w:rPr>
        <w:t xml:space="preserve">proceeded to file </w:t>
      </w:r>
      <w:r w:rsidRPr="00CF0BBA">
        <w:rPr>
          <w:sz w:val="24"/>
          <w:szCs w:val="24"/>
        </w:rPr>
        <w:t xml:space="preserve">an appeal </w:t>
      </w:r>
      <w:r w:rsidR="007E69BD" w:rsidRPr="00CF0BBA">
        <w:rPr>
          <w:sz w:val="24"/>
          <w:szCs w:val="24"/>
        </w:rPr>
        <w:t>to the Court of Queen’s Bench</w:t>
      </w:r>
      <w:r w:rsidR="00D35C71" w:rsidRPr="00CF0BBA">
        <w:rPr>
          <w:sz w:val="24"/>
          <w:szCs w:val="24"/>
        </w:rPr>
        <w:t xml:space="preserve"> [CQB]</w:t>
      </w:r>
      <w:r w:rsidR="007E69BD" w:rsidRPr="00CF0BBA">
        <w:rPr>
          <w:sz w:val="24"/>
          <w:szCs w:val="24"/>
        </w:rPr>
        <w:t xml:space="preserve"> of Alberta </w:t>
      </w:r>
      <w:r w:rsidRPr="00CF0BBA">
        <w:rPr>
          <w:sz w:val="24"/>
          <w:szCs w:val="24"/>
        </w:rPr>
        <w:t>against this Tribunal decision</w:t>
      </w:r>
      <w:r w:rsidR="007E69BD" w:rsidRPr="00CF0BBA">
        <w:rPr>
          <w:sz w:val="24"/>
          <w:szCs w:val="24"/>
        </w:rPr>
        <w:t xml:space="preserve">. In 2015, APEGA’s appeal was heard and cross-appealed by </w:t>
      </w:r>
      <w:r w:rsidR="002208D7" w:rsidRPr="00CF0BBA">
        <w:rPr>
          <w:sz w:val="24"/>
          <w:szCs w:val="24"/>
        </w:rPr>
        <w:t>Mr. Mihaly</w:t>
      </w:r>
      <w:r w:rsidR="007E69BD" w:rsidRPr="00CF0BBA">
        <w:rPr>
          <w:sz w:val="24"/>
          <w:szCs w:val="24"/>
        </w:rPr>
        <w:t xml:space="preserve"> increasing damages to millions. </w:t>
      </w:r>
      <w:r w:rsidR="00EB54B7" w:rsidRPr="00CF0BBA">
        <w:rPr>
          <w:sz w:val="24"/>
          <w:szCs w:val="24"/>
        </w:rPr>
        <w:t xml:space="preserve">The Appellant, APEGA, presented the following issues: </w:t>
      </w:r>
      <w:r w:rsidR="00326C5E" w:rsidRPr="00CF0BBA">
        <w:rPr>
          <w:sz w:val="24"/>
          <w:szCs w:val="24"/>
        </w:rPr>
        <w:t xml:space="preserve">whether </w:t>
      </w:r>
      <w:r w:rsidR="00E27752" w:rsidRPr="00CF0BBA">
        <w:rPr>
          <w:sz w:val="24"/>
          <w:szCs w:val="24"/>
        </w:rPr>
        <w:t xml:space="preserve">the Tribunal breached </w:t>
      </w:r>
      <w:r w:rsidR="00EB54B7" w:rsidRPr="00CF0BBA">
        <w:rPr>
          <w:sz w:val="24"/>
          <w:szCs w:val="24"/>
        </w:rPr>
        <w:t>procedural fairness;</w:t>
      </w:r>
      <w:r w:rsidR="00E27752" w:rsidRPr="00CF0BBA">
        <w:rPr>
          <w:sz w:val="24"/>
          <w:szCs w:val="24"/>
        </w:rPr>
        <w:t xml:space="preserve"> whether the Tribunal determined discrimination based on place or origin or place of education</w:t>
      </w:r>
      <w:r w:rsidR="00EB54B7" w:rsidRPr="00CF0BBA">
        <w:rPr>
          <w:sz w:val="24"/>
          <w:szCs w:val="24"/>
        </w:rPr>
        <w:t>;</w:t>
      </w:r>
      <w:r w:rsidR="00E27752" w:rsidRPr="00CF0BBA">
        <w:rPr>
          <w:sz w:val="24"/>
          <w:szCs w:val="24"/>
        </w:rPr>
        <w:t xml:space="preserve"> whether the Tribunal applied the appropriate legal test for determining prima facie discrimination; and whether the Tribunal was unreasonable in deciding that APEGA’s requirements were unjust</w:t>
      </w:r>
      <w:r w:rsidR="001817FD">
        <w:rPr>
          <w:sz w:val="24"/>
          <w:szCs w:val="24"/>
        </w:rPr>
        <w:t xml:space="preserve"> [</w:t>
      </w:r>
      <w:sdt>
        <w:sdtPr>
          <w:rPr>
            <w:sz w:val="24"/>
          </w:rPr>
          <w:id w:val="-1145507343"/>
          <w:citation/>
        </w:sdtPr>
        <w:sdtEndPr/>
        <w:sdtContent>
          <w:r w:rsidR="002A42BD" w:rsidRPr="00CF0BBA">
            <w:rPr>
              <w:sz w:val="24"/>
            </w:rPr>
            <w:fldChar w:fldCharType="begin"/>
          </w:r>
          <w:r w:rsidR="002A42BD" w:rsidRPr="00CF0BBA">
            <w:rPr>
              <w:sz w:val="24"/>
              <w:lang w:val="en-US"/>
            </w:rPr>
            <w:instrText xml:space="preserve"> CITATION Cou16 \l 1033 </w:instrText>
          </w:r>
          <w:r w:rsidR="002A42BD" w:rsidRPr="00CF0BBA">
            <w:rPr>
              <w:sz w:val="24"/>
            </w:rPr>
            <w:fldChar w:fldCharType="separate"/>
          </w:r>
          <w:r w:rsidR="00DE6EEF" w:rsidRPr="00CF0BBA">
            <w:rPr>
              <w:noProof/>
              <w:sz w:val="24"/>
              <w:lang w:val="en-US"/>
            </w:rPr>
            <w:t xml:space="preserve"> [13]</w:t>
          </w:r>
          <w:r w:rsidR="002A42BD" w:rsidRPr="00CF0BBA">
            <w:rPr>
              <w:sz w:val="24"/>
            </w:rPr>
            <w:fldChar w:fldCharType="end"/>
          </w:r>
        </w:sdtContent>
      </w:sdt>
      <w:r w:rsidR="002A42BD" w:rsidRPr="00CF0BBA">
        <w:rPr>
          <w:sz w:val="24"/>
        </w:rPr>
        <w:t>pp. 9]</w:t>
      </w:r>
      <w:r w:rsidR="001817FD">
        <w:rPr>
          <w:sz w:val="24"/>
        </w:rPr>
        <w:t>.</w:t>
      </w:r>
    </w:p>
    <w:p w14:paraId="13BBD6CA" w14:textId="0039F77D" w:rsidR="00325F54" w:rsidRDefault="008B5EB4" w:rsidP="00A30F31">
      <w:pPr>
        <w:spacing w:before="240" w:after="240" w:line="240" w:lineRule="auto"/>
        <w:ind w:firstLine="720"/>
        <w:jc w:val="both"/>
        <w:rPr>
          <w:sz w:val="24"/>
          <w:szCs w:val="24"/>
        </w:rPr>
      </w:pPr>
      <w:r w:rsidRPr="00CF0BBA">
        <w:rPr>
          <w:sz w:val="24"/>
          <w:szCs w:val="24"/>
        </w:rPr>
        <w:t xml:space="preserve">In January 2016, the Court of Queen’s Bench ruled to reverse the Tribunal’s decision and determined that confirmatory exams are a </w:t>
      </w:r>
      <w:r w:rsidR="0010641A" w:rsidRPr="00CF0BBA">
        <w:rPr>
          <w:sz w:val="24"/>
          <w:szCs w:val="24"/>
        </w:rPr>
        <w:t>fair</w:t>
      </w:r>
      <w:r w:rsidRPr="00CF0BBA">
        <w:rPr>
          <w:sz w:val="24"/>
          <w:szCs w:val="24"/>
        </w:rPr>
        <w:t xml:space="preserve"> and justifiable </w:t>
      </w:r>
      <w:r w:rsidR="00480615">
        <w:rPr>
          <w:sz w:val="24"/>
          <w:szCs w:val="24"/>
        </w:rPr>
        <w:t>means</w:t>
      </w:r>
      <w:r w:rsidRPr="00CF0BBA">
        <w:rPr>
          <w:sz w:val="24"/>
          <w:szCs w:val="24"/>
        </w:rPr>
        <w:t xml:space="preserve"> in confirming technical competency</w:t>
      </w:r>
      <w:r w:rsidR="00325F54" w:rsidRPr="00CF0BBA">
        <w:rPr>
          <w:sz w:val="24"/>
          <w:szCs w:val="24"/>
        </w:rPr>
        <w:t xml:space="preserve">. The </w:t>
      </w:r>
      <w:r w:rsidR="00D35C71" w:rsidRPr="00CF0BBA">
        <w:rPr>
          <w:sz w:val="24"/>
          <w:szCs w:val="24"/>
        </w:rPr>
        <w:t>CQB</w:t>
      </w:r>
      <w:r w:rsidR="00325F54" w:rsidRPr="00CF0BBA">
        <w:rPr>
          <w:sz w:val="24"/>
          <w:szCs w:val="24"/>
        </w:rPr>
        <w:t xml:space="preserve"> also dismissed </w:t>
      </w:r>
      <w:r w:rsidR="002208D7" w:rsidRPr="00CF0BBA">
        <w:rPr>
          <w:sz w:val="24"/>
          <w:szCs w:val="24"/>
        </w:rPr>
        <w:t>Mr. Mihaly</w:t>
      </w:r>
      <w:r w:rsidR="00325F54" w:rsidRPr="00CF0BBA">
        <w:rPr>
          <w:sz w:val="24"/>
          <w:szCs w:val="24"/>
        </w:rPr>
        <w:t xml:space="preserve">’s cross-appeal. In February 2016, </w:t>
      </w:r>
      <w:r w:rsidR="002208D7" w:rsidRPr="00CF0BBA">
        <w:rPr>
          <w:sz w:val="24"/>
          <w:szCs w:val="24"/>
        </w:rPr>
        <w:t>Mr. Mihaly</w:t>
      </w:r>
      <w:r w:rsidR="00325F54" w:rsidRPr="00CF0BBA">
        <w:rPr>
          <w:sz w:val="24"/>
          <w:szCs w:val="24"/>
        </w:rPr>
        <w:t xml:space="preserve"> filed a Civil Notice of Appeal at the Court of Appeal of Alberta against the </w:t>
      </w:r>
      <w:r w:rsidR="00D35C71" w:rsidRPr="00CF0BBA">
        <w:rPr>
          <w:sz w:val="24"/>
          <w:szCs w:val="24"/>
        </w:rPr>
        <w:t>CQB</w:t>
      </w:r>
      <w:r w:rsidR="00325F54" w:rsidRPr="00CF0BBA">
        <w:rPr>
          <w:sz w:val="24"/>
          <w:szCs w:val="24"/>
        </w:rPr>
        <w:t xml:space="preserve"> decision. In June 2016, The Court of Appeal struck the appeal due to failure to advance the Appeal Record. </w:t>
      </w:r>
      <w:r w:rsidR="00843294" w:rsidRPr="00CF0BBA">
        <w:rPr>
          <w:sz w:val="24"/>
          <w:szCs w:val="24"/>
        </w:rPr>
        <w:t xml:space="preserve">In December 2016, </w:t>
      </w:r>
      <w:r w:rsidR="002208D7" w:rsidRPr="00CF0BBA">
        <w:rPr>
          <w:sz w:val="24"/>
          <w:szCs w:val="24"/>
        </w:rPr>
        <w:t>Mr. Mihaly</w:t>
      </w:r>
      <w:r w:rsidR="00843294" w:rsidRPr="00CF0BBA">
        <w:rPr>
          <w:sz w:val="24"/>
          <w:szCs w:val="24"/>
        </w:rPr>
        <w:t xml:space="preserve"> filed an application to restore the appeal. In January 2017, the Court of Appeal hearing was held</w:t>
      </w:r>
      <w:r w:rsidR="00885AAB" w:rsidRPr="00CF0BBA">
        <w:rPr>
          <w:sz w:val="24"/>
          <w:szCs w:val="24"/>
        </w:rPr>
        <w:t>. Since this case has been</w:t>
      </w:r>
      <w:r w:rsidR="00480615">
        <w:rPr>
          <w:sz w:val="24"/>
          <w:szCs w:val="24"/>
        </w:rPr>
        <w:t xml:space="preserve"> unresolved</w:t>
      </w:r>
      <w:r w:rsidR="00885AAB" w:rsidRPr="00CF0BBA">
        <w:rPr>
          <w:sz w:val="24"/>
          <w:szCs w:val="24"/>
        </w:rPr>
        <w:t xml:space="preserve"> for eight years, APEGA is entitled to have finality to </w:t>
      </w:r>
      <w:r w:rsidR="00480615">
        <w:rPr>
          <w:sz w:val="24"/>
          <w:szCs w:val="24"/>
        </w:rPr>
        <w:t>this</w:t>
      </w:r>
      <w:r w:rsidR="00885AAB" w:rsidRPr="00CF0BBA">
        <w:rPr>
          <w:sz w:val="24"/>
          <w:szCs w:val="24"/>
        </w:rPr>
        <w:t xml:space="preserve"> proceeding </w:t>
      </w:r>
      <w:r w:rsidR="00480615">
        <w:rPr>
          <w:sz w:val="24"/>
          <w:szCs w:val="24"/>
        </w:rPr>
        <w:t>as i</w:t>
      </w:r>
      <w:r w:rsidR="00885AAB" w:rsidRPr="00CF0BBA">
        <w:rPr>
          <w:sz w:val="24"/>
          <w:szCs w:val="24"/>
        </w:rPr>
        <w:t>ts methods in assessing foreign credentials</w:t>
      </w:r>
      <w:r w:rsidR="00480615">
        <w:rPr>
          <w:sz w:val="24"/>
          <w:szCs w:val="24"/>
        </w:rPr>
        <w:t xml:space="preserve"> is under scrutiny</w:t>
      </w:r>
      <w:r w:rsidR="00885AAB" w:rsidRPr="00CF0BBA">
        <w:rPr>
          <w:sz w:val="24"/>
          <w:szCs w:val="24"/>
        </w:rPr>
        <w:t xml:space="preserve">. </w:t>
      </w:r>
      <w:r w:rsidR="002208D7" w:rsidRPr="00CF0BBA">
        <w:rPr>
          <w:sz w:val="24"/>
          <w:szCs w:val="24"/>
        </w:rPr>
        <w:t>Mr. Mihaly</w:t>
      </w:r>
      <w:r w:rsidR="00843294" w:rsidRPr="00CF0BBA">
        <w:rPr>
          <w:sz w:val="24"/>
          <w:szCs w:val="24"/>
        </w:rPr>
        <w:t>’s application to restore the appeal was denied as he failed to comply with the</w:t>
      </w:r>
      <w:r w:rsidR="000834F4">
        <w:rPr>
          <w:sz w:val="24"/>
          <w:szCs w:val="24"/>
        </w:rPr>
        <w:t xml:space="preserve"> protocol</w:t>
      </w:r>
      <w:r w:rsidR="00843294" w:rsidRPr="00CF0BBA">
        <w:rPr>
          <w:sz w:val="24"/>
          <w:szCs w:val="24"/>
        </w:rPr>
        <w:t xml:space="preserve"> for restoration of an appeal </w:t>
      </w:r>
      <w:r w:rsidR="002A42BD" w:rsidRPr="00CF0BBA">
        <w:rPr>
          <w:sz w:val="24"/>
          <w:szCs w:val="24"/>
        </w:rPr>
        <w:t>[</w:t>
      </w:r>
      <w:sdt>
        <w:sdtPr>
          <w:rPr>
            <w:sz w:val="24"/>
            <w:szCs w:val="24"/>
          </w:rPr>
          <w:id w:val="-197862754"/>
          <w:citation/>
        </w:sdtPr>
        <w:sdtEndPr/>
        <w:sdtContent>
          <w:r w:rsidR="002A42BD" w:rsidRPr="00CF0BBA">
            <w:rPr>
              <w:sz w:val="24"/>
              <w:szCs w:val="24"/>
            </w:rPr>
            <w:fldChar w:fldCharType="begin"/>
          </w:r>
          <w:r w:rsidR="002A42BD" w:rsidRPr="00CF0BBA">
            <w:rPr>
              <w:sz w:val="24"/>
              <w:szCs w:val="24"/>
              <w:lang w:val="en-US"/>
            </w:rPr>
            <w:instrText xml:space="preserve"> CITATION Cou17 \l 1033 </w:instrText>
          </w:r>
          <w:r w:rsidR="002A42BD" w:rsidRPr="00CF0BBA">
            <w:rPr>
              <w:sz w:val="24"/>
              <w:szCs w:val="24"/>
            </w:rPr>
            <w:fldChar w:fldCharType="separate"/>
          </w:r>
          <w:r w:rsidR="00DE6EEF" w:rsidRPr="00CF0BBA">
            <w:rPr>
              <w:noProof/>
              <w:sz w:val="24"/>
              <w:szCs w:val="24"/>
              <w:lang w:val="en-US"/>
            </w:rPr>
            <w:t xml:space="preserve"> [14]</w:t>
          </w:r>
          <w:r w:rsidR="002A42BD" w:rsidRPr="00CF0BBA">
            <w:rPr>
              <w:sz w:val="24"/>
              <w:szCs w:val="24"/>
            </w:rPr>
            <w:fldChar w:fldCharType="end"/>
          </w:r>
        </w:sdtContent>
      </w:sdt>
      <w:r w:rsidR="00325F54" w:rsidRPr="00CF0BBA">
        <w:rPr>
          <w:sz w:val="24"/>
          <w:szCs w:val="24"/>
        </w:rPr>
        <w:t>p</w:t>
      </w:r>
      <w:r w:rsidR="002A42BD" w:rsidRPr="00CF0BBA">
        <w:rPr>
          <w:sz w:val="24"/>
          <w:szCs w:val="24"/>
        </w:rPr>
        <w:t>p.</w:t>
      </w:r>
      <w:r w:rsidR="00325F54" w:rsidRPr="00CF0BBA">
        <w:rPr>
          <w:sz w:val="24"/>
          <w:szCs w:val="24"/>
        </w:rPr>
        <w:t xml:space="preserve"> 1</w:t>
      </w:r>
      <w:r w:rsidR="002A42BD" w:rsidRPr="00CF0BBA">
        <w:rPr>
          <w:sz w:val="24"/>
          <w:szCs w:val="24"/>
        </w:rPr>
        <w:t>]</w:t>
      </w:r>
      <w:r w:rsidR="001817FD">
        <w:rPr>
          <w:sz w:val="24"/>
          <w:szCs w:val="24"/>
        </w:rPr>
        <w:t>.</w:t>
      </w:r>
      <w:r w:rsidR="00325F54" w:rsidRPr="00CF0BBA">
        <w:rPr>
          <w:sz w:val="24"/>
          <w:szCs w:val="24"/>
        </w:rPr>
        <w:t xml:space="preserve"> </w:t>
      </w:r>
    </w:p>
    <w:p w14:paraId="6476BEDE" w14:textId="15F83484" w:rsidR="00FA7E72" w:rsidRDefault="00FA7E72" w:rsidP="00A30F31">
      <w:pPr>
        <w:spacing w:before="240" w:after="240" w:line="240" w:lineRule="auto"/>
        <w:ind w:firstLine="720"/>
        <w:jc w:val="both"/>
        <w:rPr>
          <w:sz w:val="24"/>
          <w:szCs w:val="24"/>
        </w:rPr>
      </w:pPr>
    </w:p>
    <w:p w14:paraId="11CAECBE" w14:textId="66EB52D3" w:rsidR="00866908" w:rsidRPr="00CF0BBA" w:rsidRDefault="00866908" w:rsidP="00A30F31">
      <w:pPr>
        <w:pStyle w:val="Heading1"/>
        <w:spacing w:after="240" w:line="240" w:lineRule="auto"/>
        <w:jc w:val="both"/>
        <w:rPr>
          <w:b/>
          <w:u w:val="single"/>
        </w:rPr>
      </w:pPr>
      <w:bookmarkStart w:id="16" w:name="_Toc506599075"/>
      <w:r w:rsidRPr="00CF0BBA">
        <w:rPr>
          <w:b/>
          <w:u w:val="single"/>
        </w:rPr>
        <w:t>Court of Queen’s Bench Decision</w:t>
      </w:r>
      <w:bookmarkEnd w:id="16"/>
    </w:p>
    <w:p w14:paraId="07F70B44" w14:textId="2C824FDE" w:rsidR="00206735" w:rsidRPr="00CF0BBA" w:rsidRDefault="00900D00" w:rsidP="00A30F31">
      <w:pPr>
        <w:spacing w:before="240" w:after="240" w:line="240" w:lineRule="auto"/>
        <w:ind w:firstLine="720"/>
        <w:jc w:val="both"/>
        <w:rPr>
          <w:sz w:val="24"/>
        </w:rPr>
      </w:pPr>
      <w:r w:rsidRPr="00CF0BBA">
        <w:rPr>
          <w:sz w:val="24"/>
        </w:rPr>
        <w:t>In the issue of procedural fairness</w:t>
      </w:r>
      <w:r w:rsidR="00512339" w:rsidRPr="00CF0BBA">
        <w:rPr>
          <w:sz w:val="24"/>
        </w:rPr>
        <w:t xml:space="preserve">, </w:t>
      </w:r>
      <w:r w:rsidR="00206735" w:rsidRPr="00CF0BBA">
        <w:rPr>
          <w:sz w:val="24"/>
        </w:rPr>
        <w:t xml:space="preserve">according to APEGA’s appeal, </w:t>
      </w:r>
      <w:r w:rsidR="00512339" w:rsidRPr="00CF0BBA">
        <w:rPr>
          <w:sz w:val="24"/>
        </w:rPr>
        <w:t xml:space="preserve">the Tribunal did not </w:t>
      </w:r>
      <w:r w:rsidR="002667B2" w:rsidRPr="00CF0BBA">
        <w:rPr>
          <w:sz w:val="24"/>
        </w:rPr>
        <w:t xml:space="preserve">give the </w:t>
      </w:r>
      <w:r w:rsidR="000B1CF1" w:rsidRPr="00CF0BBA">
        <w:rPr>
          <w:sz w:val="24"/>
        </w:rPr>
        <w:t>APEGA</w:t>
      </w:r>
      <w:r w:rsidR="00206735" w:rsidRPr="00CF0BBA">
        <w:rPr>
          <w:sz w:val="24"/>
        </w:rPr>
        <w:t xml:space="preserve"> </w:t>
      </w:r>
      <w:r w:rsidR="002667B2" w:rsidRPr="00CF0BBA">
        <w:rPr>
          <w:sz w:val="24"/>
        </w:rPr>
        <w:t xml:space="preserve">a chance to </w:t>
      </w:r>
      <w:r w:rsidR="00512339" w:rsidRPr="00CF0BBA">
        <w:rPr>
          <w:sz w:val="24"/>
        </w:rPr>
        <w:t xml:space="preserve">submit their interpretation of </w:t>
      </w:r>
      <w:r w:rsidR="002667B2" w:rsidRPr="00CF0BBA">
        <w:rPr>
          <w:sz w:val="24"/>
        </w:rPr>
        <w:t xml:space="preserve">the </w:t>
      </w:r>
      <w:r w:rsidR="00512339" w:rsidRPr="00CF0BBA">
        <w:rPr>
          <w:sz w:val="24"/>
        </w:rPr>
        <w:t>Engineering and Geoscience Professions General Regulation [EGPR]</w:t>
      </w:r>
      <w:r w:rsidR="002667B2" w:rsidRPr="00CF0BBA">
        <w:rPr>
          <w:sz w:val="24"/>
        </w:rPr>
        <w:t>:</w:t>
      </w:r>
      <w:r w:rsidR="00512339" w:rsidRPr="00CF0BBA">
        <w:rPr>
          <w:sz w:val="24"/>
        </w:rPr>
        <w:t xml:space="preserve"> Section 8</w:t>
      </w:r>
      <w:r w:rsidR="007417A0" w:rsidRPr="00CF0BBA">
        <w:rPr>
          <w:sz w:val="24"/>
        </w:rPr>
        <w:t xml:space="preserve"> </w:t>
      </w:r>
      <w:r w:rsidR="00206735" w:rsidRPr="00CF0BBA">
        <w:rPr>
          <w:sz w:val="24"/>
        </w:rPr>
        <w:t>(</w:t>
      </w:r>
      <w:r w:rsidR="007417A0" w:rsidRPr="00CF0BBA">
        <w:rPr>
          <w:sz w:val="24"/>
        </w:rPr>
        <w:t xml:space="preserve">which </w:t>
      </w:r>
      <w:r w:rsidR="00206735" w:rsidRPr="00CF0BBA">
        <w:rPr>
          <w:sz w:val="24"/>
        </w:rPr>
        <w:t xml:space="preserve">they believed </w:t>
      </w:r>
      <w:r w:rsidR="007417A0" w:rsidRPr="00CF0BBA">
        <w:rPr>
          <w:sz w:val="24"/>
        </w:rPr>
        <w:t xml:space="preserve">would have </w:t>
      </w:r>
      <w:r w:rsidR="00206735" w:rsidRPr="00CF0BBA">
        <w:rPr>
          <w:sz w:val="24"/>
        </w:rPr>
        <w:t>benefitted their case as it reinforced</w:t>
      </w:r>
      <w:r w:rsidR="007417A0" w:rsidRPr="00CF0BBA">
        <w:rPr>
          <w:sz w:val="24"/>
        </w:rPr>
        <w:t xml:space="preserve"> the conclusion that prima facie discrimination had not been justified</w:t>
      </w:r>
      <w:r w:rsidR="00206735" w:rsidRPr="00CF0BBA">
        <w:rPr>
          <w:sz w:val="24"/>
        </w:rPr>
        <w:t xml:space="preserve">). Moreover, </w:t>
      </w:r>
      <w:r w:rsidR="002667B2" w:rsidRPr="00CF0BBA">
        <w:rPr>
          <w:sz w:val="24"/>
        </w:rPr>
        <w:t xml:space="preserve">the subject of the EGPR was not </w:t>
      </w:r>
      <w:r w:rsidR="00206735" w:rsidRPr="00CF0BBA">
        <w:rPr>
          <w:sz w:val="24"/>
        </w:rPr>
        <w:t xml:space="preserve">reiterated or </w:t>
      </w:r>
      <w:r w:rsidR="002667B2" w:rsidRPr="00CF0BBA">
        <w:rPr>
          <w:sz w:val="24"/>
        </w:rPr>
        <w:t>raised during the hearing</w:t>
      </w:r>
      <w:r w:rsidR="00206735" w:rsidRPr="00CF0BBA">
        <w:rPr>
          <w:sz w:val="24"/>
        </w:rPr>
        <w:t xml:space="preserve">, </w:t>
      </w:r>
      <w:r w:rsidR="00B00AB5">
        <w:rPr>
          <w:sz w:val="24"/>
        </w:rPr>
        <w:t>even though</w:t>
      </w:r>
      <w:r w:rsidR="00206735" w:rsidRPr="00CF0BBA">
        <w:rPr>
          <w:sz w:val="24"/>
        </w:rPr>
        <w:t xml:space="preserve"> it was one of the key factors that </w:t>
      </w:r>
      <w:r w:rsidR="00B00AB5">
        <w:rPr>
          <w:sz w:val="24"/>
        </w:rPr>
        <w:t>influenced</w:t>
      </w:r>
      <w:r w:rsidR="00206735" w:rsidRPr="00CF0BBA">
        <w:rPr>
          <w:sz w:val="24"/>
        </w:rPr>
        <w:t xml:space="preserve"> the Tribunals decision. In the end, the </w:t>
      </w:r>
      <w:r w:rsidR="007417A0" w:rsidRPr="00CF0BBA">
        <w:rPr>
          <w:sz w:val="24"/>
        </w:rPr>
        <w:t xml:space="preserve">CQB ruled that there was no breach in procedural fairness </w:t>
      </w:r>
      <w:r w:rsidR="00206735" w:rsidRPr="00CF0BBA">
        <w:rPr>
          <w:sz w:val="24"/>
        </w:rPr>
        <w:t>since the Tribunal is not required to give every party an opportunity to be heard on every point of law in deciding a case</w:t>
      </w:r>
      <w:r w:rsidR="001817FD">
        <w:rPr>
          <w:sz w:val="24"/>
        </w:rPr>
        <w:t xml:space="preserve"> [</w:t>
      </w:r>
      <w:sdt>
        <w:sdtPr>
          <w:rPr>
            <w:sz w:val="24"/>
          </w:rPr>
          <w:id w:val="-697930832"/>
          <w:citation/>
        </w:sdtPr>
        <w:sdtEndPr/>
        <w:sdtContent>
          <w:r w:rsidR="002A42BD" w:rsidRPr="00CF0BBA">
            <w:rPr>
              <w:sz w:val="24"/>
            </w:rPr>
            <w:fldChar w:fldCharType="begin"/>
          </w:r>
          <w:r w:rsidR="002A42BD" w:rsidRPr="00CF0BBA">
            <w:rPr>
              <w:sz w:val="24"/>
              <w:lang w:val="en-US"/>
            </w:rPr>
            <w:instrText xml:space="preserve"> CITATION Cou16 \l 1033 </w:instrText>
          </w:r>
          <w:r w:rsidR="002A42BD" w:rsidRPr="00CF0BBA">
            <w:rPr>
              <w:sz w:val="24"/>
            </w:rPr>
            <w:fldChar w:fldCharType="separate"/>
          </w:r>
          <w:r w:rsidR="00DE6EEF" w:rsidRPr="00CF0BBA">
            <w:rPr>
              <w:noProof/>
              <w:sz w:val="24"/>
              <w:lang w:val="en-US"/>
            </w:rPr>
            <w:t xml:space="preserve"> [13]</w:t>
          </w:r>
          <w:r w:rsidR="002A42BD" w:rsidRPr="00CF0BBA">
            <w:rPr>
              <w:sz w:val="24"/>
            </w:rPr>
            <w:fldChar w:fldCharType="end"/>
          </w:r>
        </w:sdtContent>
      </w:sdt>
      <w:r w:rsidR="002A42BD" w:rsidRPr="00CF0BBA">
        <w:rPr>
          <w:sz w:val="24"/>
        </w:rPr>
        <w:t>pp. 10]</w:t>
      </w:r>
      <w:r w:rsidR="001817FD">
        <w:rPr>
          <w:sz w:val="24"/>
        </w:rPr>
        <w:t>.</w:t>
      </w:r>
    </w:p>
    <w:p w14:paraId="35996485" w14:textId="619D6DA7" w:rsidR="00536321" w:rsidRPr="00CF0BBA" w:rsidRDefault="009C5D6C" w:rsidP="00A30F31">
      <w:pPr>
        <w:spacing w:before="240" w:after="240" w:line="240" w:lineRule="auto"/>
        <w:ind w:firstLine="720"/>
        <w:jc w:val="both"/>
        <w:rPr>
          <w:sz w:val="24"/>
        </w:rPr>
      </w:pPr>
      <w:r w:rsidRPr="00CF0BBA">
        <w:rPr>
          <w:sz w:val="24"/>
        </w:rPr>
        <w:t>APEGA claimed that the Tribunal did not have jurisdiction over Mr. Mihaly’s complaint</w:t>
      </w:r>
      <w:r w:rsidR="00DA735E">
        <w:rPr>
          <w:sz w:val="24"/>
        </w:rPr>
        <w:t xml:space="preserve">. </w:t>
      </w:r>
      <w:r w:rsidRPr="00CF0BBA">
        <w:rPr>
          <w:sz w:val="24"/>
        </w:rPr>
        <w:t>Their argument is that the AHR Act protects against discrimination based upon place of origin, and this is not synonymous with place of origin of academic qualifications</w:t>
      </w:r>
      <w:r w:rsidR="001817FD">
        <w:rPr>
          <w:sz w:val="24"/>
        </w:rPr>
        <w:t xml:space="preserve"> [</w:t>
      </w:r>
      <w:sdt>
        <w:sdtPr>
          <w:rPr>
            <w:sz w:val="24"/>
          </w:rPr>
          <w:id w:val="587434717"/>
          <w:citation/>
        </w:sdtPr>
        <w:sdtEndPr/>
        <w:sdtContent>
          <w:r w:rsidR="002A42BD" w:rsidRPr="00CF0BBA">
            <w:rPr>
              <w:sz w:val="24"/>
            </w:rPr>
            <w:fldChar w:fldCharType="begin"/>
          </w:r>
          <w:r w:rsidR="002A42BD" w:rsidRPr="00CF0BBA">
            <w:rPr>
              <w:sz w:val="24"/>
              <w:lang w:val="en-US"/>
            </w:rPr>
            <w:instrText xml:space="preserve"> CITATION Cou16 \l 1033 </w:instrText>
          </w:r>
          <w:r w:rsidR="002A42BD" w:rsidRPr="00CF0BBA">
            <w:rPr>
              <w:sz w:val="24"/>
            </w:rPr>
            <w:fldChar w:fldCharType="separate"/>
          </w:r>
          <w:r w:rsidR="00DE6EEF" w:rsidRPr="00CF0BBA">
            <w:rPr>
              <w:noProof/>
              <w:sz w:val="24"/>
              <w:lang w:val="en-US"/>
            </w:rPr>
            <w:t xml:space="preserve"> [13]</w:t>
          </w:r>
          <w:r w:rsidR="002A42BD" w:rsidRPr="00CF0BBA">
            <w:rPr>
              <w:sz w:val="24"/>
            </w:rPr>
            <w:fldChar w:fldCharType="end"/>
          </w:r>
        </w:sdtContent>
      </w:sdt>
      <w:r w:rsidR="002A42BD" w:rsidRPr="00CF0BBA">
        <w:rPr>
          <w:sz w:val="24"/>
        </w:rPr>
        <w:t>pp. 10]</w:t>
      </w:r>
      <w:r w:rsidR="001817FD">
        <w:rPr>
          <w:sz w:val="24"/>
        </w:rPr>
        <w:t>.</w:t>
      </w:r>
      <w:r w:rsidR="00536321" w:rsidRPr="00CF0BBA">
        <w:rPr>
          <w:sz w:val="24"/>
        </w:rPr>
        <w:t xml:space="preserve"> </w:t>
      </w:r>
      <w:r w:rsidR="000D73DE" w:rsidRPr="00CF0BBA">
        <w:rPr>
          <w:sz w:val="24"/>
          <w:szCs w:val="24"/>
        </w:rPr>
        <w:t>While APEGA cited the Grover v. AHRC case, the Tribunal argued using the Biton</w:t>
      </w:r>
      <w:r w:rsidR="00643519" w:rsidRPr="00CF0BBA">
        <w:rPr>
          <w:sz w:val="24"/>
          <w:szCs w:val="24"/>
        </w:rPr>
        <w:t>t</w:t>
      </w:r>
      <w:r w:rsidR="000D73DE" w:rsidRPr="00CF0BBA">
        <w:rPr>
          <w:sz w:val="24"/>
          <w:szCs w:val="24"/>
        </w:rPr>
        <w:t>i v. British Columbia (Ministry of Health) case</w:t>
      </w:r>
      <w:r w:rsidR="00730784" w:rsidRPr="00CF0BBA">
        <w:rPr>
          <w:sz w:val="24"/>
          <w:szCs w:val="24"/>
        </w:rPr>
        <w:t xml:space="preserve"> which the court agreed followed the </w:t>
      </w:r>
      <w:r w:rsidR="002208D7" w:rsidRPr="00CF0BBA">
        <w:rPr>
          <w:sz w:val="24"/>
          <w:szCs w:val="24"/>
        </w:rPr>
        <w:t>Mr. Mihaly</w:t>
      </w:r>
      <w:r w:rsidR="00730784" w:rsidRPr="00CF0BBA">
        <w:rPr>
          <w:sz w:val="24"/>
          <w:szCs w:val="24"/>
        </w:rPr>
        <w:t xml:space="preserve"> case more closely in which licensing rules had discriminated against foreign-trained physicians based on their place of origin</w:t>
      </w:r>
      <w:r w:rsidR="001817FD">
        <w:rPr>
          <w:sz w:val="24"/>
          <w:szCs w:val="24"/>
        </w:rPr>
        <w:t xml:space="preserve"> </w:t>
      </w:r>
      <w:r w:rsidR="001817FD">
        <w:rPr>
          <w:sz w:val="24"/>
          <w:szCs w:val="24"/>
        </w:rPr>
        <w:lastRenderedPageBreak/>
        <w:t>[</w:t>
      </w:r>
      <w:sdt>
        <w:sdtPr>
          <w:rPr>
            <w:sz w:val="24"/>
          </w:rPr>
          <w:id w:val="864015453"/>
          <w:citation/>
        </w:sdtPr>
        <w:sdtEndPr/>
        <w:sdtContent>
          <w:r w:rsidR="002A42BD" w:rsidRPr="00CF0BBA">
            <w:rPr>
              <w:sz w:val="24"/>
            </w:rPr>
            <w:fldChar w:fldCharType="begin"/>
          </w:r>
          <w:r w:rsidR="002A42BD" w:rsidRPr="00CF0BBA">
            <w:rPr>
              <w:sz w:val="24"/>
              <w:lang w:val="en-US"/>
            </w:rPr>
            <w:instrText xml:space="preserve"> CITATION Cou16 \l 1033 </w:instrText>
          </w:r>
          <w:r w:rsidR="002A42BD" w:rsidRPr="00CF0BBA">
            <w:rPr>
              <w:sz w:val="24"/>
            </w:rPr>
            <w:fldChar w:fldCharType="separate"/>
          </w:r>
          <w:r w:rsidR="00DE6EEF" w:rsidRPr="00CF0BBA">
            <w:rPr>
              <w:noProof/>
              <w:sz w:val="24"/>
              <w:lang w:val="en-US"/>
            </w:rPr>
            <w:t xml:space="preserve"> [13]</w:t>
          </w:r>
          <w:r w:rsidR="002A42BD" w:rsidRPr="00CF0BBA">
            <w:rPr>
              <w:sz w:val="24"/>
            </w:rPr>
            <w:fldChar w:fldCharType="end"/>
          </w:r>
        </w:sdtContent>
      </w:sdt>
      <w:r w:rsidR="002A42BD" w:rsidRPr="00CF0BBA">
        <w:rPr>
          <w:sz w:val="24"/>
        </w:rPr>
        <w:t>pp. 11]</w:t>
      </w:r>
      <w:r w:rsidR="001817FD">
        <w:rPr>
          <w:sz w:val="24"/>
        </w:rPr>
        <w:t>.</w:t>
      </w:r>
      <w:r w:rsidR="00A46907" w:rsidRPr="00CF0BBA">
        <w:rPr>
          <w:sz w:val="24"/>
        </w:rPr>
        <w:t xml:space="preserve"> </w:t>
      </w:r>
      <w:r w:rsidR="000D73DE" w:rsidRPr="00CF0BBA">
        <w:rPr>
          <w:sz w:val="24"/>
          <w:szCs w:val="24"/>
        </w:rPr>
        <w:t xml:space="preserve">The court ruled that </w:t>
      </w:r>
      <w:r w:rsidR="00536321" w:rsidRPr="00CF0BBA">
        <w:rPr>
          <w:sz w:val="24"/>
          <w:szCs w:val="24"/>
        </w:rPr>
        <w:t>APEGA</w:t>
      </w:r>
      <w:r w:rsidR="000D73DE" w:rsidRPr="00CF0BBA">
        <w:rPr>
          <w:sz w:val="24"/>
          <w:szCs w:val="24"/>
        </w:rPr>
        <w:t xml:space="preserve"> </w:t>
      </w:r>
      <w:r w:rsidR="00536321" w:rsidRPr="00CF0BBA">
        <w:rPr>
          <w:sz w:val="24"/>
          <w:szCs w:val="24"/>
        </w:rPr>
        <w:t xml:space="preserve">had not </w:t>
      </w:r>
      <w:r w:rsidR="000D73DE" w:rsidRPr="00CF0BBA">
        <w:rPr>
          <w:sz w:val="24"/>
          <w:szCs w:val="24"/>
        </w:rPr>
        <w:t>established that the Tribunal lacked jurisdiction</w:t>
      </w:r>
      <w:r w:rsidR="00CB29F3" w:rsidRPr="00CF0BBA">
        <w:rPr>
          <w:sz w:val="24"/>
          <w:szCs w:val="24"/>
        </w:rPr>
        <w:t xml:space="preserve"> since APEGA’s citation was unrelated</w:t>
      </w:r>
      <w:r w:rsidR="001817FD">
        <w:rPr>
          <w:sz w:val="24"/>
          <w:szCs w:val="24"/>
        </w:rPr>
        <w:t xml:space="preserve"> [</w:t>
      </w:r>
      <w:sdt>
        <w:sdtPr>
          <w:rPr>
            <w:sz w:val="24"/>
          </w:rPr>
          <w:id w:val="-14147914"/>
          <w:citation/>
        </w:sdtPr>
        <w:sdtEndPr/>
        <w:sdtContent>
          <w:r w:rsidR="002A42BD" w:rsidRPr="00CF0BBA">
            <w:rPr>
              <w:sz w:val="24"/>
            </w:rPr>
            <w:fldChar w:fldCharType="begin"/>
          </w:r>
          <w:r w:rsidR="002A42BD" w:rsidRPr="00CF0BBA">
            <w:rPr>
              <w:sz w:val="24"/>
              <w:lang w:val="en-US"/>
            </w:rPr>
            <w:instrText xml:space="preserve"> CITATION Cou16 \l 1033 </w:instrText>
          </w:r>
          <w:r w:rsidR="002A42BD" w:rsidRPr="00CF0BBA">
            <w:rPr>
              <w:sz w:val="24"/>
            </w:rPr>
            <w:fldChar w:fldCharType="separate"/>
          </w:r>
          <w:r w:rsidR="00DE6EEF" w:rsidRPr="00CF0BBA">
            <w:rPr>
              <w:noProof/>
              <w:sz w:val="24"/>
              <w:lang w:val="en-US"/>
            </w:rPr>
            <w:t xml:space="preserve"> [13]</w:t>
          </w:r>
          <w:r w:rsidR="002A42BD" w:rsidRPr="00CF0BBA">
            <w:rPr>
              <w:sz w:val="24"/>
            </w:rPr>
            <w:fldChar w:fldCharType="end"/>
          </w:r>
        </w:sdtContent>
      </w:sdt>
      <w:r w:rsidR="002A42BD" w:rsidRPr="00CF0BBA">
        <w:rPr>
          <w:sz w:val="24"/>
        </w:rPr>
        <w:t>pp. 11]</w:t>
      </w:r>
      <w:r w:rsidR="001817FD">
        <w:rPr>
          <w:sz w:val="24"/>
        </w:rPr>
        <w:t>.</w:t>
      </w:r>
      <w:r w:rsidR="002208D7" w:rsidRPr="00CF0BBA">
        <w:rPr>
          <w:sz w:val="24"/>
        </w:rPr>
        <w:t xml:space="preserve"> </w:t>
      </w:r>
    </w:p>
    <w:p w14:paraId="209F90BD" w14:textId="759B4F35" w:rsidR="00CB29F3" w:rsidRPr="00CF0BBA" w:rsidRDefault="00B06A81" w:rsidP="00A30F31">
      <w:pPr>
        <w:spacing w:before="240" w:after="240" w:line="240" w:lineRule="auto"/>
        <w:ind w:firstLine="720"/>
        <w:jc w:val="both"/>
        <w:rPr>
          <w:sz w:val="24"/>
          <w:szCs w:val="24"/>
        </w:rPr>
      </w:pPr>
      <w:r w:rsidRPr="00CF0BBA">
        <w:rPr>
          <w:sz w:val="24"/>
        </w:rPr>
        <w:t xml:space="preserve">APEGA </w:t>
      </w:r>
      <w:r w:rsidR="00A03A22">
        <w:rPr>
          <w:sz w:val="24"/>
        </w:rPr>
        <w:t>appealed</w:t>
      </w:r>
      <w:r w:rsidRPr="00CF0BBA">
        <w:rPr>
          <w:sz w:val="24"/>
        </w:rPr>
        <w:t xml:space="preserve"> that the Tribunal did not use the appropriate test for determining prima facie discrimination</w:t>
      </w:r>
      <w:r w:rsidR="00536321" w:rsidRPr="00CF0BBA">
        <w:rPr>
          <w:sz w:val="24"/>
        </w:rPr>
        <w:t xml:space="preserve"> as it was not comprehensive</w:t>
      </w:r>
      <w:r w:rsidRPr="00CF0BBA">
        <w:rPr>
          <w:sz w:val="24"/>
        </w:rPr>
        <w:t>. Th</w:t>
      </w:r>
      <w:r w:rsidR="00643519" w:rsidRPr="00CF0BBA">
        <w:rPr>
          <w:sz w:val="24"/>
        </w:rPr>
        <w:t xml:space="preserve">e Moore test, </w:t>
      </w:r>
      <w:r w:rsidRPr="00CF0BBA">
        <w:rPr>
          <w:sz w:val="24"/>
        </w:rPr>
        <w:t>the</w:t>
      </w:r>
      <w:r w:rsidR="00643519" w:rsidRPr="00CF0BBA">
        <w:rPr>
          <w:sz w:val="24"/>
        </w:rPr>
        <w:t xml:space="preserve"> </w:t>
      </w:r>
      <w:r w:rsidRPr="00CF0BBA">
        <w:rPr>
          <w:sz w:val="24"/>
        </w:rPr>
        <w:t xml:space="preserve">legal </w:t>
      </w:r>
      <w:r w:rsidR="00643519" w:rsidRPr="00CF0BBA">
        <w:rPr>
          <w:sz w:val="24"/>
        </w:rPr>
        <w:t xml:space="preserve">test </w:t>
      </w:r>
      <w:r w:rsidR="00A03A22">
        <w:rPr>
          <w:sz w:val="24"/>
        </w:rPr>
        <w:t>selected</w:t>
      </w:r>
      <w:r w:rsidRPr="00CF0BBA">
        <w:rPr>
          <w:sz w:val="24"/>
        </w:rPr>
        <w:t xml:space="preserve"> </w:t>
      </w:r>
      <w:r w:rsidR="00DE6EEF" w:rsidRPr="00CF0BBA">
        <w:rPr>
          <w:sz w:val="24"/>
        </w:rPr>
        <w:t xml:space="preserve">by the Tribunal </w:t>
      </w:r>
      <w:r w:rsidR="00643519" w:rsidRPr="00CF0BBA">
        <w:rPr>
          <w:sz w:val="24"/>
        </w:rPr>
        <w:t xml:space="preserve">to </w:t>
      </w:r>
      <w:r w:rsidR="00A75AD8" w:rsidRPr="00CF0BBA">
        <w:rPr>
          <w:sz w:val="24"/>
        </w:rPr>
        <w:t>e</w:t>
      </w:r>
      <w:r w:rsidR="00920DE6" w:rsidRPr="00CF0BBA">
        <w:rPr>
          <w:sz w:val="24"/>
        </w:rPr>
        <w:t>stablish</w:t>
      </w:r>
      <w:r w:rsidR="00A75AD8" w:rsidRPr="00CF0BBA">
        <w:rPr>
          <w:sz w:val="24"/>
        </w:rPr>
        <w:t xml:space="preserve"> </w:t>
      </w:r>
      <w:r w:rsidR="00920DE6" w:rsidRPr="00CF0BBA">
        <w:rPr>
          <w:sz w:val="24"/>
        </w:rPr>
        <w:t>a prima facie case of adverse effect discrimination</w:t>
      </w:r>
      <w:r w:rsidRPr="00CF0BBA">
        <w:rPr>
          <w:sz w:val="24"/>
        </w:rPr>
        <w:t>,</w:t>
      </w:r>
      <w:r w:rsidR="00920DE6" w:rsidRPr="00CF0BBA">
        <w:rPr>
          <w:sz w:val="24"/>
        </w:rPr>
        <w:t xml:space="preserve"> requires </w:t>
      </w:r>
      <w:r w:rsidR="00A75AD8" w:rsidRPr="00CF0BBA">
        <w:rPr>
          <w:sz w:val="24"/>
        </w:rPr>
        <w:t>“</w:t>
      </w:r>
      <w:r w:rsidR="00920DE6" w:rsidRPr="00CF0BBA">
        <w:rPr>
          <w:sz w:val="24"/>
        </w:rPr>
        <w:t>complainants to show</w:t>
      </w:r>
      <w:r w:rsidR="00A75AD8" w:rsidRPr="00CF0BBA">
        <w:rPr>
          <w:sz w:val="24"/>
        </w:rPr>
        <w:t>:</w:t>
      </w:r>
      <w:r w:rsidR="00920DE6" w:rsidRPr="00CF0BBA">
        <w:rPr>
          <w:sz w:val="24"/>
        </w:rPr>
        <w:t xml:space="preserve"> that they have a characteristic that is protected from discrimination; that they experienced an adverse impact; and that the protected characteristic was a factor in the adverse impact</w:t>
      </w:r>
      <w:r w:rsidR="00A75AD8" w:rsidRPr="00CF0BBA">
        <w:rPr>
          <w:color w:val="4472C4" w:themeColor="accent1"/>
          <w:sz w:val="24"/>
          <w:szCs w:val="24"/>
        </w:rPr>
        <w:t xml:space="preserve"> </w:t>
      </w:r>
      <w:r w:rsidR="002208D7" w:rsidRPr="00CF0BBA">
        <w:rPr>
          <w:sz w:val="24"/>
          <w:szCs w:val="24"/>
        </w:rPr>
        <w:t>[</w:t>
      </w:r>
      <w:sdt>
        <w:sdtPr>
          <w:rPr>
            <w:sz w:val="24"/>
          </w:rPr>
          <w:id w:val="857093417"/>
          <w:citation/>
        </w:sdtPr>
        <w:sdtEndPr/>
        <w:sdtContent>
          <w:r w:rsidR="002208D7" w:rsidRPr="00CF0BBA">
            <w:rPr>
              <w:sz w:val="24"/>
            </w:rPr>
            <w:fldChar w:fldCharType="begin"/>
          </w:r>
          <w:r w:rsidR="002208D7" w:rsidRPr="00CF0BBA">
            <w:rPr>
              <w:sz w:val="24"/>
              <w:lang w:val="en-US"/>
            </w:rPr>
            <w:instrText xml:space="preserve"> CITATION Cou16 \l 1033 </w:instrText>
          </w:r>
          <w:r w:rsidR="002208D7" w:rsidRPr="00CF0BBA">
            <w:rPr>
              <w:sz w:val="24"/>
            </w:rPr>
            <w:fldChar w:fldCharType="separate"/>
          </w:r>
          <w:r w:rsidR="00DE6EEF" w:rsidRPr="00CF0BBA">
            <w:rPr>
              <w:noProof/>
              <w:sz w:val="24"/>
              <w:lang w:val="en-US"/>
            </w:rPr>
            <w:t xml:space="preserve"> [13]</w:t>
          </w:r>
          <w:r w:rsidR="002208D7" w:rsidRPr="00CF0BBA">
            <w:rPr>
              <w:sz w:val="24"/>
            </w:rPr>
            <w:fldChar w:fldCharType="end"/>
          </w:r>
        </w:sdtContent>
      </w:sdt>
      <w:r w:rsidR="002208D7" w:rsidRPr="00CF0BBA">
        <w:rPr>
          <w:sz w:val="24"/>
        </w:rPr>
        <w:t>pp. 12]</w:t>
      </w:r>
      <w:r w:rsidR="00A03A22">
        <w:rPr>
          <w:sz w:val="24"/>
        </w:rPr>
        <w:t>”</w:t>
      </w:r>
      <w:r w:rsidR="001817FD">
        <w:rPr>
          <w:sz w:val="24"/>
        </w:rPr>
        <w:t>.</w:t>
      </w:r>
      <w:r w:rsidR="00536321" w:rsidRPr="00CF0BBA">
        <w:rPr>
          <w:sz w:val="24"/>
        </w:rPr>
        <w:t xml:space="preserve"> </w:t>
      </w:r>
      <w:r w:rsidR="00CB29F3" w:rsidRPr="00CF0BBA">
        <w:rPr>
          <w:sz w:val="24"/>
        </w:rPr>
        <w:t xml:space="preserve">To establish prima facie discrimination, the Tribunal found </w:t>
      </w:r>
      <w:r w:rsidR="002208D7" w:rsidRPr="00CF0BBA">
        <w:rPr>
          <w:sz w:val="24"/>
        </w:rPr>
        <w:t>Mr. Mihaly</w:t>
      </w:r>
      <w:r w:rsidR="00CB29F3" w:rsidRPr="00CF0BBA">
        <w:rPr>
          <w:sz w:val="24"/>
        </w:rPr>
        <w:t xml:space="preserve"> adversely impacted by APEGA’s requirements of </w:t>
      </w:r>
      <w:r w:rsidR="007A20F3">
        <w:rPr>
          <w:sz w:val="24"/>
        </w:rPr>
        <w:t xml:space="preserve">writing </w:t>
      </w:r>
      <w:r w:rsidR="00CB29F3" w:rsidRPr="00CF0BBA">
        <w:rPr>
          <w:sz w:val="24"/>
        </w:rPr>
        <w:t xml:space="preserve">confirmatory </w:t>
      </w:r>
      <w:r w:rsidR="00A03A22">
        <w:rPr>
          <w:sz w:val="24"/>
        </w:rPr>
        <w:t>exams</w:t>
      </w:r>
      <w:r w:rsidR="00CB29F3" w:rsidRPr="00CF0BBA">
        <w:rPr>
          <w:sz w:val="24"/>
        </w:rPr>
        <w:t xml:space="preserve"> as these requirements do not apply to Canadian </w:t>
      </w:r>
      <w:r w:rsidR="00536321" w:rsidRPr="00CF0BBA">
        <w:rPr>
          <w:sz w:val="24"/>
        </w:rPr>
        <w:t>e</w:t>
      </w:r>
      <w:r w:rsidR="00CB29F3" w:rsidRPr="00CF0BBA">
        <w:rPr>
          <w:sz w:val="24"/>
        </w:rPr>
        <w:t xml:space="preserve">ngineering graduates or countries with Mutual Recognition Agreements [MRAs]. </w:t>
      </w:r>
      <w:r w:rsidR="00A03A22">
        <w:rPr>
          <w:sz w:val="24"/>
        </w:rPr>
        <w:t>They determined</w:t>
      </w:r>
      <w:r w:rsidR="00CB29F3" w:rsidRPr="00CF0BBA">
        <w:rPr>
          <w:sz w:val="24"/>
        </w:rPr>
        <w:t xml:space="preserve"> that </w:t>
      </w:r>
      <w:r w:rsidR="002208D7" w:rsidRPr="00CF0BBA">
        <w:rPr>
          <w:sz w:val="24"/>
        </w:rPr>
        <w:t>Mr. Mihaly</w:t>
      </w:r>
      <w:r w:rsidR="00CB29F3" w:rsidRPr="00CF0BBA">
        <w:rPr>
          <w:sz w:val="24"/>
        </w:rPr>
        <w:t xml:space="preserve"> was treated as a foreign graduate due to the origin of his education, which </w:t>
      </w:r>
      <w:r w:rsidR="00DE6EEF" w:rsidRPr="00CF0BBA">
        <w:rPr>
          <w:sz w:val="24"/>
        </w:rPr>
        <w:t xml:space="preserve">is </w:t>
      </w:r>
      <w:r w:rsidR="00CB29F3" w:rsidRPr="00CF0BBA">
        <w:rPr>
          <w:sz w:val="24"/>
        </w:rPr>
        <w:t>a “proxy for place of origin</w:t>
      </w:r>
      <w:r w:rsidR="00A46907" w:rsidRPr="00CF0BBA">
        <w:rPr>
          <w:sz w:val="24"/>
          <w:szCs w:val="24"/>
        </w:rPr>
        <w:t xml:space="preserve"> [</w:t>
      </w:r>
      <w:sdt>
        <w:sdtPr>
          <w:rPr>
            <w:sz w:val="24"/>
          </w:rPr>
          <w:id w:val="-1060476830"/>
          <w:citation/>
        </w:sdtPr>
        <w:sdtEndPr/>
        <w:sdtContent>
          <w:r w:rsidR="00A46907" w:rsidRPr="00CF0BBA">
            <w:rPr>
              <w:sz w:val="24"/>
            </w:rPr>
            <w:fldChar w:fldCharType="begin"/>
          </w:r>
          <w:r w:rsidR="00A46907" w:rsidRPr="00CF0BBA">
            <w:rPr>
              <w:sz w:val="24"/>
              <w:lang w:val="en-US"/>
            </w:rPr>
            <w:instrText xml:space="preserve"> CITATION Cou16 \l 1033 </w:instrText>
          </w:r>
          <w:r w:rsidR="00A46907" w:rsidRPr="00CF0BBA">
            <w:rPr>
              <w:sz w:val="24"/>
            </w:rPr>
            <w:fldChar w:fldCharType="separate"/>
          </w:r>
          <w:r w:rsidR="00DE6EEF" w:rsidRPr="00CF0BBA">
            <w:rPr>
              <w:noProof/>
              <w:sz w:val="24"/>
              <w:lang w:val="en-US"/>
            </w:rPr>
            <w:t xml:space="preserve"> [13]</w:t>
          </w:r>
          <w:r w:rsidR="00A46907" w:rsidRPr="00CF0BBA">
            <w:rPr>
              <w:sz w:val="24"/>
            </w:rPr>
            <w:fldChar w:fldCharType="end"/>
          </w:r>
        </w:sdtContent>
      </w:sdt>
      <w:r w:rsidR="00A46907" w:rsidRPr="00CF0BBA">
        <w:rPr>
          <w:sz w:val="24"/>
        </w:rPr>
        <w:t>pp. 14]</w:t>
      </w:r>
      <w:r w:rsidR="00A03A22">
        <w:rPr>
          <w:sz w:val="24"/>
        </w:rPr>
        <w:t>”</w:t>
      </w:r>
      <w:r w:rsidR="001817FD">
        <w:rPr>
          <w:sz w:val="24"/>
        </w:rPr>
        <w:t>.</w:t>
      </w:r>
      <w:r w:rsidR="00CB29F3" w:rsidRPr="00CF0BBA">
        <w:rPr>
          <w:sz w:val="24"/>
        </w:rPr>
        <w:t xml:space="preserve"> In response, APEGA submit</w:t>
      </w:r>
      <w:r w:rsidR="00DE6EEF" w:rsidRPr="00CF0BBA">
        <w:rPr>
          <w:sz w:val="24"/>
        </w:rPr>
        <w:t>ted</w:t>
      </w:r>
      <w:r w:rsidR="00CB29F3" w:rsidRPr="00CF0BBA">
        <w:rPr>
          <w:sz w:val="24"/>
        </w:rPr>
        <w:t xml:space="preserve"> that </w:t>
      </w:r>
      <w:r w:rsidR="002208D7" w:rsidRPr="00CF0BBA">
        <w:rPr>
          <w:sz w:val="24"/>
        </w:rPr>
        <w:t>Mr. Mihaly</w:t>
      </w:r>
      <w:r w:rsidR="00CB29F3" w:rsidRPr="00CF0BBA">
        <w:rPr>
          <w:sz w:val="24"/>
        </w:rPr>
        <w:t xml:space="preserve"> is unable to establish an adverse impact since he never </w:t>
      </w:r>
      <w:r w:rsidR="007A20F3">
        <w:rPr>
          <w:sz w:val="24"/>
        </w:rPr>
        <w:t>attempted</w:t>
      </w:r>
      <w:r w:rsidR="00CB29F3" w:rsidRPr="00CF0BBA">
        <w:rPr>
          <w:sz w:val="24"/>
        </w:rPr>
        <w:t xml:space="preserve"> the confirmatory exams. However, the Court believed it was reasonable for the Tribunal to conclude that having to write examinations is </w:t>
      </w:r>
      <w:r w:rsidR="00346615">
        <w:rPr>
          <w:sz w:val="24"/>
        </w:rPr>
        <w:t xml:space="preserve">an </w:t>
      </w:r>
      <w:r w:rsidR="00CB29F3" w:rsidRPr="00CF0BBA">
        <w:rPr>
          <w:sz w:val="24"/>
        </w:rPr>
        <w:t>adverse impact</w:t>
      </w:r>
      <w:r w:rsidR="001817FD">
        <w:rPr>
          <w:sz w:val="24"/>
        </w:rPr>
        <w:t xml:space="preserve"> [</w:t>
      </w:r>
      <w:sdt>
        <w:sdtPr>
          <w:rPr>
            <w:sz w:val="24"/>
          </w:rPr>
          <w:id w:val="907350160"/>
          <w:citation/>
        </w:sdtPr>
        <w:sdtEndPr/>
        <w:sdtContent>
          <w:r w:rsidR="002208D7" w:rsidRPr="00CF0BBA">
            <w:rPr>
              <w:sz w:val="24"/>
            </w:rPr>
            <w:fldChar w:fldCharType="begin"/>
          </w:r>
          <w:r w:rsidR="002208D7" w:rsidRPr="00CF0BBA">
            <w:rPr>
              <w:sz w:val="24"/>
              <w:lang w:val="en-US"/>
            </w:rPr>
            <w:instrText xml:space="preserve"> CITATION Cou16 \l 1033 </w:instrText>
          </w:r>
          <w:r w:rsidR="002208D7" w:rsidRPr="00CF0BBA">
            <w:rPr>
              <w:sz w:val="24"/>
            </w:rPr>
            <w:fldChar w:fldCharType="separate"/>
          </w:r>
          <w:r w:rsidR="00DE6EEF" w:rsidRPr="00CF0BBA">
            <w:rPr>
              <w:noProof/>
              <w:sz w:val="24"/>
              <w:lang w:val="en-US"/>
            </w:rPr>
            <w:t xml:space="preserve"> [13]</w:t>
          </w:r>
          <w:r w:rsidR="002208D7" w:rsidRPr="00CF0BBA">
            <w:rPr>
              <w:sz w:val="24"/>
            </w:rPr>
            <w:fldChar w:fldCharType="end"/>
          </w:r>
        </w:sdtContent>
      </w:sdt>
      <w:r w:rsidR="002208D7" w:rsidRPr="00CF0BBA">
        <w:rPr>
          <w:sz w:val="24"/>
        </w:rPr>
        <w:t>pp. 14]</w:t>
      </w:r>
      <w:r w:rsidR="001817FD">
        <w:rPr>
          <w:sz w:val="24"/>
        </w:rPr>
        <w:t>.</w:t>
      </w:r>
      <w:r w:rsidR="00A46907" w:rsidRPr="00CF0BBA">
        <w:rPr>
          <w:sz w:val="24"/>
        </w:rPr>
        <w:t xml:space="preserve"> </w:t>
      </w:r>
    </w:p>
    <w:p w14:paraId="364DD46E" w14:textId="7EB2D0E1" w:rsidR="001C67B6" w:rsidRPr="00CF0BBA" w:rsidRDefault="00A46907" w:rsidP="00A30F31">
      <w:pPr>
        <w:spacing w:before="240" w:after="240" w:line="240" w:lineRule="auto"/>
        <w:ind w:firstLine="720"/>
        <w:jc w:val="both"/>
        <w:rPr>
          <w:sz w:val="24"/>
          <w:szCs w:val="24"/>
        </w:rPr>
      </w:pPr>
      <w:r w:rsidRPr="00CF0BBA">
        <w:rPr>
          <w:sz w:val="24"/>
        </w:rPr>
        <w:t xml:space="preserve">Upon </w:t>
      </w:r>
      <w:r w:rsidR="00CB29F3" w:rsidRPr="00CF0BBA">
        <w:rPr>
          <w:sz w:val="24"/>
        </w:rPr>
        <w:t xml:space="preserve">inspection, the evidence cited by the Tribunal was clear that the distinction between accredited </w:t>
      </w:r>
      <w:r w:rsidR="00CC1AA8">
        <w:rPr>
          <w:sz w:val="24"/>
        </w:rPr>
        <w:t>programs</w:t>
      </w:r>
      <w:r w:rsidR="00CB29F3" w:rsidRPr="00CF0BBA">
        <w:rPr>
          <w:sz w:val="24"/>
        </w:rPr>
        <w:t xml:space="preserve"> </w:t>
      </w:r>
      <w:r w:rsidR="00DE6EEF" w:rsidRPr="00CF0BBA">
        <w:rPr>
          <w:sz w:val="24"/>
        </w:rPr>
        <w:t xml:space="preserve">are </w:t>
      </w:r>
      <w:r w:rsidR="00CB29F3" w:rsidRPr="00CF0BBA">
        <w:rPr>
          <w:sz w:val="24"/>
        </w:rPr>
        <w:t xml:space="preserve">not based on assumptions, but on </w:t>
      </w:r>
      <w:r w:rsidR="00346615">
        <w:rPr>
          <w:sz w:val="24"/>
        </w:rPr>
        <w:t>verified</w:t>
      </w:r>
      <w:r w:rsidR="006A615A">
        <w:rPr>
          <w:sz w:val="24"/>
        </w:rPr>
        <w:t xml:space="preserve"> </w:t>
      </w:r>
      <w:r w:rsidR="00CB29F3" w:rsidRPr="00CF0BBA">
        <w:rPr>
          <w:sz w:val="24"/>
        </w:rPr>
        <w:t xml:space="preserve">knowledge </w:t>
      </w:r>
      <w:r w:rsidR="002208D7" w:rsidRPr="00CF0BBA">
        <w:rPr>
          <w:sz w:val="24"/>
          <w:szCs w:val="24"/>
        </w:rPr>
        <w:t>[</w:t>
      </w:r>
      <w:sdt>
        <w:sdtPr>
          <w:rPr>
            <w:sz w:val="24"/>
          </w:rPr>
          <w:id w:val="-51620119"/>
          <w:citation/>
        </w:sdtPr>
        <w:sdtEndPr/>
        <w:sdtContent>
          <w:r w:rsidR="002208D7" w:rsidRPr="00CF0BBA">
            <w:rPr>
              <w:sz w:val="24"/>
            </w:rPr>
            <w:fldChar w:fldCharType="begin"/>
          </w:r>
          <w:r w:rsidR="002208D7" w:rsidRPr="00CF0BBA">
            <w:rPr>
              <w:sz w:val="24"/>
              <w:lang w:val="en-US"/>
            </w:rPr>
            <w:instrText xml:space="preserve"> CITATION Cou16 \l 1033 </w:instrText>
          </w:r>
          <w:r w:rsidR="002208D7" w:rsidRPr="00CF0BBA">
            <w:rPr>
              <w:sz w:val="24"/>
            </w:rPr>
            <w:fldChar w:fldCharType="separate"/>
          </w:r>
          <w:r w:rsidR="00DE6EEF" w:rsidRPr="00CF0BBA">
            <w:rPr>
              <w:noProof/>
              <w:sz w:val="24"/>
              <w:lang w:val="en-US"/>
            </w:rPr>
            <w:t xml:space="preserve"> [13]</w:t>
          </w:r>
          <w:r w:rsidR="002208D7" w:rsidRPr="00CF0BBA">
            <w:rPr>
              <w:sz w:val="24"/>
            </w:rPr>
            <w:fldChar w:fldCharType="end"/>
          </w:r>
        </w:sdtContent>
      </w:sdt>
      <w:r w:rsidR="002208D7" w:rsidRPr="00CF0BBA">
        <w:rPr>
          <w:sz w:val="24"/>
        </w:rPr>
        <w:t>pp. 15</w:t>
      </w:r>
      <w:r w:rsidRPr="00CF0BBA">
        <w:rPr>
          <w:sz w:val="24"/>
        </w:rPr>
        <w:t>]</w:t>
      </w:r>
      <w:r w:rsidR="001817FD">
        <w:rPr>
          <w:sz w:val="24"/>
        </w:rPr>
        <w:t>.</w:t>
      </w:r>
      <w:r w:rsidR="0030213A" w:rsidRPr="00CF0BBA">
        <w:rPr>
          <w:sz w:val="24"/>
        </w:rPr>
        <w:t xml:space="preserve"> </w:t>
      </w:r>
      <w:r w:rsidR="00346615">
        <w:rPr>
          <w:sz w:val="24"/>
        </w:rPr>
        <w:t xml:space="preserve">The </w:t>
      </w:r>
      <w:r w:rsidR="0030213A" w:rsidRPr="00CF0BBA">
        <w:rPr>
          <w:sz w:val="24"/>
        </w:rPr>
        <w:t>court conclude</w:t>
      </w:r>
      <w:r w:rsidR="00536321" w:rsidRPr="00CF0BBA">
        <w:rPr>
          <w:sz w:val="24"/>
        </w:rPr>
        <w:t>d</w:t>
      </w:r>
      <w:r w:rsidR="0030213A" w:rsidRPr="00CF0BBA">
        <w:rPr>
          <w:sz w:val="24"/>
        </w:rPr>
        <w:t xml:space="preserve"> that the Tribunal’s findings </w:t>
      </w:r>
      <w:r w:rsidR="00536321" w:rsidRPr="00CF0BBA">
        <w:rPr>
          <w:sz w:val="24"/>
        </w:rPr>
        <w:t>were</w:t>
      </w:r>
      <w:r w:rsidR="0030213A" w:rsidRPr="00CF0BBA">
        <w:rPr>
          <w:sz w:val="24"/>
        </w:rPr>
        <w:t xml:space="preserve"> unreasonable</w:t>
      </w:r>
      <w:r w:rsidR="001817FD">
        <w:rPr>
          <w:sz w:val="24"/>
        </w:rPr>
        <w:t xml:space="preserve"> </w:t>
      </w:r>
      <w:r w:rsidR="00346615">
        <w:rPr>
          <w:sz w:val="24"/>
        </w:rPr>
        <w:t xml:space="preserve">as they </w:t>
      </w:r>
      <w:r w:rsidR="00346615" w:rsidRPr="00CF0BBA">
        <w:rPr>
          <w:sz w:val="24"/>
        </w:rPr>
        <w:t>made no reference to</w:t>
      </w:r>
      <w:r w:rsidR="00346615">
        <w:rPr>
          <w:sz w:val="24"/>
        </w:rPr>
        <w:t xml:space="preserve"> </w:t>
      </w:r>
      <w:r w:rsidR="00346615" w:rsidRPr="00CF0BBA">
        <w:rPr>
          <w:sz w:val="24"/>
        </w:rPr>
        <w:t xml:space="preserve">the evidence when they found that APEGA’s policies were based on discriminatory assumptions. </w:t>
      </w:r>
      <w:r w:rsidR="001817FD">
        <w:rPr>
          <w:sz w:val="24"/>
        </w:rPr>
        <w:t>[</w:t>
      </w:r>
      <w:sdt>
        <w:sdtPr>
          <w:rPr>
            <w:sz w:val="24"/>
          </w:rPr>
          <w:id w:val="434631910"/>
          <w:citation/>
        </w:sdtPr>
        <w:sdtEndPr/>
        <w:sdtContent>
          <w:r w:rsidR="002208D7" w:rsidRPr="00CF0BBA">
            <w:rPr>
              <w:sz w:val="24"/>
            </w:rPr>
            <w:fldChar w:fldCharType="begin"/>
          </w:r>
          <w:r w:rsidR="002208D7" w:rsidRPr="00CF0BBA">
            <w:rPr>
              <w:sz w:val="24"/>
              <w:lang w:val="en-US"/>
            </w:rPr>
            <w:instrText xml:space="preserve"> CITATION Cou16 \l 1033 </w:instrText>
          </w:r>
          <w:r w:rsidR="002208D7" w:rsidRPr="00CF0BBA">
            <w:rPr>
              <w:sz w:val="24"/>
            </w:rPr>
            <w:fldChar w:fldCharType="separate"/>
          </w:r>
          <w:r w:rsidR="00DE6EEF" w:rsidRPr="00CF0BBA">
            <w:rPr>
              <w:noProof/>
              <w:sz w:val="24"/>
              <w:lang w:val="en-US"/>
            </w:rPr>
            <w:t xml:space="preserve"> [13]</w:t>
          </w:r>
          <w:r w:rsidR="002208D7" w:rsidRPr="00CF0BBA">
            <w:rPr>
              <w:sz w:val="24"/>
            </w:rPr>
            <w:fldChar w:fldCharType="end"/>
          </w:r>
        </w:sdtContent>
      </w:sdt>
      <w:r w:rsidR="002208D7" w:rsidRPr="00CF0BBA">
        <w:rPr>
          <w:sz w:val="24"/>
        </w:rPr>
        <w:t>pp. 16]</w:t>
      </w:r>
      <w:r w:rsidR="001817FD">
        <w:rPr>
          <w:sz w:val="24"/>
        </w:rPr>
        <w:t>.</w:t>
      </w:r>
      <w:r w:rsidR="00536321" w:rsidRPr="00CF0BBA">
        <w:rPr>
          <w:sz w:val="24"/>
        </w:rPr>
        <w:t xml:space="preserve"> </w:t>
      </w:r>
      <w:r w:rsidR="003750E6" w:rsidRPr="00CF0BBA">
        <w:rPr>
          <w:sz w:val="24"/>
          <w:szCs w:val="24"/>
        </w:rPr>
        <w:t>Although</w:t>
      </w:r>
      <w:r w:rsidR="000F642D" w:rsidRPr="00CF0BBA">
        <w:rPr>
          <w:sz w:val="24"/>
          <w:szCs w:val="24"/>
        </w:rPr>
        <w:t xml:space="preserve"> the Moore test applied by the Tribunal to this case was relevant, it was no</w:t>
      </w:r>
      <w:r w:rsidR="00536321" w:rsidRPr="00CF0BBA">
        <w:rPr>
          <w:sz w:val="24"/>
          <w:szCs w:val="24"/>
        </w:rPr>
        <w:t>t</w:t>
      </w:r>
      <w:r w:rsidR="000F642D" w:rsidRPr="00CF0BBA">
        <w:rPr>
          <w:sz w:val="24"/>
          <w:szCs w:val="24"/>
        </w:rPr>
        <w:t xml:space="preserve"> sufficient to establish discrimination. The test was never addressed in relation to the NPPE or</w:t>
      </w:r>
      <w:r w:rsidRPr="00CF0BBA">
        <w:rPr>
          <w:sz w:val="24"/>
          <w:szCs w:val="24"/>
        </w:rPr>
        <w:t xml:space="preserve"> the</w:t>
      </w:r>
      <w:r w:rsidR="000F642D" w:rsidRPr="00CF0BBA">
        <w:rPr>
          <w:sz w:val="24"/>
          <w:szCs w:val="24"/>
        </w:rPr>
        <w:t xml:space="preserve"> requirement of one year </w:t>
      </w:r>
      <w:r w:rsidR="00C7709B">
        <w:rPr>
          <w:sz w:val="24"/>
          <w:szCs w:val="24"/>
        </w:rPr>
        <w:t xml:space="preserve">of </w:t>
      </w:r>
      <w:r w:rsidR="000F642D" w:rsidRPr="00CF0BBA">
        <w:rPr>
          <w:sz w:val="24"/>
          <w:szCs w:val="24"/>
        </w:rPr>
        <w:t xml:space="preserve">Canadian experience. The evidence </w:t>
      </w:r>
      <w:r w:rsidRPr="00CF0BBA">
        <w:rPr>
          <w:sz w:val="24"/>
          <w:szCs w:val="24"/>
        </w:rPr>
        <w:t xml:space="preserve">did not </w:t>
      </w:r>
      <w:r w:rsidR="00346615">
        <w:rPr>
          <w:sz w:val="24"/>
          <w:szCs w:val="24"/>
        </w:rPr>
        <w:t>corroborate</w:t>
      </w:r>
      <w:r w:rsidR="000F642D" w:rsidRPr="00CF0BBA">
        <w:rPr>
          <w:sz w:val="24"/>
          <w:szCs w:val="24"/>
        </w:rPr>
        <w:t xml:space="preserve"> that nationality was a factor in any disadvantage</w:t>
      </w:r>
      <w:r w:rsidR="007F4AD0">
        <w:rPr>
          <w:sz w:val="24"/>
          <w:szCs w:val="24"/>
        </w:rPr>
        <w:t xml:space="preserve"> to Mr. Mihaly</w:t>
      </w:r>
      <w:r w:rsidR="003E3DBF" w:rsidRPr="00CF0BBA">
        <w:rPr>
          <w:sz w:val="24"/>
          <w:szCs w:val="24"/>
        </w:rPr>
        <w:t xml:space="preserve"> especially since the NPPE is</w:t>
      </w:r>
      <w:r w:rsidR="00787828" w:rsidRPr="00CF0BBA">
        <w:rPr>
          <w:sz w:val="24"/>
          <w:szCs w:val="24"/>
        </w:rPr>
        <w:t xml:space="preserve"> mandatory</w:t>
      </w:r>
      <w:r w:rsidR="003E3DBF" w:rsidRPr="00CF0BBA">
        <w:rPr>
          <w:sz w:val="24"/>
          <w:szCs w:val="24"/>
        </w:rPr>
        <w:t xml:space="preserve"> for all applicants</w:t>
      </w:r>
      <w:r w:rsidR="001817FD">
        <w:rPr>
          <w:sz w:val="24"/>
          <w:szCs w:val="24"/>
        </w:rPr>
        <w:t xml:space="preserve"> [</w:t>
      </w:r>
      <w:sdt>
        <w:sdtPr>
          <w:rPr>
            <w:sz w:val="24"/>
          </w:rPr>
          <w:id w:val="-433138434"/>
          <w:citation/>
        </w:sdtPr>
        <w:sdtEndPr/>
        <w:sdtContent>
          <w:r w:rsidR="002208D7" w:rsidRPr="00CF0BBA">
            <w:rPr>
              <w:sz w:val="24"/>
            </w:rPr>
            <w:fldChar w:fldCharType="begin"/>
          </w:r>
          <w:r w:rsidR="002208D7" w:rsidRPr="00CF0BBA">
            <w:rPr>
              <w:sz w:val="24"/>
              <w:lang w:val="en-US"/>
            </w:rPr>
            <w:instrText xml:space="preserve"> CITATION Cou16 \l 1033 </w:instrText>
          </w:r>
          <w:r w:rsidR="002208D7" w:rsidRPr="00CF0BBA">
            <w:rPr>
              <w:sz w:val="24"/>
            </w:rPr>
            <w:fldChar w:fldCharType="separate"/>
          </w:r>
          <w:r w:rsidR="00DE6EEF" w:rsidRPr="00CF0BBA">
            <w:rPr>
              <w:noProof/>
              <w:sz w:val="24"/>
              <w:lang w:val="en-US"/>
            </w:rPr>
            <w:t xml:space="preserve"> [13]</w:t>
          </w:r>
          <w:r w:rsidR="002208D7" w:rsidRPr="00CF0BBA">
            <w:rPr>
              <w:sz w:val="24"/>
            </w:rPr>
            <w:fldChar w:fldCharType="end"/>
          </w:r>
        </w:sdtContent>
      </w:sdt>
      <w:r w:rsidR="002208D7" w:rsidRPr="00CF0BBA">
        <w:rPr>
          <w:sz w:val="24"/>
        </w:rPr>
        <w:t>pp. 18]</w:t>
      </w:r>
      <w:r w:rsidR="001817FD">
        <w:rPr>
          <w:sz w:val="24"/>
        </w:rPr>
        <w:t>.</w:t>
      </w:r>
      <w:r w:rsidR="00536321" w:rsidRPr="00CF0BBA">
        <w:rPr>
          <w:sz w:val="24"/>
        </w:rPr>
        <w:t xml:space="preserve"> </w:t>
      </w:r>
      <w:r w:rsidR="00346615" w:rsidRPr="00CF0BBA">
        <w:rPr>
          <w:sz w:val="24"/>
          <w:szCs w:val="24"/>
        </w:rPr>
        <w:t>Consequently</w:t>
      </w:r>
      <w:r w:rsidR="003E3DBF" w:rsidRPr="00CF0BBA">
        <w:rPr>
          <w:sz w:val="24"/>
          <w:szCs w:val="24"/>
        </w:rPr>
        <w:t>, the CQB rule</w:t>
      </w:r>
      <w:r w:rsidR="00536321" w:rsidRPr="00CF0BBA">
        <w:rPr>
          <w:sz w:val="24"/>
          <w:szCs w:val="24"/>
        </w:rPr>
        <w:t>d</w:t>
      </w:r>
      <w:r w:rsidR="003E3DBF" w:rsidRPr="00CF0BBA">
        <w:rPr>
          <w:sz w:val="24"/>
          <w:szCs w:val="24"/>
        </w:rPr>
        <w:t xml:space="preserve"> that the Tribunals apparent finding of prima facie discrimination in relation to the NPPE and Canadian experience requirement is unreasonable</w:t>
      </w:r>
      <w:r w:rsidR="001817FD">
        <w:rPr>
          <w:sz w:val="24"/>
          <w:szCs w:val="24"/>
        </w:rPr>
        <w:t xml:space="preserve"> [</w:t>
      </w:r>
      <w:sdt>
        <w:sdtPr>
          <w:rPr>
            <w:sz w:val="24"/>
          </w:rPr>
          <w:id w:val="-1516767112"/>
          <w:citation/>
        </w:sdtPr>
        <w:sdtEndPr/>
        <w:sdtContent>
          <w:r w:rsidR="002208D7" w:rsidRPr="00CF0BBA">
            <w:rPr>
              <w:sz w:val="24"/>
            </w:rPr>
            <w:fldChar w:fldCharType="begin"/>
          </w:r>
          <w:r w:rsidR="002208D7" w:rsidRPr="00CF0BBA">
            <w:rPr>
              <w:sz w:val="24"/>
              <w:lang w:val="en-US"/>
            </w:rPr>
            <w:instrText xml:space="preserve"> CITATION Cou16 \l 1033 </w:instrText>
          </w:r>
          <w:r w:rsidR="002208D7" w:rsidRPr="00CF0BBA">
            <w:rPr>
              <w:sz w:val="24"/>
            </w:rPr>
            <w:fldChar w:fldCharType="separate"/>
          </w:r>
          <w:r w:rsidR="00DE6EEF" w:rsidRPr="00CF0BBA">
            <w:rPr>
              <w:noProof/>
              <w:sz w:val="24"/>
              <w:lang w:val="en-US"/>
            </w:rPr>
            <w:t xml:space="preserve"> [13]</w:t>
          </w:r>
          <w:r w:rsidR="002208D7" w:rsidRPr="00CF0BBA">
            <w:rPr>
              <w:sz w:val="24"/>
            </w:rPr>
            <w:fldChar w:fldCharType="end"/>
          </w:r>
        </w:sdtContent>
      </w:sdt>
      <w:r w:rsidR="002208D7" w:rsidRPr="00CF0BBA">
        <w:rPr>
          <w:sz w:val="24"/>
        </w:rPr>
        <w:t>pp. 19]</w:t>
      </w:r>
      <w:r w:rsidR="001817FD">
        <w:rPr>
          <w:sz w:val="24"/>
        </w:rPr>
        <w:t>.</w:t>
      </w:r>
      <w:r w:rsidR="0037155B" w:rsidRPr="00CF0BBA">
        <w:rPr>
          <w:sz w:val="24"/>
          <w:szCs w:val="24"/>
        </w:rPr>
        <w:t xml:space="preserve"> The Tribunal found that </w:t>
      </w:r>
      <w:r w:rsidR="007F4AD0">
        <w:rPr>
          <w:sz w:val="24"/>
          <w:szCs w:val="24"/>
        </w:rPr>
        <w:t>APEGA’s</w:t>
      </w:r>
      <w:r w:rsidR="0037155B" w:rsidRPr="00CF0BBA">
        <w:rPr>
          <w:sz w:val="24"/>
          <w:szCs w:val="24"/>
        </w:rPr>
        <w:t xml:space="preserve"> requirements were unjustifiable because in their opinion</w:t>
      </w:r>
      <w:r w:rsidR="00CC1AA8">
        <w:rPr>
          <w:sz w:val="24"/>
          <w:szCs w:val="24"/>
        </w:rPr>
        <w:t>,</w:t>
      </w:r>
      <w:r w:rsidR="0037155B" w:rsidRPr="00CF0BBA">
        <w:rPr>
          <w:sz w:val="24"/>
          <w:szCs w:val="24"/>
        </w:rPr>
        <w:t xml:space="preserve"> </w:t>
      </w:r>
      <w:r w:rsidR="002208D7" w:rsidRPr="00CF0BBA">
        <w:rPr>
          <w:sz w:val="24"/>
          <w:szCs w:val="24"/>
        </w:rPr>
        <w:t>Mr. Mihaly</w:t>
      </w:r>
      <w:r w:rsidR="0037155B" w:rsidRPr="00CF0BBA">
        <w:rPr>
          <w:sz w:val="24"/>
          <w:szCs w:val="24"/>
        </w:rPr>
        <w:t xml:space="preserve"> should only be required to write examinations to </w:t>
      </w:r>
      <w:r w:rsidR="00111B00" w:rsidRPr="00CF0BBA">
        <w:rPr>
          <w:sz w:val="24"/>
          <w:szCs w:val="24"/>
        </w:rPr>
        <w:t>rectify</w:t>
      </w:r>
      <w:r w:rsidR="0037155B" w:rsidRPr="00CF0BBA">
        <w:rPr>
          <w:sz w:val="24"/>
          <w:szCs w:val="24"/>
        </w:rPr>
        <w:t xml:space="preserve"> academic deficiencies and that he should </w:t>
      </w:r>
      <w:r w:rsidR="00CC1AA8">
        <w:rPr>
          <w:sz w:val="24"/>
          <w:szCs w:val="24"/>
        </w:rPr>
        <w:t xml:space="preserve">not </w:t>
      </w:r>
      <w:r w:rsidR="00FA7E72">
        <w:rPr>
          <w:sz w:val="24"/>
          <w:szCs w:val="24"/>
        </w:rPr>
        <w:t>be required to</w:t>
      </w:r>
      <w:r w:rsidR="0037155B" w:rsidRPr="00CF0BBA">
        <w:rPr>
          <w:sz w:val="24"/>
          <w:szCs w:val="24"/>
        </w:rPr>
        <w:t xml:space="preserve"> write a standardized</w:t>
      </w:r>
      <w:r w:rsidR="00536321" w:rsidRPr="00CF0BBA">
        <w:rPr>
          <w:sz w:val="24"/>
          <w:szCs w:val="24"/>
        </w:rPr>
        <w:t xml:space="preserve"> </w:t>
      </w:r>
      <w:r w:rsidR="00CC1AA8" w:rsidRPr="00CF0BBA">
        <w:rPr>
          <w:sz w:val="24"/>
          <w:szCs w:val="24"/>
        </w:rPr>
        <w:t>test</w:t>
      </w:r>
      <w:r w:rsidR="00CC1AA8">
        <w:rPr>
          <w:sz w:val="24"/>
          <w:szCs w:val="24"/>
        </w:rPr>
        <w:t xml:space="preserve"> but</w:t>
      </w:r>
      <w:r w:rsidR="00FA7E72">
        <w:rPr>
          <w:sz w:val="24"/>
          <w:szCs w:val="24"/>
        </w:rPr>
        <w:t xml:space="preserve"> </w:t>
      </w:r>
      <w:r w:rsidR="00CC1AA8">
        <w:rPr>
          <w:sz w:val="24"/>
          <w:szCs w:val="24"/>
        </w:rPr>
        <w:t xml:space="preserve">be </w:t>
      </w:r>
      <w:r w:rsidR="0037155B" w:rsidRPr="00CF0BBA">
        <w:rPr>
          <w:sz w:val="24"/>
          <w:szCs w:val="24"/>
        </w:rPr>
        <w:t>individuall</w:t>
      </w:r>
      <w:r w:rsidR="00A72021">
        <w:rPr>
          <w:sz w:val="24"/>
          <w:szCs w:val="24"/>
        </w:rPr>
        <w:t>y</w:t>
      </w:r>
      <w:r w:rsidR="00CC1AA8">
        <w:rPr>
          <w:sz w:val="24"/>
          <w:szCs w:val="24"/>
        </w:rPr>
        <w:t xml:space="preserve"> assessed instead</w:t>
      </w:r>
      <w:r w:rsidR="0037155B" w:rsidRPr="00CF0BBA">
        <w:rPr>
          <w:sz w:val="24"/>
          <w:szCs w:val="24"/>
        </w:rPr>
        <w:t xml:space="preserve">. </w:t>
      </w:r>
      <w:r w:rsidR="001C67B6" w:rsidRPr="00CF0BBA">
        <w:rPr>
          <w:sz w:val="24"/>
          <w:szCs w:val="24"/>
        </w:rPr>
        <w:t xml:space="preserve">The Court determined that the Tribunal’s justification under AHR Act, Section 11 is only in relation to conduct which has been found to constitute prima facie discrimination. Therefore, </w:t>
      </w:r>
      <w:r w:rsidR="00615514" w:rsidRPr="00CF0BBA">
        <w:rPr>
          <w:sz w:val="24"/>
          <w:szCs w:val="24"/>
        </w:rPr>
        <w:t>t</w:t>
      </w:r>
      <w:r w:rsidR="001C67B6" w:rsidRPr="00CF0BBA">
        <w:rPr>
          <w:sz w:val="24"/>
          <w:szCs w:val="24"/>
        </w:rPr>
        <w:t xml:space="preserve">he </w:t>
      </w:r>
      <w:r w:rsidR="008D6356" w:rsidRPr="00CF0BBA">
        <w:rPr>
          <w:sz w:val="24"/>
          <w:szCs w:val="24"/>
        </w:rPr>
        <w:t>CQB decided</w:t>
      </w:r>
      <w:r w:rsidR="00346615">
        <w:rPr>
          <w:sz w:val="24"/>
          <w:szCs w:val="24"/>
        </w:rPr>
        <w:t xml:space="preserve"> that</w:t>
      </w:r>
      <w:r w:rsidR="008D6356" w:rsidRPr="00CF0BBA">
        <w:rPr>
          <w:sz w:val="24"/>
          <w:szCs w:val="24"/>
        </w:rPr>
        <w:t xml:space="preserve"> the </w:t>
      </w:r>
      <w:r w:rsidR="001C67B6" w:rsidRPr="00CF0BBA">
        <w:rPr>
          <w:sz w:val="24"/>
          <w:szCs w:val="24"/>
        </w:rPr>
        <w:t xml:space="preserve">Tribunal’s </w:t>
      </w:r>
      <w:r w:rsidR="00615514" w:rsidRPr="00CF0BBA">
        <w:rPr>
          <w:sz w:val="24"/>
          <w:szCs w:val="24"/>
        </w:rPr>
        <w:t xml:space="preserve">conclusion </w:t>
      </w:r>
      <w:r w:rsidR="00346615">
        <w:rPr>
          <w:sz w:val="24"/>
          <w:szCs w:val="24"/>
        </w:rPr>
        <w:t xml:space="preserve">in which </w:t>
      </w:r>
      <w:r w:rsidR="00615514" w:rsidRPr="00CF0BBA">
        <w:rPr>
          <w:sz w:val="24"/>
          <w:szCs w:val="24"/>
        </w:rPr>
        <w:t>APEGA’s requirements were unjustified was</w:t>
      </w:r>
      <w:r w:rsidR="007F4AD0">
        <w:rPr>
          <w:sz w:val="24"/>
          <w:szCs w:val="24"/>
        </w:rPr>
        <w:t xml:space="preserve"> also</w:t>
      </w:r>
      <w:r w:rsidR="00615514" w:rsidRPr="00CF0BBA">
        <w:rPr>
          <w:sz w:val="24"/>
          <w:szCs w:val="24"/>
        </w:rPr>
        <w:t xml:space="preserve"> unreasonable and </w:t>
      </w:r>
      <w:r w:rsidR="007F4AD0">
        <w:rPr>
          <w:sz w:val="24"/>
          <w:szCs w:val="24"/>
        </w:rPr>
        <w:t xml:space="preserve">that drawing this </w:t>
      </w:r>
      <w:r w:rsidR="008D6356" w:rsidRPr="00CF0BBA">
        <w:rPr>
          <w:sz w:val="24"/>
          <w:szCs w:val="24"/>
        </w:rPr>
        <w:t xml:space="preserve">conclusion is </w:t>
      </w:r>
      <w:r w:rsidR="00FA7E72">
        <w:rPr>
          <w:sz w:val="24"/>
          <w:szCs w:val="24"/>
        </w:rPr>
        <w:t xml:space="preserve">a display of </w:t>
      </w:r>
      <w:r w:rsidR="008D6356" w:rsidRPr="00CF0BBA">
        <w:rPr>
          <w:sz w:val="24"/>
          <w:szCs w:val="24"/>
        </w:rPr>
        <w:t xml:space="preserve">overstepping </w:t>
      </w:r>
      <w:r w:rsidR="00615514" w:rsidRPr="00CF0BBA">
        <w:rPr>
          <w:sz w:val="24"/>
          <w:szCs w:val="24"/>
        </w:rPr>
        <w:t>their role</w:t>
      </w:r>
      <w:r w:rsidR="001817FD">
        <w:rPr>
          <w:sz w:val="24"/>
          <w:szCs w:val="24"/>
        </w:rPr>
        <w:t xml:space="preserve"> [</w:t>
      </w:r>
      <w:sdt>
        <w:sdtPr>
          <w:rPr>
            <w:sz w:val="24"/>
          </w:rPr>
          <w:id w:val="1178848735"/>
          <w:citation/>
        </w:sdtPr>
        <w:sdtEndPr/>
        <w:sdtContent>
          <w:r w:rsidR="002208D7" w:rsidRPr="00CF0BBA">
            <w:rPr>
              <w:sz w:val="24"/>
            </w:rPr>
            <w:fldChar w:fldCharType="begin"/>
          </w:r>
          <w:r w:rsidR="002208D7" w:rsidRPr="00CF0BBA">
            <w:rPr>
              <w:sz w:val="24"/>
              <w:lang w:val="en-US"/>
            </w:rPr>
            <w:instrText xml:space="preserve"> CITATION Cou16 \l 1033 </w:instrText>
          </w:r>
          <w:r w:rsidR="002208D7" w:rsidRPr="00CF0BBA">
            <w:rPr>
              <w:sz w:val="24"/>
            </w:rPr>
            <w:fldChar w:fldCharType="separate"/>
          </w:r>
          <w:r w:rsidR="00DE6EEF" w:rsidRPr="00CF0BBA">
            <w:rPr>
              <w:noProof/>
              <w:sz w:val="24"/>
              <w:lang w:val="en-US"/>
            </w:rPr>
            <w:t xml:space="preserve"> [13]</w:t>
          </w:r>
          <w:r w:rsidR="002208D7" w:rsidRPr="00CF0BBA">
            <w:rPr>
              <w:sz w:val="24"/>
            </w:rPr>
            <w:fldChar w:fldCharType="end"/>
          </w:r>
        </w:sdtContent>
      </w:sdt>
      <w:r w:rsidR="002208D7" w:rsidRPr="00CF0BBA">
        <w:rPr>
          <w:sz w:val="24"/>
        </w:rPr>
        <w:t>pp. 20]</w:t>
      </w:r>
      <w:r w:rsidR="001817FD">
        <w:rPr>
          <w:sz w:val="24"/>
        </w:rPr>
        <w:t>.</w:t>
      </w:r>
    </w:p>
    <w:p w14:paraId="3525F4B8" w14:textId="71DB55B6" w:rsidR="002208D7" w:rsidRPr="00CF0BBA" w:rsidRDefault="00CC7CEF" w:rsidP="00A30F31">
      <w:pPr>
        <w:spacing w:before="240" w:after="240" w:line="240" w:lineRule="auto"/>
        <w:ind w:firstLine="720"/>
        <w:jc w:val="both"/>
        <w:rPr>
          <w:sz w:val="24"/>
        </w:rPr>
      </w:pPr>
      <w:r w:rsidRPr="00CF0BBA">
        <w:rPr>
          <w:sz w:val="24"/>
          <w:szCs w:val="24"/>
        </w:rPr>
        <w:t xml:space="preserve">The Tribunal </w:t>
      </w:r>
      <w:r w:rsidR="00F90520" w:rsidRPr="00CF0BBA">
        <w:rPr>
          <w:sz w:val="24"/>
          <w:szCs w:val="24"/>
        </w:rPr>
        <w:t>also criticized the process by which the Foreign Degree List [FDL] was created</w:t>
      </w:r>
      <w:r w:rsidR="007C4420" w:rsidRPr="00CF0BBA">
        <w:rPr>
          <w:sz w:val="24"/>
          <w:szCs w:val="24"/>
        </w:rPr>
        <w:t xml:space="preserve">. </w:t>
      </w:r>
      <w:r w:rsidR="00F90520" w:rsidRPr="00CF0BBA">
        <w:rPr>
          <w:sz w:val="24"/>
          <w:szCs w:val="24"/>
        </w:rPr>
        <w:t xml:space="preserve">This became an irrelevant argument since </w:t>
      </w:r>
      <w:r w:rsidR="002208D7" w:rsidRPr="00CF0BBA">
        <w:rPr>
          <w:sz w:val="24"/>
          <w:szCs w:val="24"/>
        </w:rPr>
        <w:t>Mr. Mihaly</w:t>
      </w:r>
      <w:r w:rsidR="00F90520" w:rsidRPr="00CF0BBA">
        <w:rPr>
          <w:sz w:val="24"/>
          <w:szCs w:val="24"/>
        </w:rPr>
        <w:t xml:space="preserve"> already benefitted from the FDL as he was only required to complete three instead of the conventional five confirmatory exams. Despite the </w:t>
      </w:r>
      <w:r w:rsidR="00F55706">
        <w:rPr>
          <w:sz w:val="24"/>
          <w:szCs w:val="24"/>
        </w:rPr>
        <w:t>assumption</w:t>
      </w:r>
      <w:r w:rsidR="00F90520" w:rsidRPr="00CF0BBA">
        <w:rPr>
          <w:sz w:val="24"/>
          <w:szCs w:val="24"/>
        </w:rPr>
        <w:t>, APEGA also does not assign examinations to applicants solely based on perceived academic deficiencie</w:t>
      </w:r>
      <w:r w:rsidR="00290BC3" w:rsidRPr="00CF0BBA">
        <w:rPr>
          <w:sz w:val="24"/>
          <w:szCs w:val="24"/>
        </w:rPr>
        <w:t>s</w:t>
      </w:r>
      <w:r w:rsidR="00F55706">
        <w:rPr>
          <w:sz w:val="24"/>
          <w:szCs w:val="24"/>
        </w:rPr>
        <w:t>. R</w:t>
      </w:r>
      <w:r w:rsidR="00290BC3" w:rsidRPr="00CF0BBA">
        <w:rPr>
          <w:sz w:val="24"/>
          <w:szCs w:val="24"/>
        </w:rPr>
        <w:t>ather</w:t>
      </w:r>
      <w:r w:rsidR="00F55706">
        <w:rPr>
          <w:sz w:val="24"/>
          <w:szCs w:val="24"/>
        </w:rPr>
        <w:t>,</w:t>
      </w:r>
      <w:r w:rsidR="00290BC3" w:rsidRPr="00CF0BBA">
        <w:rPr>
          <w:sz w:val="24"/>
          <w:szCs w:val="24"/>
        </w:rPr>
        <w:t xml:space="preserve"> they assign exams </w:t>
      </w:r>
      <w:r w:rsidR="00B36B89" w:rsidRPr="00CF0BBA">
        <w:rPr>
          <w:sz w:val="24"/>
          <w:szCs w:val="24"/>
        </w:rPr>
        <w:t>to</w:t>
      </w:r>
      <w:r w:rsidR="00290BC3" w:rsidRPr="00CF0BBA">
        <w:rPr>
          <w:sz w:val="24"/>
          <w:szCs w:val="24"/>
        </w:rPr>
        <w:t xml:space="preserve"> </w:t>
      </w:r>
      <w:r w:rsidR="00B36B89" w:rsidRPr="00CF0BBA">
        <w:rPr>
          <w:sz w:val="24"/>
          <w:szCs w:val="24"/>
        </w:rPr>
        <w:t xml:space="preserve">objectively and systematically </w:t>
      </w:r>
      <w:r w:rsidR="00290BC3" w:rsidRPr="00CF0BBA">
        <w:rPr>
          <w:sz w:val="24"/>
          <w:szCs w:val="24"/>
        </w:rPr>
        <w:t xml:space="preserve">assess the quality of the undergraduate engineering programs </w:t>
      </w:r>
      <w:r w:rsidR="00FD6602">
        <w:rPr>
          <w:sz w:val="24"/>
          <w:szCs w:val="24"/>
        </w:rPr>
        <w:t>the applicants</w:t>
      </w:r>
      <w:r w:rsidR="00F55706">
        <w:rPr>
          <w:sz w:val="24"/>
          <w:szCs w:val="24"/>
        </w:rPr>
        <w:t xml:space="preserve"> </w:t>
      </w:r>
      <w:r w:rsidR="00FD6602">
        <w:rPr>
          <w:sz w:val="24"/>
          <w:szCs w:val="24"/>
        </w:rPr>
        <w:t>undertook. Insufficient knowledge of institutions or programs impedes APEGA from making rational conclusions with regards to level of competency</w:t>
      </w:r>
      <w:r w:rsidR="007C4420" w:rsidRPr="00CF0BBA">
        <w:rPr>
          <w:sz w:val="24"/>
          <w:szCs w:val="24"/>
        </w:rPr>
        <w:t xml:space="preserve">. </w:t>
      </w:r>
      <w:r w:rsidR="00FD6602">
        <w:rPr>
          <w:sz w:val="24"/>
          <w:szCs w:val="24"/>
        </w:rPr>
        <w:t>In response, t</w:t>
      </w:r>
      <w:r w:rsidR="007C4420" w:rsidRPr="00CF0BBA">
        <w:rPr>
          <w:sz w:val="24"/>
          <w:szCs w:val="24"/>
        </w:rPr>
        <w:t xml:space="preserve">he Tribunal </w:t>
      </w:r>
      <w:r w:rsidR="00CC1AA8">
        <w:rPr>
          <w:sz w:val="24"/>
          <w:szCs w:val="24"/>
        </w:rPr>
        <w:t>directed</w:t>
      </w:r>
      <w:r w:rsidR="007C4420" w:rsidRPr="00CF0BBA">
        <w:rPr>
          <w:sz w:val="24"/>
          <w:szCs w:val="24"/>
        </w:rPr>
        <w:t xml:space="preserve"> that APEGA </w:t>
      </w:r>
      <w:r w:rsidR="00346615">
        <w:rPr>
          <w:sz w:val="24"/>
          <w:szCs w:val="24"/>
        </w:rPr>
        <w:t xml:space="preserve">assume </w:t>
      </w:r>
      <w:r w:rsidR="007C4420" w:rsidRPr="00CF0BBA">
        <w:rPr>
          <w:sz w:val="24"/>
          <w:szCs w:val="24"/>
        </w:rPr>
        <w:t>a</w:t>
      </w:r>
      <w:r w:rsidR="00FD6602">
        <w:rPr>
          <w:sz w:val="24"/>
          <w:szCs w:val="24"/>
        </w:rPr>
        <w:t xml:space="preserve">n active </w:t>
      </w:r>
      <w:r w:rsidR="007C4420" w:rsidRPr="00CF0BBA">
        <w:rPr>
          <w:sz w:val="24"/>
          <w:szCs w:val="24"/>
        </w:rPr>
        <w:lastRenderedPageBreak/>
        <w:t xml:space="preserve">role in negotiating agreements </w:t>
      </w:r>
      <w:r w:rsidR="00F55706">
        <w:rPr>
          <w:sz w:val="24"/>
          <w:szCs w:val="24"/>
        </w:rPr>
        <w:t xml:space="preserve">overseas </w:t>
      </w:r>
      <w:r w:rsidR="007C4420" w:rsidRPr="00CF0BBA">
        <w:rPr>
          <w:sz w:val="24"/>
          <w:szCs w:val="24"/>
        </w:rPr>
        <w:t xml:space="preserve">with foreign institutions, </w:t>
      </w:r>
      <w:r w:rsidR="00CC1AA8">
        <w:rPr>
          <w:sz w:val="24"/>
          <w:szCs w:val="24"/>
        </w:rPr>
        <w:t>presuming</w:t>
      </w:r>
      <w:r w:rsidR="007C4420" w:rsidRPr="00CF0BBA">
        <w:rPr>
          <w:sz w:val="24"/>
          <w:szCs w:val="24"/>
        </w:rPr>
        <w:t xml:space="preserve"> that APEGA </w:t>
      </w:r>
      <w:r w:rsidR="00CC1AA8">
        <w:rPr>
          <w:sz w:val="24"/>
          <w:szCs w:val="24"/>
        </w:rPr>
        <w:t>had the</w:t>
      </w:r>
      <w:r w:rsidR="007C4420" w:rsidRPr="00CF0BBA">
        <w:rPr>
          <w:sz w:val="24"/>
          <w:szCs w:val="24"/>
        </w:rPr>
        <w:t xml:space="preserve"> resources </w:t>
      </w:r>
      <w:r w:rsidR="00CC1AA8">
        <w:rPr>
          <w:sz w:val="24"/>
          <w:szCs w:val="24"/>
        </w:rPr>
        <w:t>to accomplish this</w:t>
      </w:r>
      <w:r w:rsidR="007C4420" w:rsidRPr="00CF0BBA">
        <w:rPr>
          <w:sz w:val="24"/>
          <w:szCs w:val="24"/>
        </w:rPr>
        <w:t xml:space="preserve">. </w:t>
      </w:r>
      <w:r w:rsidR="00BE42A1" w:rsidRPr="00CF0BBA">
        <w:rPr>
          <w:sz w:val="24"/>
          <w:szCs w:val="24"/>
        </w:rPr>
        <w:t xml:space="preserve">APEGA’s policy of </w:t>
      </w:r>
      <w:r w:rsidR="00CC1AA8">
        <w:rPr>
          <w:sz w:val="24"/>
          <w:szCs w:val="24"/>
        </w:rPr>
        <w:t xml:space="preserve">assessments </w:t>
      </w:r>
      <w:r w:rsidR="00BE42A1" w:rsidRPr="00CF0BBA">
        <w:rPr>
          <w:sz w:val="24"/>
          <w:szCs w:val="24"/>
        </w:rPr>
        <w:t xml:space="preserve">for </w:t>
      </w:r>
      <w:r w:rsidR="00346615">
        <w:rPr>
          <w:sz w:val="24"/>
          <w:szCs w:val="24"/>
        </w:rPr>
        <w:t xml:space="preserve">unconfirmed competence </w:t>
      </w:r>
      <w:r w:rsidR="00BE42A1" w:rsidRPr="00CF0BBA">
        <w:rPr>
          <w:sz w:val="24"/>
          <w:szCs w:val="24"/>
        </w:rPr>
        <w:t xml:space="preserve">is consistent with the EGPR and follows its scope of upholding professional </w:t>
      </w:r>
      <w:r w:rsidR="00346615">
        <w:rPr>
          <w:sz w:val="24"/>
          <w:szCs w:val="24"/>
        </w:rPr>
        <w:t>proficiency</w:t>
      </w:r>
      <w:r w:rsidR="00BE42A1" w:rsidRPr="00CF0BBA">
        <w:rPr>
          <w:sz w:val="24"/>
          <w:szCs w:val="24"/>
        </w:rPr>
        <w:t xml:space="preserve"> standards</w:t>
      </w:r>
      <w:r w:rsidR="001817FD">
        <w:rPr>
          <w:sz w:val="24"/>
          <w:szCs w:val="24"/>
        </w:rPr>
        <w:t xml:space="preserve"> [</w:t>
      </w:r>
      <w:sdt>
        <w:sdtPr>
          <w:rPr>
            <w:sz w:val="24"/>
          </w:rPr>
          <w:id w:val="-1077751167"/>
          <w:citation/>
        </w:sdtPr>
        <w:sdtEndPr/>
        <w:sdtContent>
          <w:r w:rsidR="002208D7" w:rsidRPr="00CF0BBA">
            <w:rPr>
              <w:sz w:val="24"/>
            </w:rPr>
            <w:fldChar w:fldCharType="begin"/>
          </w:r>
          <w:r w:rsidR="002208D7" w:rsidRPr="00CF0BBA">
            <w:rPr>
              <w:sz w:val="24"/>
              <w:lang w:val="en-US"/>
            </w:rPr>
            <w:instrText xml:space="preserve"> CITATION Cou16 \l 1033 </w:instrText>
          </w:r>
          <w:r w:rsidR="002208D7" w:rsidRPr="00CF0BBA">
            <w:rPr>
              <w:sz w:val="24"/>
            </w:rPr>
            <w:fldChar w:fldCharType="separate"/>
          </w:r>
          <w:r w:rsidR="00DE6EEF" w:rsidRPr="00CF0BBA">
            <w:rPr>
              <w:noProof/>
              <w:sz w:val="24"/>
              <w:lang w:val="en-US"/>
            </w:rPr>
            <w:t xml:space="preserve"> [13]</w:t>
          </w:r>
          <w:r w:rsidR="002208D7" w:rsidRPr="00CF0BBA">
            <w:rPr>
              <w:sz w:val="24"/>
            </w:rPr>
            <w:fldChar w:fldCharType="end"/>
          </w:r>
        </w:sdtContent>
      </w:sdt>
      <w:r w:rsidR="002208D7" w:rsidRPr="00CF0BBA">
        <w:rPr>
          <w:sz w:val="24"/>
        </w:rPr>
        <w:t>pp. 22]</w:t>
      </w:r>
      <w:r w:rsidR="001817FD">
        <w:rPr>
          <w:sz w:val="24"/>
        </w:rPr>
        <w:t>.</w:t>
      </w:r>
    </w:p>
    <w:p w14:paraId="14DA8069" w14:textId="4732B0F4" w:rsidR="00037606" w:rsidRPr="00CF0BBA" w:rsidRDefault="00EF3516" w:rsidP="00A30F31">
      <w:pPr>
        <w:spacing w:before="240" w:after="240" w:line="240" w:lineRule="auto"/>
        <w:ind w:firstLine="720"/>
        <w:jc w:val="both"/>
        <w:rPr>
          <w:sz w:val="24"/>
          <w:szCs w:val="24"/>
        </w:rPr>
      </w:pPr>
      <w:r w:rsidRPr="00CF0BBA">
        <w:rPr>
          <w:sz w:val="24"/>
          <w:szCs w:val="24"/>
        </w:rPr>
        <w:t xml:space="preserve">The Tribunal assumed that the FE exam would have a disproportionate </w:t>
      </w:r>
      <w:r w:rsidR="00DE6EEF" w:rsidRPr="00CF0BBA">
        <w:rPr>
          <w:sz w:val="24"/>
          <w:szCs w:val="24"/>
        </w:rPr>
        <w:t>effect</w:t>
      </w:r>
      <w:r w:rsidRPr="00CF0BBA">
        <w:rPr>
          <w:sz w:val="24"/>
          <w:szCs w:val="24"/>
        </w:rPr>
        <w:t xml:space="preserve"> on foreign educated applicants like </w:t>
      </w:r>
      <w:r w:rsidR="002208D7" w:rsidRPr="00CF0BBA">
        <w:rPr>
          <w:sz w:val="24"/>
          <w:szCs w:val="24"/>
        </w:rPr>
        <w:t>Mr. Mihaly</w:t>
      </w:r>
      <w:r w:rsidRPr="00CF0BBA">
        <w:rPr>
          <w:sz w:val="24"/>
          <w:szCs w:val="24"/>
        </w:rPr>
        <w:t xml:space="preserve"> due to their</w:t>
      </w:r>
      <w:r w:rsidR="00DE6EEF" w:rsidRPr="00CF0BBA">
        <w:rPr>
          <w:sz w:val="24"/>
          <w:szCs w:val="24"/>
        </w:rPr>
        <w:t xml:space="preserve"> background</w:t>
      </w:r>
      <w:r w:rsidRPr="00CF0BBA">
        <w:rPr>
          <w:sz w:val="24"/>
          <w:szCs w:val="24"/>
        </w:rPr>
        <w:t xml:space="preserve">. However, </w:t>
      </w:r>
      <w:r w:rsidR="00AC0197" w:rsidRPr="00CF0BBA">
        <w:rPr>
          <w:sz w:val="24"/>
          <w:szCs w:val="24"/>
        </w:rPr>
        <w:t xml:space="preserve">this </w:t>
      </w:r>
      <w:r w:rsidR="00A03A22">
        <w:rPr>
          <w:sz w:val="24"/>
          <w:szCs w:val="24"/>
        </w:rPr>
        <w:t xml:space="preserve">could not </w:t>
      </w:r>
      <w:r w:rsidR="00AC0197" w:rsidRPr="00CF0BBA">
        <w:rPr>
          <w:sz w:val="24"/>
          <w:szCs w:val="24"/>
        </w:rPr>
        <w:t xml:space="preserve">be proven since </w:t>
      </w:r>
      <w:r w:rsidR="002208D7" w:rsidRPr="00CF0BBA">
        <w:rPr>
          <w:sz w:val="24"/>
          <w:szCs w:val="24"/>
        </w:rPr>
        <w:t>Mr. Mihaly</w:t>
      </w:r>
      <w:r w:rsidR="00AC0197" w:rsidRPr="00CF0BBA">
        <w:rPr>
          <w:sz w:val="24"/>
          <w:szCs w:val="24"/>
        </w:rPr>
        <w:t xml:space="preserve"> never attempted these exams. </w:t>
      </w:r>
      <w:r w:rsidR="001C48CB" w:rsidRPr="00CF0BBA">
        <w:rPr>
          <w:sz w:val="24"/>
          <w:szCs w:val="24"/>
        </w:rPr>
        <w:t>Moreover, the court found APEGA</w:t>
      </w:r>
      <w:r w:rsidR="00643ED5">
        <w:rPr>
          <w:sz w:val="24"/>
          <w:szCs w:val="24"/>
        </w:rPr>
        <w:t>’</w:t>
      </w:r>
      <w:r w:rsidR="001C48CB" w:rsidRPr="00CF0BBA">
        <w:rPr>
          <w:sz w:val="24"/>
          <w:szCs w:val="24"/>
        </w:rPr>
        <w:t xml:space="preserve">s requirements reasonable since </w:t>
      </w:r>
      <w:r w:rsidRPr="00CF0BBA">
        <w:rPr>
          <w:sz w:val="24"/>
          <w:szCs w:val="24"/>
        </w:rPr>
        <w:t>statistically, the pass rate of the FE exam is 85</w:t>
      </w:r>
      <w:r w:rsidR="00A67905">
        <w:rPr>
          <w:sz w:val="24"/>
          <w:szCs w:val="24"/>
        </w:rPr>
        <w:t xml:space="preserve"> percent</w:t>
      </w:r>
      <w:r w:rsidRPr="00CF0BBA">
        <w:rPr>
          <w:sz w:val="24"/>
          <w:szCs w:val="24"/>
        </w:rPr>
        <w:t xml:space="preserve"> and </w:t>
      </w:r>
      <w:r w:rsidR="00AC0197" w:rsidRPr="00CF0BBA">
        <w:rPr>
          <w:sz w:val="24"/>
          <w:szCs w:val="24"/>
        </w:rPr>
        <w:t>the exam can be rewritten</w:t>
      </w:r>
      <w:r w:rsidR="00037606" w:rsidRPr="00CF0BBA">
        <w:rPr>
          <w:sz w:val="24"/>
          <w:szCs w:val="24"/>
        </w:rPr>
        <w:t xml:space="preserve"> </w:t>
      </w:r>
      <w:sdt>
        <w:sdtPr>
          <w:rPr>
            <w:sz w:val="24"/>
            <w:szCs w:val="24"/>
          </w:rPr>
          <w:id w:val="1007565007"/>
          <w:citation/>
        </w:sdtPr>
        <w:sdtEndPr/>
        <w:sdtContent>
          <w:r w:rsidR="002208D7" w:rsidRPr="00CF0BBA">
            <w:rPr>
              <w:sz w:val="24"/>
              <w:szCs w:val="24"/>
            </w:rPr>
            <w:fldChar w:fldCharType="begin"/>
          </w:r>
          <w:r w:rsidR="002208D7" w:rsidRPr="00CF0BBA">
            <w:rPr>
              <w:sz w:val="24"/>
              <w:szCs w:val="24"/>
              <w:lang w:val="en-US"/>
            </w:rPr>
            <w:instrText xml:space="preserve"> CITATION APE183 \l 1033 </w:instrText>
          </w:r>
          <w:r w:rsidR="002208D7" w:rsidRPr="00CF0BBA">
            <w:rPr>
              <w:sz w:val="24"/>
              <w:szCs w:val="24"/>
            </w:rPr>
            <w:fldChar w:fldCharType="separate"/>
          </w:r>
          <w:r w:rsidR="00DE6EEF" w:rsidRPr="00CF0BBA">
            <w:rPr>
              <w:noProof/>
              <w:sz w:val="24"/>
              <w:szCs w:val="24"/>
              <w:lang w:val="en-US"/>
            </w:rPr>
            <w:t>[12]</w:t>
          </w:r>
          <w:r w:rsidR="002208D7" w:rsidRPr="00CF0BBA">
            <w:rPr>
              <w:sz w:val="24"/>
              <w:szCs w:val="24"/>
            </w:rPr>
            <w:fldChar w:fldCharType="end"/>
          </w:r>
        </w:sdtContent>
      </w:sdt>
      <w:r w:rsidR="001817FD">
        <w:rPr>
          <w:sz w:val="24"/>
          <w:szCs w:val="24"/>
        </w:rPr>
        <w:t>.</w:t>
      </w:r>
      <w:r w:rsidR="00536321" w:rsidRPr="00CF0BBA">
        <w:rPr>
          <w:sz w:val="24"/>
          <w:szCs w:val="24"/>
        </w:rPr>
        <w:t xml:space="preserve"> </w:t>
      </w:r>
      <w:r w:rsidR="00F03752" w:rsidRPr="00CF0BBA">
        <w:rPr>
          <w:sz w:val="24"/>
          <w:szCs w:val="24"/>
        </w:rPr>
        <w:t>APEGA individually assess</w:t>
      </w:r>
      <w:r w:rsidR="003F4A62">
        <w:rPr>
          <w:sz w:val="24"/>
          <w:szCs w:val="24"/>
        </w:rPr>
        <w:t>es</w:t>
      </w:r>
      <w:r w:rsidR="00F03752" w:rsidRPr="00CF0BBA">
        <w:rPr>
          <w:sz w:val="24"/>
          <w:szCs w:val="24"/>
        </w:rPr>
        <w:t xml:space="preserve"> applicants’ eligibility for waiv</w:t>
      </w:r>
      <w:r w:rsidR="00536321" w:rsidRPr="00CF0BBA">
        <w:rPr>
          <w:sz w:val="24"/>
          <w:szCs w:val="24"/>
        </w:rPr>
        <w:t>ed exams</w:t>
      </w:r>
      <w:r w:rsidR="00F03752" w:rsidRPr="00CF0BBA">
        <w:rPr>
          <w:sz w:val="24"/>
          <w:szCs w:val="24"/>
        </w:rPr>
        <w:t xml:space="preserve">. </w:t>
      </w:r>
      <w:r w:rsidR="00CC1AA8">
        <w:rPr>
          <w:sz w:val="24"/>
          <w:szCs w:val="24"/>
        </w:rPr>
        <w:t>It was just unfortunate that</w:t>
      </w:r>
      <w:r w:rsidR="00F03752" w:rsidRPr="00CF0BBA">
        <w:rPr>
          <w:sz w:val="24"/>
          <w:szCs w:val="24"/>
        </w:rPr>
        <w:t xml:space="preserve"> </w:t>
      </w:r>
      <w:r w:rsidR="002208D7" w:rsidRPr="00CF0BBA">
        <w:rPr>
          <w:sz w:val="24"/>
          <w:szCs w:val="24"/>
        </w:rPr>
        <w:t>Mr. Mihaly</w:t>
      </w:r>
      <w:r w:rsidR="00F03752" w:rsidRPr="00CF0BBA">
        <w:rPr>
          <w:sz w:val="24"/>
          <w:szCs w:val="24"/>
        </w:rPr>
        <w:t xml:space="preserve"> </w:t>
      </w:r>
      <w:r w:rsidR="00A03A22">
        <w:rPr>
          <w:sz w:val="24"/>
          <w:szCs w:val="24"/>
        </w:rPr>
        <w:t xml:space="preserve">was ineligible </w:t>
      </w:r>
      <w:r w:rsidR="00F03752" w:rsidRPr="00CF0BBA">
        <w:rPr>
          <w:sz w:val="24"/>
          <w:szCs w:val="24"/>
        </w:rPr>
        <w:t xml:space="preserve">for exemption. </w:t>
      </w:r>
      <w:r w:rsidR="002208D7" w:rsidRPr="00CF0BBA">
        <w:rPr>
          <w:sz w:val="24"/>
          <w:szCs w:val="24"/>
        </w:rPr>
        <w:t>Mr. Mihaly</w:t>
      </w:r>
      <w:r w:rsidR="00F03752" w:rsidRPr="00CF0BBA">
        <w:rPr>
          <w:sz w:val="24"/>
          <w:szCs w:val="24"/>
        </w:rPr>
        <w:t xml:space="preserve"> did not pursue an internal appeal of that decision and </w:t>
      </w:r>
      <w:r w:rsidR="00B36B89" w:rsidRPr="00CF0BBA">
        <w:rPr>
          <w:sz w:val="24"/>
          <w:szCs w:val="24"/>
        </w:rPr>
        <w:t xml:space="preserve">failed to manifest evidence to the Tribunal that APEGA’s decision was </w:t>
      </w:r>
      <w:r w:rsidR="00A30F31">
        <w:rPr>
          <w:sz w:val="24"/>
          <w:szCs w:val="24"/>
        </w:rPr>
        <w:t xml:space="preserve">erroneous </w:t>
      </w:r>
      <w:r w:rsidR="001817FD">
        <w:rPr>
          <w:sz w:val="24"/>
          <w:szCs w:val="24"/>
        </w:rPr>
        <w:t>[</w:t>
      </w:r>
      <w:sdt>
        <w:sdtPr>
          <w:rPr>
            <w:sz w:val="24"/>
          </w:rPr>
          <w:id w:val="-1428041209"/>
          <w:citation/>
        </w:sdtPr>
        <w:sdtEndPr/>
        <w:sdtContent>
          <w:r w:rsidR="002208D7" w:rsidRPr="00CF0BBA">
            <w:rPr>
              <w:sz w:val="24"/>
            </w:rPr>
            <w:fldChar w:fldCharType="begin"/>
          </w:r>
          <w:r w:rsidR="002208D7" w:rsidRPr="00CF0BBA">
            <w:rPr>
              <w:sz w:val="24"/>
              <w:lang w:val="en-US"/>
            </w:rPr>
            <w:instrText xml:space="preserve"> CITATION Cou16 \l 1033 </w:instrText>
          </w:r>
          <w:r w:rsidR="002208D7" w:rsidRPr="00CF0BBA">
            <w:rPr>
              <w:sz w:val="24"/>
            </w:rPr>
            <w:fldChar w:fldCharType="separate"/>
          </w:r>
          <w:r w:rsidR="00DE6EEF" w:rsidRPr="00CF0BBA">
            <w:rPr>
              <w:noProof/>
              <w:sz w:val="24"/>
              <w:lang w:val="en-US"/>
            </w:rPr>
            <w:t xml:space="preserve"> [13]</w:t>
          </w:r>
          <w:r w:rsidR="002208D7" w:rsidRPr="00CF0BBA">
            <w:rPr>
              <w:sz w:val="24"/>
            </w:rPr>
            <w:fldChar w:fldCharType="end"/>
          </w:r>
        </w:sdtContent>
      </w:sdt>
      <w:r w:rsidR="002208D7" w:rsidRPr="00CF0BBA">
        <w:rPr>
          <w:sz w:val="24"/>
        </w:rPr>
        <w:t>pp. 24]</w:t>
      </w:r>
      <w:r w:rsidR="001817FD">
        <w:rPr>
          <w:sz w:val="24"/>
        </w:rPr>
        <w:t>.</w:t>
      </w:r>
      <w:r w:rsidR="00A46907" w:rsidRPr="00CF0BBA">
        <w:rPr>
          <w:sz w:val="24"/>
        </w:rPr>
        <w:t xml:space="preserve"> </w:t>
      </w:r>
      <w:r w:rsidR="00CC1AA8">
        <w:rPr>
          <w:sz w:val="24"/>
          <w:szCs w:val="24"/>
        </w:rPr>
        <w:t xml:space="preserve">The </w:t>
      </w:r>
      <w:r w:rsidR="00CA76CB" w:rsidRPr="00CF0BBA">
        <w:rPr>
          <w:sz w:val="24"/>
          <w:szCs w:val="24"/>
        </w:rPr>
        <w:t xml:space="preserve">Tribunal failed to recognize </w:t>
      </w:r>
      <w:r w:rsidR="002208D7" w:rsidRPr="00CF0BBA">
        <w:rPr>
          <w:sz w:val="24"/>
          <w:szCs w:val="24"/>
        </w:rPr>
        <w:t>Mr. Mihaly</w:t>
      </w:r>
      <w:r w:rsidR="00DD2AB5" w:rsidRPr="00CF0BBA">
        <w:rPr>
          <w:sz w:val="24"/>
          <w:szCs w:val="24"/>
        </w:rPr>
        <w:t xml:space="preserve">’s lack of due diligence in assisting APEGA in exploring other possible </w:t>
      </w:r>
      <w:r w:rsidR="00CC1AA8">
        <w:rPr>
          <w:sz w:val="24"/>
          <w:szCs w:val="24"/>
        </w:rPr>
        <w:t>solutions</w:t>
      </w:r>
      <w:r w:rsidR="00DD2AB5" w:rsidRPr="00CF0BBA">
        <w:rPr>
          <w:sz w:val="24"/>
          <w:szCs w:val="24"/>
        </w:rPr>
        <w:t xml:space="preserve"> as they suggested that </w:t>
      </w:r>
      <w:r w:rsidR="002208D7" w:rsidRPr="00CF0BBA">
        <w:rPr>
          <w:sz w:val="24"/>
          <w:szCs w:val="24"/>
        </w:rPr>
        <w:t>Mr. Mihaly</w:t>
      </w:r>
      <w:r w:rsidR="00DD2AB5" w:rsidRPr="00CF0BBA">
        <w:rPr>
          <w:sz w:val="24"/>
          <w:szCs w:val="24"/>
        </w:rPr>
        <w:t xml:space="preserve"> should be allowed to challenge the exams </w:t>
      </w:r>
      <w:r w:rsidR="00CC1AA8">
        <w:rPr>
          <w:sz w:val="24"/>
          <w:szCs w:val="24"/>
        </w:rPr>
        <w:t xml:space="preserve">he was </w:t>
      </w:r>
      <w:r w:rsidR="00DD2AB5" w:rsidRPr="00CF0BBA">
        <w:rPr>
          <w:sz w:val="24"/>
          <w:szCs w:val="24"/>
        </w:rPr>
        <w:t>ineligible for exemption</w:t>
      </w:r>
      <w:r w:rsidR="00CC1AA8">
        <w:rPr>
          <w:sz w:val="24"/>
          <w:szCs w:val="24"/>
        </w:rPr>
        <w:t>,</w:t>
      </w:r>
      <w:r w:rsidR="00DD2AB5" w:rsidRPr="00CF0BBA">
        <w:rPr>
          <w:sz w:val="24"/>
          <w:szCs w:val="24"/>
        </w:rPr>
        <w:t xml:space="preserve"> whereas he never even attempted the FE exam or any of the confirmatory exams.  </w:t>
      </w:r>
    </w:p>
    <w:p w14:paraId="1C932854" w14:textId="43C7E25B" w:rsidR="001F6A9F" w:rsidRDefault="00B45852" w:rsidP="00A30F31">
      <w:pPr>
        <w:spacing w:before="240" w:after="240" w:line="240" w:lineRule="auto"/>
        <w:ind w:firstLine="720"/>
        <w:jc w:val="both"/>
        <w:rPr>
          <w:sz w:val="24"/>
        </w:rPr>
      </w:pPr>
      <w:r w:rsidRPr="00CF0BBA">
        <w:rPr>
          <w:sz w:val="24"/>
          <w:szCs w:val="24"/>
        </w:rPr>
        <w:t xml:space="preserve">With the Tribunal’s ruling in February 2014, the Tribunal directed </w:t>
      </w:r>
      <w:r w:rsidR="00CD07BE" w:rsidRPr="00CF0BBA">
        <w:rPr>
          <w:sz w:val="24"/>
          <w:szCs w:val="24"/>
        </w:rPr>
        <w:t xml:space="preserve">APEGA to designate a </w:t>
      </w:r>
      <w:r w:rsidRPr="00CF0BBA">
        <w:rPr>
          <w:sz w:val="24"/>
          <w:szCs w:val="24"/>
        </w:rPr>
        <w:t xml:space="preserve">committee to assist </w:t>
      </w:r>
      <w:r w:rsidR="002208D7" w:rsidRPr="00CF0BBA">
        <w:rPr>
          <w:sz w:val="24"/>
          <w:szCs w:val="24"/>
        </w:rPr>
        <w:t>Mr. Mihaly</w:t>
      </w:r>
      <w:r w:rsidR="00CD07BE" w:rsidRPr="00CF0BBA">
        <w:rPr>
          <w:sz w:val="24"/>
          <w:szCs w:val="24"/>
        </w:rPr>
        <w:t xml:space="preserve"> in </w:t>
      </w:r>
      <w:r w:rsidR="00570FE6" w:rsidRPr="00CF0BBA">
        <w:rPr>
          <w:sz w:val="24"/>
          <w:szCs w:val="24"/>
        </w:rPr>
        <w:t xml:space="preserve">assimilating </w:t>
      </w:r>
      <w:r w:rsidR="00CA76CB" w:rsidRPr="00CF0BBA">
        <w:rPr>
          <w:sz w:val="24"/>
          <w:szCs w:val="24"/>
        </w:rPr>
        <w:t>in</w:t>
      </w:r>
      <w:r w:rsidR="00570FE6" w:rsidRPr="00CF0BBA">
        <w:rPr>
          <w:sz w:val="24"/>
          <w:szCs w:val="24"/>
        </w:rPr>
        <w:t xml:space="preserve">to the </w:t>
      </w:r>
      <w:r w:rsidR="00CA76CB" w:rsidRPr="00CF0BBA">
        <w:rPr>
          <w:sz w:val="24"/>
          <w:szCs w:val="24"/>
        </w:rPr>
        <w:t xml:space="preserve">Canadian engineering </w:t>
      </w:r>
      <w:r w:rsidR="00570FE6" w:rsidRPr="00CF0BBA">
        <w:rPr>
          <w:sz w:val="24"/>
          <w:szCs w:val="24"/>
        </w:rPr>
        <w:t xml:space="preserve">professional practice by providing </w:t>
      </w:r>
      <w:r w:rsidR="00A67905">
        <w:rPr>
          <w:sz w:val="24"/>
          <w:szCs w:val="24"/>
        </w:rPr>
        <w:t xml:space="preserve">a mentor for </w:t>
      </w:r>
      <w:r w:rsidR="00570FE6" w:rsidRPr="00CF0BBA">
        <w:rPr>
          <w:sz w:val="24"/>
          <w:szCs w:val="24"/>
        </w:rPr>
        <w:t>guidance in networking</w:t>
      </w:r>
      <w:r w:rsidR="00A67905">
        <w:rPr>
          <w:sz w:val="24"/>
          <w:szCs w:val="24"/>
        </w:rPr>
        <w:t xml:space="preserve"> and </w:t>
      </w:r>
      <w:r w:rsidR="00570FE6" w:rsidRPr="00CF0BBA">
        <w:rPr>
          <w:sz w:val="24"/>
          <w:szCs w:val="24"/>
        </w:rPr>
        <w:t>language skills</w:t>
      </w:r>
      <w:r w:rsidRPr="00CF0BBA">
        <w:rPr>
          <w:sz w:val="24"/>
          <w:szCs w:val="24"/>
        </w:rPr>
        <w:t>.</w:t>
      </w:r>
      <w:r w:rsidR="00570FE6" w:rsidRPr="00CF0BBA">
        <w:rPr>
          <w:sz w:val="24"/>
          <w:szCs w:val="24"/>
        </w:rPr>
        <w:t xml:space="preserve"> </w:t>
      </w:r>
      <w:r w:rsidRPr="00CF0BBA">
        <w:rPr>
          <w:sz w:val="24"/>
          <w:szCs w:val="24"/>
        </w:rPr>
        <w:t>The Tribunal maintained that this type of dedication of resources to the forecasted 375 applicants per annum is not a disproportionate resolution with the existing paying members</w:t>
      </w:r>
      <w:r w:rsidR="00CC1AA8" w:rsidRPr="00CC1AA8">
        <w:rPr>
          <w:sz w:val="24"/>
          <w:szCs w:val="24"/>
        </w:rPr>
        <w:t xml:space="preserve"> </w:t>
      </w:r>
      <w:r w:rsidR="00CC1AA8" w:rsidRPr="00CF0BBA">
        <w:rPr>
          <w:sz w:val="24"/>
          <w:szCs w:val="24"/>
        </w:rPr>
        <w:t>[</w:t>
      </w:r>
      <w:sdt>
        <w:sdtPr>
          <w:rPr>
            <w:sz w:val="24"/>
          </w:rPr>
          <w:id w:val="-963803486"/>
          <w:citation/>
        </w:sdtPr>
        <w:sdtEndPr/>
        <w:sdtContent>
          <w:r w:rsidR="00CC1AA8" w:rsidRPr="00CF0BBA">
            <w:rPr>
              <w:sz w:val="24"/>
            </w:rPr>
            <w:fldChar w:fldCharType="begin"/>
          </w:r>
          <w:r w:rsidR="00CC1AA8" w:rsidRPr="00CF0BBA">
            <w:rPr>
              <w:sz w:val="24"/>
              <w:lang w:val="en-US"/>
            </w:rPr>
            <w:instrText xml:space="preserve"> CITATION Cou16 \l 1033 </w:instrText>
          </w:r>
          <w:r w:rsidR="00CC1AA8" w:rsidRPr="00CF0BBA">
            <w:rPr>
              <w:sz w:val="24"/>
            </w:rPr>
            <w:fldChar w:fldCharType="separate"/>
          </w:r>
          <w:r w:rsidR="00CC1AA8" w:rsidRPr="00CF0BBA">
            <w:rPr>
              <w:noProof/>
              <w:sz w:val="24"/>
              <w:lang w:val="en-US"/>
            </w:rPr>
            <w:t xml:space="preserve"> [13]</w:t>
          </w:r>
          <w:r w:rsidR="00CC1AA8" w:rsidRPr="00CF0BBA">
            <w:rPr>
              <w:sz w:val="24"/>
            </w:rPr>
            <w:fldChar w:fldCharType="end"/>
          </w:r>
        </w:sdtContent>
      </w:sdt>
      <w:r w:rsidR="00CC1AA8" w:rsidRPr="00CF0BBA">
        <w:rPr>
          <w:sz w:val="24"/>
        </w:rPr>
        <w:t>pp. 25]</w:t>
      </w:r>
      <w:r w:rsidR="00CC1AA8">
        <w:rPr>
          <w:sz w:val="24"/>
        </w:rPr>
        <w:t>.</w:t>
      </w:r>
      <w:r w:rsidRPr="00CF0BBA">
        <w:rPr>
          <w:sz w:val="24"/>
          <w:szCs w:val="24"/>
        </w:rPr>
        <w:t xml:space="preserve"> </w:t>
      </w:r>
      <w:r w:rsidR="002D6110" w:rsidRPr="00CF0BBA">
        <w:rPr>
          <w:sz w:val="24"/>
          <w:szCs w:val="24"/>
        </w:rPr>
        <w:t>With this, t</w:t>
      </w:r>
      <w:r w:rsidRPr="00CF0BBA">
        <w:rPr>
          <w:sz w:val="24"/>
          <w:szCs w:val="24"/>
        </w:rPr>
        <w:t xml:space="preserve">he CQB </w:t>
      </w:r>
      <w:r w:rsidR="002D6110" w:rsidRPr="00CF0BBA">
        <w:rPr>
          <w:sz w:val="24"/>
          <w:szCs w:val="24"/>
        </w:rPr>
        <w:t>found</w:t>
      </w:r>
      <w:r w:rsidRPr="00CF0BBA">
        <w:rPr>
          <w:sz w:val="24"/>
          <w:szCs w:val="24"/>
        </w:rPr>
        <w:t xml:space="preserve"> that </w:t>
      </w:r>
      <w:r w:rsidR="00C23A3F" w:rsidRPr="00CF0BBA">
        <w:rPr>
          <w:sz w:val="24"/>
          <w:szCs w:val="24"/>
        </w:rPr>
        <w:t xml:space="preserve">the Tribunal’s reasons </w:t>
      </w:r>
      <w:r w:rsidR="00A03A22">
        <w:rPr>
          <w:sz w:val="24"/>
          <w:szCs w:val="24"/>
        </w:rPr>
        <w:t xml:space="preserve">for their </w:t>
      </w:r>
      <w:r w:rsidR="00A03A22" w:rsidRPr="00CF0BBA">
        <w:rPr>
          <w:sz w:val="24"/>
          <w:szCs w:val="24"/>
        </w:rPr>
        <w:t>demands</w:t>
      </w:r>
      <w:r w:rsidR="00C23A3F" w:rsidRPr="00CF0BBA">
        <w:rPr>
          <w:sz w:val="24"/>
          <w:szCs w:val="24"/>
        </w:rPr>
        <w:t xml:space="preserve"> </w:t>
      </w:r>
      <w:r w:rsidR="00A03A22">
        <w:rPr>
          <w:sz w:val="24"/>
          <w:szCs w:val="24"/>
        </w:rPr>
        <w:t>were</w:t>
      </w:r>
      <w:r w:rsidR="00C23A3F" w:rsidRPr="00CF0BBA">
        <w:rPr>
          <w:sz w:val="24"/>
          <w:szCs w:val="24"/>
        </w:rPr>
        <w:t xml:space="preserve"> rampant with logical errors, unsubstantiated, and </w:t>
      </w:r>
      <w:r w:rsidRPr="00CF0BBA">
        <w:rPr>
          <w:sz w:val="24"/>
          <w:szCs w:val="24"/>
        </w:rPr>
        <w:t>beyond the scope of any alleged or proven discriminatory conduct</w:t>
      </w:r>
      <w:r w:rsidR="001F6A9F" w:rsidRPr="00CF0BBA">
        <w:rPr>
          <w:sz w:val="24"/>
          <w:szCs w:val="24"/>
        </w:rPr>
        <w:t xml:space="preserve">. </w:t>
      </w:r>
      <w:r w:rsidR="002D6110" w:rsidRPr="00CF0BBA">
        <w:rPr>
          <w:sz w:val="24"/>
          <w:szCs w:val="24"/>
        </w:rPr>
        <w:t>In the final ruling of the case, the CQB upheld APEGA’s appeal and reversed the AHRC Tribunal’s decision</w:t>
      </w:r>
      <w:r w:rsidR="00F91C9B">
        <w:rPr>
          <w:sz w:val="24"/>
          <w:szCs w:val="24"/>
        </w:rPr>
        <w:t xml:space="preserve">. </w:t>
      </w:r>
      <w:r w:rsidR="002208D7" w:rsidRPr="00CF0BBA">
        <w:rPr>
          <w:sz w:val="24"/>
          <w:szCs w:val="24"/>
        </w:rPr>
        <w:t>Mr. Mihaly</w:t>
      </w:r>
      <w:r w:rsidR="002D6110" w:rsidRPr="00CF0BBA">
        <w:rPr>
          <w:sz w:val="24"/>
          <w:szCs w:val="24"/>
        </w:rPr>
        <w:t>’s cross appeal was dismissed as it only pertain</w:t>
      </w:r>
      <w:r w:rsidR="00F91C9B">
        <w:rPr>
          <w:sz w:val="24"/>
          <w:szCs w:val="24"/>
        </w:rPr>
        <w:t>ed</w:t>
      </w:r>
      <w:r w:rsidR="002D6110" w:rsidRPr="00CF0BBA">
        <w:rPr>
          <w:sz w:val="24"/>
          <w:szCs w:val="24"/>
        </w:rPr>
        <w:t xml:space="preserve"> to legal remedy which is dependent on the finding of unjustified prima facie discrimination under the AHR Act, Section 11</w:t>
      </w:r>
      <w:r w:rsidR="001817FD">
        <w:rPr>
          <w:sz w:val="24"/>
          <w:szCs w:val="24"/>
        </w:rPr>
        <w:t xml:space="preserve"> [</w:t>
      </w:r>
      <w:sdt>
        <w:sdtPr>
          <w:rPr>
            <w:sz w:val="24"/>
          </w:rPr>
          <w:id w:val="129912304"/>
          <w:citation/>
        </w:sdtPr>
        <w:sdtEndPr/>
        <w:sdtContent>
          <w:r w:rsidR="002208D7" w:rsidRPr="00CF0BBA">
            <w:rPr>
              <w:sz w:val="24"/>
            </w:rPr>
            <w:fldChar w:fldCharType="begin"/>
          </w:r>
          <w:r w:rsidR="002208D7" w:rsidRPr="00CF0BBA">
            <w:rPr>
              <w:sz w:val="24"/>
              <w:lang w:val="en-US"/>
            </w:rPr>
            <w:instrText xml:space="preserve"> CITATION Cou16 \l 1033 </w:instrText>
          </w:r>
          <w:r w:rsidR="002208D7" w:rsidRPr="00CF0BBA">
            <w:rPr>
              <w:sz w:val="24"/>
            </w:rPr>
            <w:fldChar w:fldCharType="separate"/>
          </w:r>
          <w:r w:rsidR="00DE6EEF" w:rsidRPr="00CF0BBA">
            <w:rPr>
              <w:noProof/>
              <w:sz w:val="24"/>
              <w:lang w:val="en-US"/>
            </w:rPr>
            <w:t xml:space="preserve"> [13]</w:t>
          </w:r>
          <w:r w:rsidR="002208D7" w:rsidRPr="00CF0BBA">
            <w:rPr>
              <w:sz w:val="24"/>
            </w:rPr>
            <w:fldChar w:fldCharType="end"/>
          </w:r>
        </w:sdtContent>
      </w:sdt>
      <w:r w:rsidR="002208D7" w:rsidRPr="00CF0BBA">
        <w:rPr>
          <w:sz w:val="24"/>
        </w:rPr>
        <w:t>pp. 26-27]</w:t>
      </w:r>
      <w:r w:rsidR="001817FD">
        <w:rPr>
          <w:sz w:val="24"/>
        </w:rPr>
        <w:t>.</w:t>
      </w:r>
    </w:p>
    <w:p w14:paraId="339733A8" w14:textId="77777777" w:rsidR="00A03A22" w:rsidRPr="00CF0BBA" w:rsidRDefault="00A03A22" w:rsidP="00A30F31">
      <w:pPr>
        <w:spacing w:before="240" w:after="240" w:line="240" w:lineRule="auto"/>
        <w:ind w:firstLine="720"/>
        <w:jc w:val="both"/>
        <w:rPr>
          <w:color w:val="4472C4" w:themeColor="accent1"/>
          <w:sz w:val="24"/>
          <w:szCs w:val="24"/>
        </w:rPr>
      </w:pPr>
    </w:p>
    <w:p w14:paraId="30E8F89C" w14:textId="7335D5A5" w:rsidR="00866908" w:rsidRPr="00CF0BBA" w:rsidRDefault="00866908" w:rsidP="00A30F31">
      <w:pPr>
        <w:pStyle w:val="Heading1"/>
        <w:spacing w:after="240" w:line="240" w:lineRule="auto"/>
        <w:jc w:val="both"/>
        <w:rPr>
          <w:b/>
          <w:u w:val="single"/>
        </w:rPr>
      </w:pPr>
      <w:bookmarkStart w:id="17" w:name="_Toc506599076"/>
      <w:r w:rsidRPr="00CF0BBA">
        <w:rPr>
          <w:b/>
          <w:u w:val="single"/>
        </w:rPr>
        <w:t>Reflection and Opinion</w:t>
      </w:r>
      <w:bookmarkEnd w:id="17"/>
    </w:p>
    <w:p w14:paraId="192B745F" w14:textId="69D6B26D" w:rsidR="00531309" w:rsidRPr="00CF0BBA" w:rsidRDefault="00BB4181" w:rsidP="00A30F31">
      <w:pPr>
        <w:spacing w:before="240" w:after="240" w:line="240" w:lineRule="auto"/>
        <w:ind w:firstLine="720"/>
        <w:jc w:val="both"/>
        <w:rPr>
          <w:sz w:val="24"/>
          <w:szCs w:val="24"/>
        </w:rPr>
      </w:pPr>
      <w:r w:rsidRPr="00CF0BBA">
        <w:rPr>
          <w:sz w:val="24"/>
          <w:szCs w:val="24"/>
        </w:rPr>
        <w:t xml:space="preserve">Although the AHRC is </w:t>
      </w:r>
      <w:r w:rsidR="004834DE" w:rsidRPr="00CF0BBA">
        <w:rPr>
          <w:sz w:val="24"/>
          <w:szCs w:val="24"/>
        </w:rPr>
        <w:t xml:space="preserve">valuable </w:t>
      </w:r>
      <w:r w:rsidRPr="00CF0BBA">
        <w:rPr>
          <w:sz w:val="24"/>
          <w:szCs w:val="24"/>
        </w:rPr>
        <w:t>to the welfare of Albertans</w:t>
      </w:r>
      <w:r w:rsidR="004834DE" w:rsidRPr="00CF0BBA">
        <w:rPr>
          <w:sz w:val="24"/>
          <w:szCs w:val="24"/>
        </w:rPr>
        <w:t xml:space="preserve"> in other capacities</w:t>
      </w:r>
      <w:r w:rsidRPr="00CF0BBA">
        <w:rPr>
          <w:sz w:val="24"/>
          <w:szCs w:val="24"/>
        </w:rPr>
        <w:t xml:space="preserve">, if the Tribunal’s </w:t>
      </w:r>
      <w:r w:rsidR="004834DE" w:rsidRPr="00CF0BBA">
        <w:rPr>
          <w:sz w:val="24"/>
          <w:szCs w:val="24"/>
        </w:rPr>
        <w:t xml:space="preserve">decision remained, it </w:t>
      </w:r>
      <w:r w:rsidRPr="00CF0BBA">
        <w:rPr>
          <w:sz w:val="24"/>
          <w:szCs w:val="24"/>
        </w:rPr>
        <w:t xml:space="preserve">would have impeded the capacity of professional </w:t>
      </w:r>
      <w:r w:rsidR="004834DE" w:rsidRPr="00CF0BBA">
        <w:rPr>
          <w:sz w:val="24"/>
          <w:szCs w:val="24"/>
        </w:rPr>
        <w:t>regulators</w:t>
      </w:r>
      <w:r w:rsidR="00CB4D6E" w:rsidRPr="00CF0BBA">
        <w:rPr>
          <w:sz w:val="24"/>
          <w:szCs w:val="24"/>
        </w:rPr>
        <w:t xml:space="preserve"> (including other self-regulated professions) </w:t>
      </w:r>
      <w:r w:rsidR="004834DE" w:rsidRPr="00CF0BBA">
        <w:rPr>
          <w:sz w:val="24"/>
          <w:szCs w:val="24"/>
        </w:rPr>
        <w:t>to carry out their intended function</w:t>
      </w:r>
      <w:r w:rsidR="00DE1A54" w:rsidRPr="00CF0BBA">
        <w:rPr>
          <w:sz w:val="24"/>
          <w:szCs w:val="24"/>
        </w:rPr>
        <w:t xml:space="preserve">s. </w:t>
      </w:r>
      <w:r w:rsidR="00531309" w:rsidRPr="00CF0BBA">
        <w:rPr>
          <w:sz w:val="24"/>
          <w:szCs w:val="24"/>
        </w:rPr>
        <w:t xml:space="preserve">Moreover, the Tribunal’s decision would ultimately lower the standards used to determine whether an individual has the appropriate education and experience to be licensed, increasing the unacceptable risk to public safety and well-being. </w:t>
      </w:r>
    </w:p>
    <w:p w14:paraId="5C22D575" w14:textId="0016F918" w:rsidR="00531309" w:rsidRPr="00CF0BBA" w:rsidRDefault="005D1D91" w:rsidP="00A30F31">
      <w:pPr>
        <w:spacing w:before="240" w:after="240" w:line="240" w:lineRule="auto"/>
        <w:ind w:firstLine="720"/>
        <w:jc w:val="both"/>
        <w:rPr>
          <w:sz w:val="24"/>
          <w:szCs w:val="24"/>
        </w:rPr>
      </w:pPr>
      <w:r w:rsidRPr="00CF0BBA">
        <w:rPr>
          <w:sz w:val="24"/>
          <w:szCs w:val="24"/>
        </w:rPr>
        <w:t>The Court</w:t>
      </w:r>
      <w:r w:rsidR="00531309" w:rsidRPr="00CF0BBA">
        <w:rPr>
          <w:sz w:val="24"/>
          <w:szCs w:val="24"/>
        </w:rPr>
        <w:t xml:space="preserve"> of Appeal of Alberta’s </w:t>
      </w:r>
      <w:r w:rsidR="008E4163" w:rsidRPr="00CF0BBA">
        <w:rPr>
          <w:sz w:val="24"/>
          <w:szCs w:val="24"/>
        </w:rPr>
        <w:t xml:space="preserve">decision to dismiss </w:t>
      </w:r>
      <w:r w:rsidR="002208D7" w:rsidRPr="00CF0BBA">
        <w:rPr>
          <w:sz w:val="24"/>
          <w:szCs w:val="24"/>
        </w:rPr>
        <w:t>Mr. Mihaly</w:t>
      </w:r>
      <w:r w:rsidR="008E4163" w:rsidRPr="00CF0BBA">
        <w:rPr>
          <w:sz w:val="24"/>
          <w:szCs w:val="24"/>
        </w:rPr>
        <w:t xml:space="preserve">’s application for appeal </w:t>
      </w:r>
      <w:r w:rsidRPr="00CF0BBA">
        <w:rPr>
          <w:sz w:val="24"/>
          <w:szCs w:val="24"/>
        </w:rPr>
        <w:t xml:space="preserve">is fair </w:t>
      </w:r>
      <w:r w:rsidR="008E4163" w:rsidRPr="00CF0BBA">
        <w:rPr>
          <w:sz w:val="24"/>
          <w:szCs w:val="24"/>
        </w:rPr>
        <w:t xml:space="preserve">as he failed to comply with the requisites for restoring an appeal. Everyone must have equal opportunity and follow the proper </w:t>
      </w:r>
      <w:r w:rsidRPr="00CF0BBA">
        <w:rPr>
          <w:sz w:val="24"/>
          <w:szCs w:val="24"/>
        </w:rPr>
        <w:t>protocol</w:t>
      </w:r>
      <w:r w:rsidR="008E4163" w:rsidRPr="00CF0BBA">
        <w:rPr>
          <w:sz w:val="24"/>
          <w:szCs w:val="24"/>
        </w:rPr>
        <w:t xml:space="preserve"> to exercise their rights. </w:t>
      </w:r>
    </w:p>
    <w:p w14:paraId="1CCD9584" w14:textId="77777777" w:rsidR="00415E1A" w:rsidRDefault="008C0789" w:rsidP="00A30F31">
      <w:pPr>
        <w:spacing w:before="240" w:after="240" w:line="240" w:lineRule="auto"/>
        <w:ind w:firstLine="720"/>
        <w:jc w:val="both"/>
        <w:rPr>
          <w:sz w:val="24"/>
          <w:szCs w:val="24"/>
        </w:rPr>
      </w:pPr>
      <w:r w:rsidRPr="00CF0BBA">
        <w:rPr>
          <w:sz w:val="24"/>
          <w:szCs w:val="24"/>
        </w:rPr>
        <w:lastRenderedPageBreak/>
        <w:t xml:space="preserve">The CQB’s decision is important for regulators as well for it supports the necessity of standardized assessments and the non-obligatory need for regulators to alter their standards for foreign trained professionals on the basis of empirical evidence and not on discriminatory assumptions. </w:t>
      </w:r>
      <w:r w:rsidR="00C46328" w:rsidRPr="00CF0BBA">
        <w:rPr>
          <w:sz w:val="24"/>
          <w:szCs w:val="24"/>
        </w:rPr>
        <w:t>APEGA regulates on behalf of EGP Act and Regulations and is obligated to protect the public. With their commitment</w:t>
      </w:r>
      <w:r w:rsidR="00F86959" w:rsidRPr="00CF0BBA">
        <w:rPr>
          <w:sz w:val="24"/>
          <w:szCs w:val="24"/>
        </w:rPr>
        <w:t xml:space="preserve"> to the betterment of society</w:t>
      </w:r>
      <w:r w:rsidR="00C46328" w:rsidRPr="00CF0BBA">
        <w:rPr>
          <w:sz w:val="24"/>
          <w:szCs w:val="24"/>
        </w:rPr>
        <w:t xml:space="preserve">, they are doing their due diligence by screening all applicants striving for a license to practice </w:t>
      </w:r>
      <w:r w:rsidR="00351CB4" w:rsidRPr="00CF0BBA">
        <w:rPr>
          <w:sz w:val="24"/>
          <w:szCs w:val="24"/>
        </w:rPr>
        <w:t>(</w:t>
      </w:r>
      <w:r w:rsidR="00C46328" w:rsidRPr="00CF0BBA">
        <w:rPr>
          <w:sz w:val="24"/>
          <w:szCs w:val="24"/>
        </w:rPr>
        <w:t xml:space="preserve">through </w:t>
      </w:r>
      <w:r w:rsidR="00F86959" w:rsidRPr="00CF0BBA">
        <w:rPr>
          <w:sz w:val="24"/>
          <w:szCs w:val="24"/>
        </w:rPr>
        <w:t>establishing compulsory examinations and Canadian work experience</w:t>
      </w:r>
      <w:r w:rsidR="00351CB4" w:rsidRPr="00CF0BBA">
        <w:rPr>
          <w:sz w:val="24"/>
          <w:szCs w:val="24"/>
        </w:rPr>
        <w:t>)</w:t>
      </w:r>
      <w:r w:rsidR="00F86959" w:rsidRPr="00CF0BBA">
        <w:rPr>
          <w:sz w:val="24"/>
          <w:szCs w:val="24"/>
        </w:rPr>
        <w:t xml:space="preserve">. </w:t>
      </w:r>
    </w:p>
    <w:p w14:paraId="3D2E760F" w14:textId="0EA9AF0C" w:rsidR="002208D7" w:rsidRPr="00CF0BBA" w:rsidRDefault="00351CB4" w:rsidP="00A30F31">
      <w:pPr>
        <w:spacing w:before="240" w:after="240" w:line="240" w:lineRule="auto"/>
        <w:ind w:firstLine="720"/>
        <w:jc w:val="both"/>
        <w:rPr>
          <w:sz w:val="24"/>
        </w:rPr>
      </w:pPr>
      <w:r w:rsidRPr="00CF0BBA">
        <w:rPr>
          <w:sz w:val="24"/>
          <w:szCs w:val="24"/>
        </w:rPr>
        <w:t xml:space="preserve">In the issue of accommodations brought forth by the Tribunal’s decision, APEGA would have to act beyond their scope of duties and divert efforts and resources to cater to </w:t>
      </w:r>
      <w:r w:rsidR="00E67C1D" w:rsidRPr="00CF0BBA">
        <w:rPr>
          <w:sz w:val="24"/>
          <w:szCs w:val="24"/>
        </w:rPr>
        <w:t xml:space="preserve">the reasonably sizeable foreign-trained demographic. </w:t>
      </w:r>
      <w:r w:rsidR="00A72021">
        <w:rPr>
          <w:sz w:val="24"/>
          <w:szCs w:val="24"/>
        </w:rPr>
        <w:t>Accommodations for foreign-trained applicants would only perpetuate the idea that they are not equals and that they need to be treated differently. All applicants should be treated equally, with the same support, and consequences</w:t>
      </w:r>
      <w:r w:rsidR="00076292">
        <w:rPr>
          <w:sz w:val="24"/>
          <w:szCs w:val="24"/>
        </w:rPr>
        <w:t>,</w:t>
      </w:r>
      <w:r w:rsidR="00A72021">
        <w:rPr>
          <w:sz w:val="24"/>
          <w:szCs w:val="24"/>
        </w:rPr>
        <w:t xml:space="preserve"> as well. </w:t>
      </w:r>
      <w:r w:rsidR="00E67C1D" w:rsidRPr="00CF0BBA">
        <w:rPr>
          <w:sz w:val="24"/>
          <w:szCs w:val="24"/>
        </w:rPr>
        <w:t>Moreover</w:t>
      </w:r>
      <w:r w:rsidR="008C0789" w:rsidRPr="00CF0BBA">
        <w:rPr>
          <w:sz w:val="24"/>
          <w:szCs w:val="24"/>
        </w:rPr>
        <w:t xml:space="preserve">, </w:t>
      </w:r>
      <w:r w:rsidR="00E67C1D" w:rsidRPr="00CF0BBA">
        <w:rPr>
          <w:sz w:val="24"/>
          <w:szCs w:val="24"/>
        </w:rPr>
        <w:t xml:space="preserve">of </w:t>
      </w:r>
      <w:r w:rsidR="00415E1A">
        <w:rPr>
          <w:sz w:val="24"/>
          <w:szCs w:val="24"/>
        </w:rPr>
        <w:t xml:space="preserve">the </w:t>
      </w:r>
      <w:r w:rsidR="00E67C1D" w:rsidRPr="00CF0BBA">
        <w:rPr>
          <w:sz w:val="24"/>
          <w:szCs w:val="24"/>
        </w:rPr>
        <w:t xml:space="preserve">1500 internationally educated </w:t>
      </w:r>
      <w:r w:rsidR="00415E1A">
        <w:rPr>
          <w:sz w:val="24"/>
          <w:szCs w:val="24"/>
        </w:rPr>
        <w:t xml:space="preserve">APEGA </w:t>
      </w:r>
      <w:r w:rsidR="00E67C1D" w:rsidRPr="00CF0BBA">
        <w:rPr>
          <w:sz w:val="24"/>
          <w:szCs w:val="24"/>
        </w:rPr>
        <w:t xml:space="preserve">applicants </w:t>
      </w:r>
      <w:r w:rsidR="00415E1A">
        <w:rPr>
          <w:sz w:val="24"/>
          <w:szCs w:val="24"/>
        </w:rPr>
        <w:t>per annum</w:t>
      </w:r>
      <w:r w:rsidR="00E67C1D" w:rsidRPr="00CF0BBA">
        <w:rPr>
          <w:sz w:val="24"/>
          <w:szCs w:val="24"/>
        </w:rPr>
        <w:t xml:space="preserve">, 60 percent are registered without issues, 25 percent are assigned confirmatory examinations </w:t>
      </w:r>
      <w:r w:rsidR="008C0789" w:rsidRPr="00CF0BBA">
        <w:rPr>
          <w:sz w:val="24"/>
          <w:szCs w:val="24"/>
        </w:rPr>
        <w:t xml:space="preserve">or the FE exam </w:t>
      </w:r>
      <w:r w:rsidR="00E67C1D" w:rsidRPr="00CF0BBA">
        <w:rPr>
          <w:sz w:val="24"/>
          <w:szCs w:val="24"/>
        </w:rPr>
        <w:t>(with an overall pass rate of 85%), and 15 percent are eligible for waived examinations due to sufficient engineering experience</w:t>
      </w:r>
      <w:r w:rsidR="00FB5BF5">
        <w:rPr>
          <w:sz w:val="24"/>
          <w:szCs w:val="24"/>
        </w:rPr>
        <w:t xml:space="preserve"> [</w:t>
      </w:r>
      <w:sdt>
        <w:sdtPr>
          <w:rPr>
            <w:sz w:val="24"/>
          </w:rPr>
          <w:id w:val="2034067949"/>
          <w:citation/>
        </w:sdtPr>
        <w:sdtEndPr/>
        <w:sdtContent>
          <w:r w:rsidR="00FB5BF5" w:rsidRPr="00CF0BBA">
            <w:rPr>
              <w:sz w:val="24"/>
            </w:rPr>
            <w:fldChar w:fldCharType="begin"/>
          </w:r>
          <w:r w:rsidR="00FB5BF5" w:rsidRPr="00CF0BBA">
            <w:rPr>
              <w:sz w:val="24"/>
              <w:lang w:val="en-US"/>
            </w:rPr>
            <w:instrText xml:space="preserve"> CITATION Cou16 \l 1033 </w:instrText>
          </w:r>
          <w:r w:rsidR="00FB5BF5" w:rsidRPr="00CF0BBA">
            <w:rPr>
              <w:sz w:val="24"/>
            </w:rPr>
            <w:fldChar w:fldCharType="separate"/>
          </w:r>
          <w:r w:rsidR="00FB5BF5" w:rsidRPr="00CF0BBA">
            <w:rPr>
              <w:noProof/>
              <w:sz w:val="24"/>
              <w:lang w:val="en-US"/>
            </w:rPr>
            <w:t xml:space="preserve"> [13]</w:t>
          </w:r>
          <w:r w:rsidR="00FB5BF5" w:rsidRPr="00CF0BBA">
            <w:rPr>
              <w:sz w:val="24"/>
            </w:rPr>
            <w:fldChar w:fldCharType="end"/>
          </w:r>
        </w:sdtContent>
      </w:sdt>
      <w:r w:rsidR="00FB5BF5" w:rsidRPr="00CF0BBA">
        <w:rPr>
          <w:sz w:val="24"/>
        </w:rPr>
        <w:t>pp. 24]</w:t>
      </w:r>
      <w:r w:rsidR="00FB5BF5">
        <w:rPr>
          <w:sz w:val="24"/>
        </w:rPr>
        <w:t>.</w:t>
      </w:r>
      <w:r w:rsidR="008C0789" w:rsidRPr="00CF0BBA">
        <w:rPr>
          <w:sz w:val="24"/>
          <w:szCs w:val="24"/>
        </w:rPr>
        <w:t xml:space="preserve"> With</w:t>
      </w:r>
      <w:r w:rsidR="00643ED5">
        <w:rPr>
          <w:sz w:val="24"/>
          <w:szCs w:val="24"/>
        </w:rPr>
        <w:t xml:space="preserve"> this statistical data</w:t>
      </w:r>
      <w:r w:rsidR="008C0789" w:rsidRPr="00CF0BBA">
        <w:rPr>
          <w:sz w:val="24"/>
          <w:szCs w:val="24"/>
        </w:rPr>
        <w:t xml:space="preserve">, </w:t>
      </w:r>
      <w:r w:rsidR="00643ED5">
        <w:rPr>
          <w:sz w:val="24"/>
          <w:szCs w:val="24"/>
        </w:rPr>
        <w:t xml:space="preserve">it can be concluded that </w:t>
      </w:r>
      <w:r w:rsidR="00415E1A">
        <w:rPr>
          <w:sz w:val="24"/>
          <w:szCs w:val="24"/>
        </w:rPr>
        <w:t>APEGA</w:t>
      </w:r>
      <w:r w:rsidR="00643ED5">
        <w:rPr>
          <w:sz w:val="24"/>
          <w:szCs w:val="24"/>
        </w:rPr>
        <w:t>’</w:t>
      </w:r>
      <w:r w:rsidR="00415E1A">
        <w:rPr>
          <w:sz w:val="24"/>
          <w:szCs w:val="24"/>
        </w:rPr>
        <w:t>s evaluations</w:t>
      </w:r>
      <w:r w:rsidR="00643ED5">
        <w:rPr>
          <w:sz w:val="24"/>
          <w:szCs w:val="24"/>
        </w:rPr>
        <w:t xml:space="preserve"> are practical and give equal opportunity for all. Given the success and reputation of</w:t>
      </w:r>
      <w:r w:rsidR="008C0789" w:rsidRPr="00CF0BBA">
        <w:rPr>
          <w:sz w:val="24"/>
          <w:szCs w:val="24"/>
        </w:rPr>
        <w:t xml:space="preserve"> APEGA</w:t>
      </w:r>
      <w:r w:rsidR="00643ED5">
        <w:rPr>
          <w:sz w:val="24"/>
          <w:szCs w:val="24"/>
        </w:rPr>
        <w:t xml:space="preserve"> and its members, it can be said that their </w:t>
      </w:r>
      <w:r w:rsidR="00415E1A">
        <w:rPr>
          <w:sz w:val="24"/>
          <w:szCs w:val="24"/>
        </w:rPr>
        <w:t>current</w:t>
      </w:r>
      <w:r w:rsidR="008C0789" w:rsidRPr="00CF0BBA">
        <w:rPr>
          <w:sz w:val="24"/>
          <w:szCs w:val="24"/>
        </w:rPr>
        <w:t xml:space="preserve"> policie</w:t>
      </w:r>
      <w:r w:rsidR="00415E1A">
        <w:rPr>
          <w:sz w:val="24"/>
          <w:szCs w:val="24"/>
        </w:rPr>
        <w:t xml:space="preserve">s </w:t>
      </w:r>
      <w:r w:rsidR="008C0789" w:rsidRPr="00CF0BBA">
        <w:rPr>
          <w:sz w:val="24"/>
          <w:szCs w:val="24"/>
        </w:rPr>
        <w:t xml:space="preserve">are </w:t>
      </w:r>
      <w:r w:rsidR="00643ED5">
        <w:rPr>
          <w:sz w:val="24"/>
          <w:szCs w:val="24"/>
        </w:rPr>
        <w:t xml:space="preserve">fair and </w:t>
      </w:r>
      <w:r w:rsidR="008C0789" w:rsidRPr="00CF0BBA">
        <w:rPr>
          <w:sz w:val="24"/>
          <w:szCs w:val="24"/>
        </w:rPr>
        <w:t>that their system works</w:t>
      </w:r>
      <w:r w:rsidR="00FB5BF5">
        <w:rPr>
          <w:sz w:val="24"/>
          <w:szCs w:val="24"/>
        </w:rPr>
        <w:t>.</w:t>
      </w:r>
      <w:r w:rsidR="001817FD">
        <w:rPr>
          <w:sz w:val="24"/>
          <w:szCs w:val="24"/>
        </w:rPr>
        <w:t xml:space="preserve"> </w:t>
      </w:r>
    </w:p>
    <w:p w14:paraId="66CE6A46" w14:textId="3F47A1AD" w:rsidR="008C0789" w:rsidRPr="00CF0BBA" w:rsidRDefault="008C0789" w:rsidP="00A30F31">
      <w:pPr>
        <w:spacing w:before="240" w:after="240" w:line="240" w:lineRule="auto"/>
        <w:ind w:firstLine="720"/>
        <w:jc w:val="both"/>
        <w:rPr>
          <w:sz w:val="24"/>
          <w:szCs w:val="24"/>
        </w:rPr>
      </w:pPr>
      <w:r w:rsidRPr="00CF0BBA">
        <w:rPr>
          <w:sz w:val="24"/>
          <w:szCs w:val="24"/>
        </w:rPr>
        <w:t xml:space="preserve">The CQB’s ruling to reverse the AHRC Tribunal’s decision was apt and does not provide professional regulators with protection in policies. Rather, it recognizes the interest of international applicants’ desire to legally practice and the regulator’s dedication to the safety and welfare of the public. The most disappointing and consequential lapse of judgement in this case was the Tribunal’s failure to foresee how their proceedings with this case would affect national standards, industry professional development, and fundamentally, the safety of Canadians. </w:t>
      </w:r>
    </w:p>
    <w:p w14:paraId="3A122FC2" w14:textId="5BBA68A0" w:rsidR="00DE6EEF" w:rsidRPr="00CF0BBA" w:rsidRDefault="00DE6EEF" w:rsidP="00A30F31">
      <w:pPr>
        <w:spacing w:before="240" w:after="240" w:line="240" w:lineRule="auto"/>
        <w:ind w:firstLine="720"/>
        <w:jc w:val="both"/>
        <w:rPr>
          <w:sz w:val="24"/>
          <w:szCs w:val="24"/>
        </w:rPr>
      </w:pPr>
      <w:r w:rsidRPr="00CF0BBA">
        <w:rPr>
          <w:sz w:val="24"/>
          <w:szCs w:val="24"/>
        </w:rPr>
        <w:br w:type="page"/>
      </w:r>
    </w:p>
    <w:bookmarkStart w:id="18" w:name="_Toc506599077" w:displacedByCustomXml="next"/>
    <w:sdt>
      <w:sdtPr>
        <w:rPr>
          <w:rFonts w:asciiTheme="minorHAnsi" w:eastAsiaTheme="minorHAnsi" w:hAnsiTheme="minorHAnsi" w:cstheme="minorBidi"/>
          <w:b/>
          <w:color w:val="auto"/>
          <w:sz w:val="22"/>
          <w:szCs w:val="22"/>
        </w:rPr>
        <w:id w:val="-2083670994"/>
        <w:docPartObj>
          <w:docPartGallery w:val="Bibliographies"/>
          <w:docPartUnique/>
        </w:docPartObj>
      </w:sdtPr>
      <w:sdtEndPr>
        <w:rPr>
          <w:b w:val="0"/>
        </w:rPr>
      </w:sdtEndPr>
      <w:sdtContent>
        <w:p w14:paraId="68613CB6" w14:textId="5432F4D3" w:rsidR="00DE6EEF" w:rsidRPr="00A30F31" w:rsidRDefault="00DE6EEF" w:rsidP="00A30F31">
          <w:pPr>
            <w:pStyle w:val="Heading1"/>
            <w:spacing w:before="0" w:line="240" w:lineRule="auto"/>
            <w:rPr>
              <w:b/>
              <w:u w:val="single"/>
            </w:rPr>
          </w:pPr>
          <w:r w:rsidRPr="00A30F31">
            <w:rPr>
              <w:b/>
              <w:u w:val="single"/>
            </w:rPr>
            <w:t>References</w:t>
          </w:r>
          <w:bookmarkEnd w:id="18"/>
        </w:p>
        <w:sdt>
          <w:sdtPr>
            <w:id w:val="-573587230"/>
            <w:bibliography/>
          </w:sdtPr>
          <w:sdtEndPr/>
          <w:sdtContent>
            <w:p w14:paraId="11BB27C1" w14:textId="77777777" w:rsidR="00DE6EEF" w:rsidRPr="00CF0BBA" w:rsidRDefault="00DE6EEF" w:rsidP="00A30F31">
              <w:pPr>
                <w:spacing w:after="0" w:line="240" w:lineRule="auto"/>
                <w:rPr>
                  <w:noProof/>
                  <w:sz w:val="12"/>
                  <w:lang w:val="en-US"/>
                </w:rPr>
              </w:pPr>
              <w:r w:rsidRPr="00CF0BBA">
                <w:fldChar w:fldCharType="begin"/>
              </w:r>
              <w:r w:rsidRPr="00CF0BBA">
                <w:instrText xml:space="preserve"> BIBLIOGRAPHY </w:instrText>
              </w:r>
              <w:r w:rsidRPr="00CF0BBA">
                <w:fldChar w:fldCharType="separate"/>
              </w:r>
            </w:p>
            <w:tbl>
              <w:tblPr>
                <w:tblW w:w="4985" w:type="pct"/>
                <w:tblCellSpacing w:w="15" w:type="dxa"/>
                <w:tblCellMar>
                  <w:top w:w="15" w:type="dxa"/>
                  <w:left w:w="15" w:type="dxa"/>
                  <w:bottom w:w="15" w:type="dxa"/>
                  <w:right w:w="15" w:type="dxa"/>
                </w:tblCellMar>
                <w:tblLook w:val="04A0" w:firstRow="1" w:lastRow="0" w:firstColumn="1" w:lastColumn="0" w:noHBand="0" w:noVBand="1"/>
              </w:tblPr>
              <w:tblGrid>
                <w:gridCol w:w="433"/>
                <w:gridCol w:w="8989"/>
              </w:tblGrid>
              <w:tr w:rsidR="00DE6EEF" w:rsidRPr="00CF0BBA" w14:paraId="7520C6AC" w14:textId="77777777" w:rsidTr="00643ED5">
                <w:trPr>
                  <w:divId w:val="695274130"/>
                  <w:trHeight w:val="956"/>
                  <w:tblCellSpacing w:w="15" w:type="dxa"/>
                </w:trPr>
                <w:tc>
                  <w:tcPr>
                    <w:tcW w:w="205" w:type="pct"/>
                    <w:hideMark/>
                  </w:tcPr>
                  <w:p w14:paraId="7E9534D4" w14:textId="5D57F0BB" w:rsidR="00DE6EEF" w:rsidRPr="00CF0BBA" w:rsidRDefault="00DE6EEF" w:rsidP="00A30F31">
                    <w:pPr>
                      <w:pStyle w:val="Bibliography"/>
                      <w:spacing w:after="0" w:line="240" w:lineRule="auto"/>
                      <w:rPr>
                        <w:noProof/>
                        <w:sz w:val="24"/>
                        <w:szCs w:val="24"/>
                      </w:rPr>
                    </w:pPr>
                    <w:r w:rsidRPr="00CF0BBA">
                      <w:rPr>
                        <w:noProof/>
                      </w:rPr>
                      <w:t xml:space="preserve">[1] </w:t>
                    </w:r>
                  </w:p>
                </w:tc>
                <w:tc>
                  <w:tcPr>
                    <w:tcW w:w="0" w:type="auto"/>
                    <w:hideMark/>
                  </w:tcPr>
                  <w:p w14:paraId="3D18A28D" w14:textId="77777777" w:rsidR="00DE6EEF" w:rsidRPr="00CF0BBA" w:rsidRDefault="00DE6EEF" w:rsidP="00A30F31">
                    <w:pPr>
                      <w:pStyle w:val="Bibliography"/>
                      <w:spacing w:after="0" w:line="240" w:lineRule="auto"/>
                      <w:rPr>
                        <w:noProof/>
                      </w:rPr>
                    </w:pPr>
                    <w:r w:rsidRPr="00CF0BBA">
                      <w:rPr>
                        <w:noProof/>
                      </w:rPr>
                      <w:t>APEGA, "Engineering and Geoscience Professions Act," [Online]. Available: https://www.apega.ca/about-apega/publications/engineering-and-geoscience-professions-act/. [Accessed 10 February 2018].</w:t>
                    </w:r>
                  </w:p>
                </w:tc>
              </w:tr>
              <w:tr w:rsidR="00DE6EEF" w:rsidRPr="00CF0BBA" w14:paraId="293F7DB9" w14:textId="77777777" w:rsidTr="00643ED5">
                <w:trPr>
                  <w:divId w:val="695274130"/>
                  <w:trHeight w:val="707"/>
                  <w:tblCellSpacing w:w="15" w:type="dxa"/>
                </w:trPr>
                <w:tc>
                  <w:tcPr>
                    <w:tcW w:w="205" w:type="pct"/>
                    <w:hideMark/>
                  </w:tcPr>
                  <w:p w14:paraId="0572B152" w14:textId="77777777" w:rsidR="00DE6EEF" w:rsidRPr="00CF0BBA" w:rsidRDefault="00DE6EEF" w:rsidP="00A30F31">
                    <w:pPr>
                      <w:pStyle w:val="Bibliography"/>
                      <w:spacing w:after="0" w:line="240" w:lineRule="auto"/>
                      <w:rPr>
                        <w:noProof/>
                      </w:rPr>
                    </w:pPr>
                    <w:r w:rsidRPr="00CF0BBA">
                      <w:rPr>
                        <w:noProof/>
                      </w:rPr>
                      <w:t xml:space="preserve">[2] </w:t>
                    </w:r>
                  </w:p>
                </w:tc>
                <w:tc>
                  <w:tcPr>
                    <w:tcW w:w="0" w:type="auto"/>
                    <w:hideMark/>
                  </w:tcPr>
                  <w:p w14:paraId="1C093B95" w14:textId="77777777" w:rsidR="00DE6EEF" w:rsidRPr="00CF0BBA" w:rsidRDefault="00DE6EEF" w:rsidP="00A30F31">
                    <w:pPr>
                      <w:pStyle w:val="Bibliography"/>
                      <w:spacing w:after="0" w:line="240" w:lineRule="auto"/>
                      <w:rPr>
                        <w:noProof/>
                      </w:rPr>
                    </w:pPr>
                    <w:r w:rsidRPr="00CF0BBA">
                      <w:rPr>
                        <w:noProof/>
                      </w:rPr>
                      <w:t>APEGA, "About APEGA," [Online]. Available: https://www.apega.ca/about-apega/. [Accessed 10 February 2018].</w:t>
                    </w:r>
                  </w:p>
                </w:tc>
              </w:tr>
              <w:tr w:rsidR="00DE6EEF" w:rsidRPr="00CF0BBA" w14:paraId="782667E3" w14:textId="77777777" w:rsidTr="00643ED5">
                <w:trPr>
                  <w:divId w:val="695274130"/>
                  <w:trHeight w:val="694"/>
                  <w:tblCellSpacing w:w="15" w:type="dxa"/>
                </w:trPr>
                <w:tc>
                  <w:tcPr>
                    <w:tcW w:w="205" w:type="pct"/>
                    <w:hideMark/>
                  </w:tcPr>
                  <w:p w14:paraId="03C6FDB3" w14:textId="77777777" w:rsidR="00DE6EEF" w:rsidRPr="00CF0BBA" w:rsidRDefault="00DE6EEF" w:rsidP="00A30F31">
                    <w:pPr>
                      <w:pStyle w:val="Bibliography"/>
                      <w:spacing w:after="0" w:line="240" w:lineRule="auto"/>
                      <w:rPr>
                        <w:noProof/>
                      </w:rPr>
                    </w:pPr>
                    <w:r w:rsidRPr="00CF0BBA">
                      <w:rPr>
                        <w:noProof/>
                      </w:rPr>
                      <w:t xml:space="preserve">[3] </w:t>
                    </w:r>
                  </w:p>
                </w:tc>
                <w:tc>
                  <w:tcPr>
                    <w:tcW w:w="0" w:type="auto"/>
                    <w:hideMark/>
                  </w:tcPr>
                  <w:p w14:paraId="03FF6731" w14:textId="77777777" w:rsidR="00DE6EEF" w:rsidRPr="00CF0BBA" w:rsidRDefault="00DE6EEF" w:rsidP="00A30F31">
                    <w:pPr>
                      <w:pStyle w:val="Bibliography"/>
                      <w:spacing w:after="0" w:line="240" w:lineRule="auto"/>
                      <w:rPr>
                        <w:noProof/>
                      </w:rPr>
                    </w:pPr>
                    <w:r w:rsidRPr="00CF0BBA">
                      <w:rPr>
                        <w:noProof/>
                      </w:rPr>
                      <w:t>APEGA, "Board of Examiners," [Online]. Available: https://www.apega.ca/about-apega/boards-and-committees/boe/. [Accessed 10 February 2018].</w:t>
                    </w:r>
                  </w:p>
                </w:tc>
              </w:tr>
              <w:tr w:rsidR="00DE6EEF" w:rsidRPr="00CF0BBA" w14:paraId="12A39BE0" w14:textId="77777777" w:rsidTr="00643ED5">
                <w:trPr>
                  <w:divId w:val="695274130"/>
                  <w:trHeight w:val="694"/>
                  <w:tblCellSpacing w:w="15" w:type="dxa"/>
                </w:trPr>
                <w:tc>
                  <w:tcPr>
                    <w:tcW w:w="205" w:type="pct"/>
                    <w:hideMark/>
                  </w:tcPr>
                  <w:p w14:paraId="746C6C4B" w14:textId="77777777" w:rsidR="00DE6EEF" w:rsidRPr="00CF0BBA" w:rsidRDefault="00DE6EEF" w:rsidP="00A30F31">
                    <w:pPr>
                      <w:pStyle w:val="Bibliography"/>
                      <w:spacing w:after="0" w:line="240" w:lineRule="auto"/>
                      <w:rPr>
                        <w:noProof/>
                      </w:rPr>
                    </w:pPr>
                    <w:r w:rsidRPr="00CF0BBA">
                      <w:rPr>
                        <w:noProof/>
                      </w:rPr>
                      <w:t xml:space="preserve">[4] </w:t>
                    </w:r>
                  </w:p>
                </w:tc>
                <w:tc>
                  <w:tcPr>
                    <w:tcW w:w="0" w:type="auto"/>
                    <w:hideMark/>
                  </w:tcPr>
                  <w:p w14:paraId="7E836AC2" w14:textId="77777777" w:rsidR="00DE6EEF" w:rsidRPr="00CF0BBA" w:rsidRDefault="00DE6EEF" w:rsidP="00A30F31">
                    <w:pPr>
                      <w:pStyle w:val="Bibliography"/>
                      <w:spacing w:after="0" w:line="240" w:lineRule="auto"/>
                      <w:rPr>
                        <w:noProof/>
                      </w:rPr>
                    </w:pPr>
                    <w:r w:rsidRPr="00CF0BBA">
                      <w:rPr>
                        <w:noProof/>
                      </w:rPr>
                      <w:t>Alberta Human Rights Commission, "About the Commission," [Online]. Available: https://www.albertahumanrights.ab.ca/about/Pages/about.aspx. [Accessed 10 February 2018].</w:t>
                    </w:r>
                  </w:p>
                </w:tc>
              </w:tr>
              <w:tr w:rsidR="00DE6EEF" w:rsidRPr="00CF0BBA" w14:paraId="5DD5905A" w14:textId="77777777" w:rsidTr="00643ED5">
                <w:trPr>
                  <w:divId w:val="695274130"/>
                  <w:trHeight w:val="968"/>
                  <w:tblCellSpacing w:w="15" w:type="dxa"/>
                </w:trPr>
                <w:tc>
                  <w:tcPr>
                    <w:tcW w:w="205" w:type="pct"/>
                    <w:hideMark/>
                  </w:tcPr>
                  <w:p w14:paraId="299F9C8B" w14:textId="77777777" w:rsidR="00DE6EEF" w:rsidRPr="00CF0BBA" w:rsidRDefault="00DE6EEF" w:rsidP="00A30F31">
                    <w:pPr>
                      <w:pStyle w:val="Bibliography"/>
                      <w:spacing w:after="0" w:line="240" w:lineRule="auto"/>
                      <w:rPr>
                        <w:noProof/>
                      </w:rPr>
                    </w:pPr>
                    <w:r w:rsidRPr="00CF0BBA">
                      <w:rPr>
                        <w:noProof/>
                      </w:rPr>
                      <w:t xml:space="preserve">[5] </w:t>
                    </w:r>
                  </w:p>
                </w:tc>
                <w:tc>
                  <w:tcPr>
                    <w:tcW w:w="0" w:type="auto"/>
                    <w:hideMark/>
                  </w:tcPr>
                  <w:p w14:paraId="6B4554DD" w14:textId="77777777" w:rsidR="00DE6EEF" w:rsidRPr="00CF0BBA" w:rsidRDefault="00DE6EEF" w:rsidP="00A30F31">
                    <w:pPr>
                      <w:pStyle w:val="Bibliography"/>
                      <w:spacing w:after="0" w:line="240" w:lineRule="auto"/>
                      <w:rPr>
                        <w:noProof/>
                      </w:rPr>
                    </w:pPr>
                    <w:r w:rsidRPr="00CF0BBA">
                      <w:rPr>
                        <w:noProof/>
                      </w:rPr>
                      <w:t>Alberta: Justice and Solicitor General, "Chart of courts in Alberta," [Online]. Available: https://justice.alberta.ca/programs_services/courts/Pages/chart_courts_alberta.aspx. [Accessed 10 February 2018].</w:t>
                    </w:r>
                  </w:p>
                </w:tc>
              </w:tr>
              <w:tr w:rsidR="00DE6EEF" w:rsidRPr="00CF0BBA" w14:paraId="2B74A8DD" w14:textId="77777777" w:rsidTr="00643ED5">
                <w:trPr>
                  <w:divId w:val="695274130"/>
                  <w:trHeight w:val="707"/>
                  <w:tblCellSpacing w:w="15" w:type="dxa"/>
                </w:trPr>
                <w:tc>
                  <w:tcPr>
                    <w:tcW w:w="205" w:type="pct"/>
                    <w:hideMark/>
                  </w:tcPr>
                  <w:p w14:paraId="650FC674" w14:textId="77777777" w:rsidR="00DE6EEF" w:rsidRPr="00CF0BBA" w:rsidRDefault="00DE6EEF" w:rsidP="00A30F31">
                    <w:pPr>
                      <w:pStyle w:val="Bibliography"/>
                      <w:spacing w:after="0" w:line="240" w:lineRule="auto"/>
                      <w:rPr>
                        <w:noProof/>
                      </w:rPr>
                    </w:pPr>
                    <w:r w:rsidRPr="00CF0BBA">
                      <w:rPr>
                        <w:noProof/>
                      </w:rPr>
                      <w:t xml:space="preserve">[6] </w:t>
                    </w:r>
                  </w:p>
                </w:tc>
                <w:tc>
                  <w:tcPr>
                    <w:tcW w:w="0" w:type="auto"/>
                    <w:hideMark/>
                  </w:tcPr>
                  <w:p w14:paraId="293D305A" w14:textId="77777777" w:rsidR="00DE6EEF" w:rsidRPr="00CF0BBA" w:rsidRDefault="00DE6EEF" w:rsidP="00A30F31">
                    <w:pPr>
                      <w:pStyle w:val="Bibliography"/>
                      <w:spacing w:after="0" w:line="240" w:lineRule="auto"/>
                      <w:rPr>
                        <w:noProof/>
                      </w:rPr>
                    </w:pPr>
                    <w:r w:rsidRPr="00CF0BBA">
                      <w:rPr>
                        <w:noProof/>
                      </w:rPr>
                      <w:t>Court of Queen's Bench of Alberta, "Jurisdiction and Governance," [Online]. Available: https://albertacourts.ca/qb/about/jurisdiction-and-governance . [Accessed 10 Ferbruary 2018].</w:t>
                    </w:r>
                  </w:p>
                </w:tc>
              </w:tr>
              <w:tr w:rsidR="00DE6EEF" w:rsidRPr="00CF0BBA" w14:paraId="5F6F13FB" w14:textId="77777777" w:rsidTr="00643ED5">
                <w:trPr>
                  <w:divId w:val="695274130"/>
                  <w:trHeight w:val="968"/>
                  <w:tblCellSpacing w:w="15" w:type="dxa"/>
                </w:trPr>
                <w:tc>
                  <w:tcPr>
                    <w:tcW w:w="205" w:type="pct"/>
                    <w:hideMark/>
                  </w:tcPr>
                  <w:p w14:paraId="357EFAA8" w14:textId="77777777" w:rsidR="00DE6EEF" w:rsidRPr="00CF0BBA" w:rsidRDefault="00DE6EEF" w:rsidP="00A30F31">
                    <w:pPr>
                      <w:pStyle w:val="Bibliography"/>
                      <w:spacing w:after="0" w:line="240" w:lineRule="auto"/>
                      <w:rPr>
                        <w:noProof/>
                      </w:rPr>
                    </w:pPr>
                    <w:r w:rsidRPr="00CF0BBA">
                      <w:rPr>
                        <w:noProof/>
                      </w:rPr>
                      <w:t xml:space="preserve">[7] </w:t>
                    </w:r>
                  </w:p>
                </w:tc>
                <w:tc>
                  <w:tcPr>
                    <w:tcW w:w="0" w:type="auto"/>
                    <w:hideMark/>
                  </w:tcPr>
                  <w:p w14:paraId="6362C6BC" w14:textId="77777777" w:rsidR="00DE6EEF" w:rsidRPr="00CF0BBA" w:rsidRDefault="00DE6EEF" w:rsidP="00A30F31">
                    <w:pPr>
                      <w:pStyle w:val="Bibliography"/>
                      <w:spacing w:after="0" w:line="240" w:lineRule="auto"/>
                      <w:rPr>
                        <w:noProof/>
                      </w:rPr>
                    </w:pPr>
                    <w:r w:rsidRPr="00CF0BBA">
                      <w:rPr>
                        <w:noProof/>
                      </w:rPr>
                      <w:t>Court of Appeal of Alberta, "Court of Appeal of Alberta," [Online]. Available: https://justice.alberta.ca/programs_services/courts/Pages/appeal_courts.aspx . [Accessed 10 February 2018].</w:t>
                    </w:r>
                  </w:p>
                </w:tc>
              </w:tr>
              <w:tr w:rsidR="00DE6EEF" w:rsidRPr="00CF0BBA" w14:paraId="389D7E76" w14:textId="77777777" w:rsidTr="00643ED5">
                <w:trPr>
                  <w:divId w:val="695274130"/>
                  <w:trHeight w:val="694"/>
                  <w:tblCellSpacing w:w="15" w:type="dxa"/>
                </w:trPr>
                <w:tc>
                  <w:tcPr>
                    <w:tcW w:w="205" w:type="pct"/>
                    <w:hideMark/>
                  </w:tcPr>
                  <w:p w14:paraId="435E5D6C" w14:textId="77777777" w:rsidR="00DE6EEF" w:rsidRPr="00CF0BBA" w:rsidRDefault="00DE6EEF" w:rsidP="00A30F31">
                    <w:pPr>
                      <w:pStyle w:val="Bibliography"/>
                      <w:spacing w:after="0" w:line="240" w:lineRule="auto"/>
                      <w:rPr>
                        <w:noProof/>
                      </w:rPr>
                    </w:pPr>
                    <w:r w:rsidRPr="00CF0BBA">
                      <w:rPr>
                        <w:noProof/>
                      </w:rPr>
                      <w:t xml:space="preserve">[8] </w:t>
                    </w:r>
                  </w:p>
                </w:tc>
                <w:tc>
                  <w:tcPr>
                    <w:tcW w:w="0" w:type="auto"/>
                    <w:hideMark/>
                  </w:tcPr>
                  <w:p w14:paraId="1632DEE4" w14:textId="77777777" w:rsidR="00DE6EEF" w:rsidRPr="00CF0BBA" w:rsidRDefault="00DE6EEF" w:rsidP="00A30F31">
                    <w:pPr>
                      <w:pStyle w:val="Bibliography"/>
                      <w:spacing w:after="0" w:line="240" w:lineRule="auto"/>
                      <w:rPr>
                        <w:noProof/>
                      </w:rPr>
                    </w:pPr>
                    <w:r w:rsidRPr="00CF0BBA">
                      <w:rPr>
                        <w:noProof/>
                      </w:rPr>
                      <w:t>Court Appeal of Alberta, "Role and Operation of the Court Appeal of Alberta," [Online]. Available: https://albertacourts.ca/ca/about/role-and-operation. [Accessed 10 February 2018].</w:t>
                    </w:r>
                  </w:p>
                </w:tc>
              </w:tr>
              <w:tr w:rsidR="00DE6EEF" w:rsidRPr="00CF0BBA" w14:paraId="33A7514F" w14:textId="77777777" w:rsidTr="00643ED5">
                <w:trPr>
                  <w:divId w:val="695274130"/>
                  <w:trHeight w:val="707"/>
                  <w:tblCellSpacing w:w="15" w:type="dxa"/>
                </w:trPr>
                <w:tc>
                  <w:tcPr>
                    <w:tcW w:w="205" w:type="pct"/>
                    <w:hideMark/>
                  </w:tcPr>
                  <w:p w14:paraId="0D094019" w14:textId="77777777" w:rsidR="00DE6EEF" w:rsidRPr="00CF0BBA" w:rsidRDefault="00DE6EEF" w:rsidP="00A30F31">
                    <w:pPr>
                      <w:pStyle w:val="Bibliography"/>
                      <w:spacing w:after="0" w:line="240" w:lineRule="auto"/>
                      <w:rPr>
                        <w:noProof/>
                      </w:rPr>
                    </w:pPr>
                    <w:r w:rsidRPr="00CF0BBA">
                      <w:rPr>
                        <w:noProof/>
                      </w:rPr>
                      <w:t xml:space="preserve">[9] </w:t>
                    </w:r>
                  </w:p>
                </w:tc>
                <w:tc>
                  <w:tcPr>
                    <w:tcW w:w="0" w:type="auto"/>
                    <w:hideMark/>
                  </w:tcPr>
                  <w:p w14:paraId="36ECC0A5" w14:textId="77777777" w:rsidR="00DE6EEF" w:rsidRPr="00CF0BBA" w:rsidRDefault="00DE6EEF" w:rsidP="00A30F31">
                    <w:pPr>
                      <w:pStyle w:val="Bibliography"/>
                      <w:spacing w:after="0" w:line="240" w:lineRule="auto"/>
                      <w:rPr>
                        <w:noProof/>
                      </w:rPr>
                    </w:pPr>
                    <w:r w:rsidRPr="00CF0BBA">
                      <w:rPr>
                        <w:noProof/>
                      </w:rPr>
                      <w:t>Engineers Canada, "About Engineers Canada," [Online]. Available: https://engineerscanada.ca/about/about-engineers-canada . [Accessed 10 February 2018].</w:t>
                    </w:r>
                  </w:p>
                </w:tc>
              </w:tr>
              <w:tr w:rsidR="00DE6EEF" w:rsidRPr="00CF0BBA" w14:paraId="12E7C7D1" w14:textId="77777777" w:rsidTr="00643ED5">
                <w:trPr>
                  <w:divId w:val="695274130"/>
                  <w:trHeight w:val="968"/>
                  <w:tblCellSpacing w:w="15" w:type="dxa"/>
                </w:trPr>
                <w:tc>
                  <w:tcPr>
                    <w:tcW w:w="205" w:type="pct"/>
                    <w:hideMark/>
                  </w:tcPr>
                  <w:p w14:paraId="34E71599" w14:textId="77777777" w:rsidR="00DE6EEF" w:rsidRPr="00CF0BBA" w:rsidRDefault="00DE6EEF" w:rsidP="00A30F31">
                    <w:pPr>
                      <w:pStyle w:val="Bibliography"/>
                      <w:spacing w:after="0" w:line="240" w:lineRule="auto"/>
                      <w:rPr>
                        <w:noProof/>
                      </w:rPr>
                    </w:pPr>
                    <w:r w:rsidRPr="00CF0BBA">
                      <w:rPr>
                        <w:noProof/>
                      </w:rPr>
                      <w:t xml:space="preserve">[10] </w:t>
                    </w:r>
                  </w:p>
                </w:tc>
                <w:tc>
                  <w:tcPr>
                    <w:tcW w:w="0" w:type="auto"/>
                    <w:hideMark/>
                  </w:tcPr>
                  <w:p w14:paraId="20345684" w14:textId="77777777" w:rsidR="00DE6EEF" w:rsidRPr="00CF0BBA" w:rsidRDefault="00DE6EEF" w:rsidP="00A30F31">
                    <w:pPr>
                      <w:pStyle w:val="Bibliography"/>
                      <w:spacing w:after="0" w:line="240" w:lineRule="auto"/>
                      <w:rPr>
                        <w:noProof/>
                      </w:rPr>
                    </w:pPr>
                    <w:r w:rsidRPr="00CF0BBA">
                      <w:rPr>
                        <w:noProof/>
                      </w:rPr>
                      <w:t>Engineers Canada, "Qualifications Board," [Online]. Available: https://engineerscanada.ca/about/committees/board/qualifications-board . [Accessed 10 February 2018].</w:t>
                    </w:r>
                  </w:p>
                </w:tc>
              </w:tr>
              <w:tr w:rsidR="00DE6EEF" w:rsidRPr="00CF0BBA" w14:paraId="3477F1AE" w14:textId="77777777" w:rsidTr="00643ED5">
                <w:trPr>
                  <w:divId w:val="695274130"/>
                  <w:trHeight w:val="968"/>
                  <w:tblCellSpacing w:w="15" w:type="dxa"/>
                </w:trPr>
                <w:tc>
                  <w:tcPr>
                    <w:tcW w:w="205" w:type="pct"/>
                    <w:hideMark/>
                  </w:tcPr>
                  <w:p w14:paraId="60E969CD" w14:textId="77777777" w:rsidR="00DE6EEF" w:rsidRPr="00CF0BBA" w:rsidRDefault="00DE6EEF" w:rsidP="00A30F31">
                    <w:pPr>
                      <w:pStyle w:val="Bibliography"/>
                      <w:spacing w:after="0" w:line="240" w:lineRule="auto"/>
                      <w:rPr>
                        <w:noProof/>
                      </w:rPr>
                    </w:pPr>
                    <w:r w:rsidRPr="00CF0BBA">
                      <w:rPr>
                        <w:noProof/>
                      </w:rPr>
                      <w:t xml:space="preserve">[11] </w:t>
                    </w:r>
                  </w:p>
                </w:tc>
                <w:tc>
                  <w:tcPr>
                    <w:tcW w:w="0" w:type="auto"/>
                    <w:hideMark/>
                  </w:tcPr>
                  <w:p w14:paraId="758CC53F" w14:textId="77777777" w:rsidR="00DE6EEF" w:rsidRPr="00CF0BBA" w:rsidRDefault="00DE6EEF" w:rsidP="00A30F31">
                    <w:pPr>
                      <w:pStyle w:val="Bibliography"/>
                      <w:spacing w:after="0" w:line="240" w:lineRule="auto"/>
                      <w:rPr>
                        <w:noProof/>
                      </w:rPr>
                    </w:pPr>
                    <w:r w:rsidRPr="00CF0BBA">
                      <w:rPr>
                        <w:noProof/>
                      </w:rPr>
                      <w:t>National Council of Examiners for Engineering and Surveying , "About: National Council of Examiners for Engineering and Surveying (NCEES)," [Online]. Available: https://ncees.org/about/ . [Accessed 10 February 2018].</w:t>
                    </w:r>
                  </w:p>
                </w:tc>
              </w:tr>
              <w:tr w:rsidR="00DE6EEF" w:rsidRPr="00CF0BBA" w14:paraId="18D3A1CC" w14:textId="77777777" w:rsidTr="00643ED5">
                <w:trPr>
                  <w:divId w:val="695274130"/>
                  <w:trHeight w:val="956"/>
                  <w:tblCellSpacing w:w="15" w:type="dxa"/>
                </w:trPr>
                <w:tc>
                  <w:tcPr>
                    <w:tcW w:w="205" w:type="pct"/>
                    <w:hideMark/>
                  </w:tcPr>
                  <w:p w14:paraId="787F7A59" w14:textId="77777777" w:rsidR="00DE6EEF" w:rsidRPr="00CF0BBA" w:rsidRDefault="00DE6EEF" w:rsidP="00A30F31">
                    <w:pPr>
                      <w:pStyle w:val="Bibliography"/>
                      <w:spacing w:after="0" w:line="240" w:lineRule="auto"/>
                      <w:rPr>
                        <w:noProof/>
                      </w:rPr>
                    </w:pPr>
                    <w:r w:rsidRPr="00CF0BBA">
                      <w:rPr>
                        <w:noProof/>
                      </w:rPr>
                      <w:t xml:space="preserve">[12] </w:t>
                    </w:r>
                  </w:p>
                </w:tc>
                <w:tc>
                  <w:tcPr>
                    <w:tcW w:w="0" w:type="auto"/>
                    <w:hideMark/>
                  </w:tcPr>
                  <w:p w14:paraId="4D8595E0" w14:textId="77777777" w:rsidR="00DE6EEF" w:rsidRPr="00CF0BBA" w:rsidRDefault="00DE6EEF" w:rsidP="00A30F31">
                    <w:pPr>
                      <w:pStyle w:val="Bibliography"/>
                      <w:spacing w:after="0" w:line="240" w:lineRule="auto"/>
                      <w:rPr>
                        <w:noProof/>
                      </w:rPr>
                    </w:pPr>
                    <w:r w:rsidRPr="00CF0BBA">
                      <w:rPr>
                        <w:noProof/>
                      </w:rPr>
                      <w:t>APEGA, "Fundamentals of Engineering Exam," [Online]. Available: https://www.apega.ca/apply/exams/fundamentals-engineering-exam-fe/ . [Accessed 10 February 2018].</w:t>
                    </w:r>
                  </w:p>
                </w:tc>
              </w:tr>
              <w:tr w:rsidR="00DE6EEF" w:rsidRPr="00CF0BBA" w14:paraId="73092B11" w14:textId="77777777" w:rsidTr="00643ED5">
                <w:trPr>
                  <w:divId w:val="695274130"/>
                  <w:trHeight w:val="707"/>
                  <w:tblCellSpacing w:w="15" w:type="dxa"/>
                </w:trPr>
                <w:tc>
                  <w:tcPr>
                    <w:tcW w:w="205" w:type="pct"/>
                    <w:hideMark/>
                  </w:tcPr>
                  <w:p w14:paraId="09F2C669" w14:textId="77777777" w:rsidR="00DE6EEF" w:rsidRPr="00CF0BBA" w:rsidRDefault="00DE6EEF" w:rsidP="00A30F31">
                    <w:pPr>
                      <w:pStyle w:val="Bibliography"/>
                      <w:spacing w:after="0" w:line="240" w:lineRule="auto"/>
                      <w:rPr>
                        <w:noProof/>
                      </w:rPr>
                    </w:pPr>
                    <w:r w:rsidRPr="00CF0BBA">
                      <w:rPr>
                        <w:noProof/>
                      </w:rPr>
                      <w:t xml:space="preserve">[13] </w:t>
                    </w:r>
                  </w:p>
                </w:tc>
                <w:tc>
                  <w:tcPr>
                    <w:tcW w:w="0" w:type="auto"/>
                    <w:hideMark/>
                  </w:tcPr>
                  <w:p w14:paraId="41B25F92" w14:textId="77777777" w:rsidR="00DE6EEF" w:rsidRPr="00CF0BBA" w:rsidRDefault="00DE6EEF" w:rsidP="00A30F31">
                    <w:pPr>
                      <w:pStyle w:val="Bibliography"/>
                      <w:spacing w:after="0" w:line="240" w:lineRule="auto"/>
                      <w:rPr>
                        <w:noProof/>
                      </w:rPr>
                    </w:pPr>
                    <w:r w:rsidRPr="00CF0BBA">
                      <w:rPr>
                        <w:noProof/>
                      </w:rPr>
                      <w:t>Court of Queen's Bench of Alberta, "APEGA v. Mihaly, 2016," Judicial Centre of Edmonton, Edmonton, 2016.</w:t>
                    </w:r>
                  </w:p>
                </w:tc>
              </w:tr>
              <w:tr w:rsidR="00DE6EEF" w:rsidRPr="00CF0BBA" w14:paraId="1E5675F9" w14:textId="77777777" w:rsidTr="00643ED5">
                <w:trPr>
                  <w:divId w:val="695274130"/>
                  <w:trHeight w:val="422"/>
                  <w:tblCellSpacing w:w="15" w:type="dxa"/>
                </w:trPr>
                <w:tc>
                  <w:tcPr>
                    <w:tcW w:w="205" w:type="pct"/>
                    <w:hideMark/>
                  </w:tcPr>
                  <w:p w14:paraId="41C632DF" w14:textId="77777777" w:rsidR="00DE6EEF" w:rsidRPr="00CF0BBA" w:rsidRDefault="00DE6EEF" w:rsidP="00A30F31">
                    <w:pPr>
                      <w:pStyle w:val="Bibliography"/>
                      <w:spacing w:after="0" w:line="240" w:lineRule="auto"/>
                      <w:rPr>
                        <w:noProof/>
                      </w:rPr>
                    </w:pPr>
                    <w:r w:rsidRPr="00CF0BBA">
                      <w:rPr>
                        <w:noProof/>
                      </w:rPr>
                      <w:t xml:space="preserve">[14] </w:t>
                    </w:r>
                  </w:p>
                </w:tc>
                <w:tc>
                  <w:tcPr>
                    <w:tcW w:w="0" w:type="auto"/>
                    <w:hideMark/>
                  </w:tcPr>
                  <w:p w14:paraId="56A57CB7" w14:textId="77777777" w:rsidR="00DE6EEF" w:rsidRPr="00CF0BBA" w:rsidRDefault="00DE6EEF" w:rsidP="00A30F31">
                    <w:pPr>
                      <w:pStyle w:val="Bibliography"/>
                      <w:spacing w:after="0" w:line="240" w:lineRule="auto"/>
                      <w:rPr>
                        <w:noProof/>
                      </w:rPr>
                    </w:pPr>
                    <w:r w:rsidRPr="00CF0BBA">
                      <w:rPr>
                        <w:noProof/>
                      </w:rPr>
                      <w:t>Court Appeal of Alberta, "Mihaly v. APEGA," Court of Alberta, Edmonton, 2017.</w:t>
                    </w:r>
                    <w:r w:rsidR="00AD1C86" w:rsidRPr="00CF0BBA">
                      <w:rPr>
                        <w:noProof/>
                      </w:rPr>
                      <w:t xml:space="preserve"> </w:t>
                    </w:r>
                  </w:p>
                  <w:p w14:paraId="6B9A6D0D" w14:textId="224BF292" w:rsidR="00AD1C86" w:rsidRPr="00CF0BBA" w:rsidRDefault="00AD1C86" w:rsidP="00A30F31">
                    <w:pPr>
                      <w:spacing w:after="0" w:line="240" w:lineRule="auto"/>
                    </w:pPr>
                  </w:p>
                </w:tc>
              </w:tr>
            </w:tbl>
            <w:p w14:paraId="75630DE5" w14:textId="049954B9" w:rsidR="00DE6EEF" w:rsidRPr="00CF0BBA" w:rsidRDefault="00DE6EEF" w:rsidP="00A30F31">
              <w:pPr>
                <w:spacing w:after="0" w:line="240" w:lineRule="auto"/>
              </w:pPr>
              <w:r w:rsidRPr="00CF0BBA">
                <w:rPr>
                  <w:b/>
                  <w:bCs/>
                  <w:noProof/>
                </w:rPr>
                <w:fldChar w:fldCharType="end"/>
              </w:r>
            </w:p>
          </w:sdtContent>
        </w:sdt>
      </w:sdtContent>
    </w:sdt>
    <w:sectPr w:rsidR="00DE6EEF" w:rsidRPr="00CF0BBA" w:rsidSect="00AD1C86">
      <w:footerReference w:type="default" r:id="rId11"/>
      <w:pgSz w:w="12240" w:h="15840"/>
      <w:pgMar w:top="1440" w:right="135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DBC19" w14:textId="77777777" w:rsidR="002504DD" w:rsidRDefault="002504DD" w:rsidP="00254776">
      <w:pPr>
        <w:spacing w:after="0" w:line="240" w:lineRule="auto"/>
      </w:pPr>
      <w:r>
        <w:separator/>
      </w:r>
    </w:p>
  </w:endnote>
  <w:endnote w:type="continuationSeparator" w:id="0">
    <w:p w14:paraId="1B5306B3" w14:textId="77777777" w:rsidR="002504DD" w:rsidRDefault="002504DD" w:rsidP="0025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804373"/>
      <w:docPartObj>
        <w:docPartGallery w:val="Page Numbers (Bottom of Page)"/>
        <w:docPartUnique/>
      </w:docPartObj>
    </w:sdtPr>
    <w:sdtEndPr>
      <w:rPr>
        <w:noProof/>
      </w:rPr>
    </w:sdtEndPr>
    <w:sdtContent>
      <w:p w14:paraId="20F17428" w14:textId="3FD624A6" w:rsidR="00FD6602" w:rsidRDefault="00FD6602">
        <w:pPr>
          <w:pStyle w:val="Footer"/>
          <w:jc w:val="center"/>
        </w:pPr>
        <w:r>
          <w:fldChar w:fldCharType="begin"/>
        </w:r>
        <w:r>
          <w:instrText xml:space="preserve"> PAGE   \* MERGEFORMAT </w:instrText>
        </w:r>
        <w:r>
          <w:fldChar w:fldCharType="separate"/>
        </w:r>
        <w:r w:rsidR="00546B03">
          <w:rPr>
            <w:noProof/>
          </w:rPr>
          <w:t>9</w:t>
        </w:r>
        <w:r>
          <w:rPr>
            <w:noProof/>
          </w:rPr>
          <w:fldChar w:fldCharType="end"/>
        </w:r>
      </w:p>
    </w:sdtContent>
  </w:sdt>
  <w:p w14:paraId="3B8D78B7" w14:textId="77777777" w:rsidR="00FD6602" w:rsidRDefault="00FD6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8F4E4" w14:textId="77777777" w:rsidR="002504DD" w:rsidRDefault="002504DD" w:rsidP="00254776">
      <w:pPr>
        <w:spacing w:after="0" w:line="240" w:lineRule="auto"/>
      </w:pPr>
      <w:r>
        <w:separator/>
      </w:r>
    </w:p>
  </w:footnote>
  <w:footnote w:type="continuationSeparator" w:id="0">
    <w:p w14:paraId="20163B9B" w14:textId="77777777" w:rsidR="002504DD" w:rsidRDefault="002504DD" w:rsidP="00254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7536A"/>
    <w:multiLevelType w:val="hybridMultilevel"/>
    <w:tmpl w:val="8E24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90"/>
    <w:rsid w:val="00037606"/>
    <w:rsid w:val="00052210"/>
    <w:rsid w:val="00076292"/>
    <w:rsid w:val="000834F4"/>
    <w:rsid w:val="000B1CF1"/>
    <w:rsid w:val="000C2B16"/>
    <w:rsid w:val="000C4831"/>
    <w:rsid w:val="000C7859"/>
    <w:rsid w:val="000D4DED"/>
    <w:rsid w:val="000D73DE"/>
    <w:rsid w:val="000F642D"/>
    <w:rsid w:val="0010641A"/>
    <w:rsid w:val="00111B00"/>
    <w:rsid w:val="0014387E"/>
    <w:rsid w:val="0017016C"/>
    <w:rsid w:val="0017705D"/>
    <w:rsid w:val="001817FD"/>
    <w:rsid w:val="001A3C08"/>
    <w:rsid w:val="001A7072"/>
    <w:rsid w:val="001B12F7"/>
    <w:rsid w:val="001C0BA7"/>
    <w:rsid w:val="001C48CB"/>
    <w:rsid w:val="001C6362"/>
    <w:rsid w:val="001C67B6"/>
    <w:rsid w:val="001E2AA5"/>
    <w:rsid w:val="001F232B"/>
    <w:rsid w:val="001F6A9F"/>
    <w:rsid w:val="00206735"/>
    <w:rsid w:val="0021002E"/>
    <w:rsid w:val="00216C9B"/>
    <w:rsid w:val="002208D7"/>
    <w:rsid w:val="00237C72"/>
    <w:rsid w:val="0024798F"/>
    <w:rsid w:val="002504DD"/>
    <w:rsid w:val="00254776"/>
    <w:rsid w:val="00264C6B"/>
    <w:rsid w:val="002667B2"/>
    <w:rsid w:val="0027394D"/>
    <w:rsid w:val="00276206"/>
    <w:rsid w:val="0027788C"/>
    <w:rsid w:val="00282BC6"/>
    <w:rsid w:val="00290BC3"/>
    <w:rsid w:val="00294AC5"/>
    <w:rsid w:val="002A42BD"/>
    <w:rsid w:val="002A7889"/>
    <w:rsid w:val="002B3867"/>
    <w:rsid w:val="002B6EB9"/>
    <w:rsid w:val="002D01CF"/>
    <w:rsid w:val="002D6110"/>
    <w:rsid w:val="0030213A"/>
    <w:rsid w:val="00325F54"/>
    <w:rsid w:val="00326C5E"/>
    <w:rsid w:val="00326EC8"/>
    <w:rsid w:val="00340EF9"/>
    <w:rsid w:val="00346615"/>
    <w:rsid w:val="00351CB4"/>
    <w:rsid w:val="00354F87"/>
    <w:rsid w:val="00356678"/>
    <w:rsid w:val="0037155B"/>
    <w:rsid w:val="003750E6"/>
    <w:rsid w:val="003916FB"/>
    <w:rsid w:val="00397502"/>
    <w:rsid w:val="003A07B6"/>
    <w:rsid w:val="003D06D1"/>
    <w:rsid w:val="003E3DBF"/>
    <w:rsid w:val="003F1B8A"/>
    <w:rsid w:val="003F4A62"/>
    <w:rsid w:val="00415E1A"/>
    <w:rsid w:val="00420B5B"/>
    <w:rsid w:val="00427DBF"/>
    <w:rsid w:val="00436CBD"/>
    <w:rsid w:val="00437669"/>
    <w:rsid w:val="00453532"/>
    <w:rsid w:val="00457A5E"/>
    <w:rsid w:val="00480615"/>
    <w:rsid w:val="00481139"/>
    <w:rsid w:val="004834DE"/>
    <w:rsid w:val="004B1DFA"/>
    <w:rsid w:val="00512339"/>
    <w:rsid w:val="0051329E"/>
    <w:rsid w:val="00513ECF"/>
    <w:rsid w:val="0051687A"/>
    <w:rsid w:val="00522594"/>
    <w:rsid w:val="00531309"/>
    <w:rsid w:val="00536321"/>
    <w:rsid w:val="00546B03"/>
    <w:rsid w:val="00557030"/>
    <w:rsid w:val="00570FE6"/>
    <w:rsid w:val="0058082C"/>
    <w:rsid w:val="00581C2B"/>
    <w:rsid w:val="00594412"/>
    <w:rsid w:val="005D1D91"/>
    <w:rsid w:val="005D5196"/>
    <w:rsid w:val="005E1EAF"/>
    <w:rsid w:val="00603905"/>
    <w:rsid w:val="00615514"/>
    <w:rsid w:val="00643519"/>
    <w:rsid w:val="00643ED5"/>
    <w:rsid w:val="00650288"/>
    <w:rsid w:val="0066562E"/>
    <w:rsid w:val="0066711A"/>
    <w:rsid w:val="006A615A"/>
    <w:rsid w:val="007063E4"/>
    <w:rsid w:val="00707E17"/>
    <w:rsid w:val="007105E9"/>
    <w:rsid w:val="00730784"/>
    <w:rsid w:val="00736EE8"/>
    <w:rsid w:val="007417A0"/>
    <w:rsid w:val="00754CF1"/>
    <w:rsid w:val="007835F4"/>
    <w:rsid w:val="00787828"/>
    <w:rsid w:val="0079049D"/>
    <w:rsid w:val="007A20F3"/>
    <w:rsid w:val="007A72F9"/>
    <w:rsid w:val="007C4420"/>
    <w:rsid w:val="007D359A"/>
    <w:rsid w:val="007E305E"/>
    <w:rsid w:val="007E69BD"/>
    <w:rsid w:val="007F0DC0"/>
    <w:rsid w:val="007F4AD0"/>
    <w:rsid w:val="008201BD"/>
    <w:rsid w:val="00843294"/>
    <w:rsid w:val="008517CB"/>
    <w:rsid w:val="00866908"/>
    <w:rsid w:val="00885AAB"/>
    <w:rsid w:val="008876FC"/>
    <w:rsid w:val="008B5EB4"/>
    <w:rsid w:val="008C0789"/>
    <w:rsid w:val="008C5231"/>
    <w:rsid w:val="008D6356"/>
    <w:rsid w:val="008E4163"/>
    <w:rsid w:val="00900D00"/>
    <w:rsid w:val="00903F49"/>
    <w:rsid w:val="00920DE6"/>
    <w:rsid w:val="009304BB"/>
    <w:rsid w:val="00976817"/>
    <w:rsid w:val="0097694D"/>
    <w:rsid w:val="00995F1C"/>
    <w:rsid w:val="009C5D6C"/>
    <w:rsid w:val="00A03A22"/>
    <w:rsid w:val="00A30F31"/>
    <w:rsid w:val="00A46907"/>
    <w:rsid w:val="00A56590"/>
    <w:rsid w:val="00A6369B"/>
    <w:rsid w:val="00A67905"/>
    <w:rsid w:val="00A72021"/>
    <w:rsid w:val="00A75AD8"/>
    <w:rsid w:val="00AC0197"/>
    <w:rsid w:val="00AD1C86"/>
    <w:rsid w:val="00AD2A6B"/>
    <w:rsid w:val="00AE4827"/>
    <w:rsid w:val="00B00AB5"/>
    <w:rsid w:val="00B06A81"/>
    <w:rsid w:val="00B075DC"/>
    <w:rsid w:val="00B24F8D"/>
    <w:rsid w:val="00B36B89"/>
    <w:rsid w:val="00B43987"/>
    <w:rsid w:val="00B43CF1"/>
    <w:rsid w:val="00B443B0"/>
    <w:rsid w:val="00B45852"/>
    <w:rsid w:val="00B85A1B"/>
    <w:rsid w:val="00B951E3"/>
    <w:rsid w:val="00BB4181"/>
    <w:rsid w:val="00BD02AA"/>
    <w:rsid w:val="00BE42A1"/>
    <w:rsid w:val="00C23A3F"/>
    <w:rsid w:val="00C270A1"/>
    <w:rsid w:val="00C40273"/>
    <w:rsid w:val="00C46328"/>
    <w:rsid w:val="00C52AF3"/>
    <w:rsid w:val="00C75733"/>
    <w:rsid w:val="00C7709B"/>
    <w:rsid w:val="00C84855"/>
    <w:rsid w:val="00C91A8A"/>
    <w:rsid w:val="00C9738F"/>
    <w:rsid w:val="00CA76CB"/>
    <w:rsid w:val="00CB29F3"/>
    <w:rsid w:val="00CB4D6E"/>
    <w:rsid w:val="00CC1AA8"/>
    <w:rsid w:val="00CC70BF"/>
    <w:rsid w:val="00CC7CEF"/>
    <w:rsid w:val="00CD07BE"/>
    <w:rsid w:val="00CF0BBA"/>
    <w:rsid w:val="00CF7A5A"/>
    <w:rsid w:val="00D05D23"/>
    <w:rsid w:val="00D13E35"/>
    <w:rsid w:val="00D168E4"/>
    <w:rsid w:val="00D35C71"/>
    <w:rsid w:val="00D42263"/>
    <w:rsid w:val="00D512C2"/>
    <w:rsid w:val="00D741A8"/>
    <w:rsid w:val="00D76077"/>
    <w:rsid w:val="00D831E5"/>
    <w:rsid w:val="00D87782"/>
    <w:rsid w:val="00D87CFC"/>
    <w:rsid w:val="00D9020A"/>
    <w:rsid w:val="00D953C7"/>
    <w:rsid w:val="00DA3BB2"/>
    <w:rsid w:val="00DA45F1"/>
    <w:rsid w:val="00DA735E"/>
    <w:rsid w:val="00DD2AB5"/>
    <w:rsid w:val="00DD74EA"/>
    <w:rsid w:val="00DE1A54"/>
    <w:rsid w:val="00DE6EEF"/>
    <w:rsid w:val="00E27752"/>
    <w:rsid w:val="00E30458"/>
    <w:rsid w:val="00E635F3"/>
    <w:rsid w:val="00E67C1D"/>
    <w:rsid w:val="00E823AE"/>
    <w:rsid w:val="00EB54B7"/>
    <w:rsid w:val="00EF3516"/>
    <w:rsid w:val="00F03752"/>
    <w:rsid w:val="00F073F7"/>
    <w:rsid w:val="00F23418"/>
    <w:rsid w:val="00F266D0"/>
    <w:rsid w:val="00F372AA"/>
    <w:rsid w:val="00F4221B"/>
    <w:rsid w:val="00F55706"/>
    <w:rsid w:val="00F620B1"/>
    <w:rsid w:val="00F86959"/>
    <w:rsid w:val="00F86A8B"/>
    <w:rsid w:val="00F90520"/>
    <w:rsid w:val="00F91C9B"/>
    <w:rsid w:val="00F9669D"/>
    <w:rsid w:val="00FA7E72"/>
    <w:rsid w:val="00FB5BF5"/>
    <w:rsid w:val="00FB652F"/>
    <w:rsid w:val="00FD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8DC6"/>
  <w15:chartTrackingRefBased/>
  <w15:docId w15:val="{A5E6C05F-BDE8-4FEC-8B21-233D80D6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590"/>
    <w:rPr>
      <w:lang w:val="en-CA"/>
    </w:rPr>
  </w:style>
  <w:style w:type="paragraph" w:styleId="Heading1">
    <w:name w:val="heading 1"/>
    <w:basedOn w:val="Normal"/>
    <w:next w:val="Normal"/>
    <w:link w:val="Heading1Char"/>
    <w:uiPriority w:val="9"/>
    <w:qFormat/>
    <w:rsid w:val="00A565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5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590"/>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A56590"/>
    <w:rPr>
      <w:rFonts w:asciiTheme="majorHAnsi" w:eastAsiaTheme="majorEastAsia" w:hAnsiTheme="majorHAnsi" w:cstheme="majorBidi"/>
      <w:color w:val="2F5496" w:themeColor="accent1" w:themeShade="BF"/>
      <w:sz w:val="26"/>
      <w:szCs w:val="26"/>
      <w:lang w:val="en-CA"/>
    </w:rPr>
  </w:style>
  <w:style w:type="character" w:styleId="Hyperlink">
    <w:name w:val="Hyperlink"/>
    <w:basedOn w:val="DefaultParagraphFont"/>
    <w:uiPriority w:val="99"/>
    <w:unhideWhenUsed/>
    <w:rsid w:val="007835F4"/>
    <w:rPr>
      <w:color w:val="0563C1" w:themeColor="hyperlink"/>
      <w:u w:val="single"/>
    </w:rPr>
  </w:style>
  <w:style w:type="character" w:styleId="UnresolvedMention">
    <w:name w:val="Unresolved Mention"/>
    <w:basedOn w:val="DefaultParagraphFont"/>
    <w:uiPriority w:val="99"/>
    <w:semiHidden/>
    <w:unhideWhenUsed/>
    <w:rsid w:val="007835F4"/>
    <w:rPr>
      <w:color w:val="808080"/>
      <w:shd w:val="clear" w:color="auto" w:fill="E6E6E6"/>
    </w:rPr>
  </w:style>
  <w:style w:type="paragraph" w:styleId="ListParagraph">
    <w:name w:val="List Paragraph"/>
    <w:basedOn w:val="Normal"/>
    <w:uiPriority w:val="34"/>
    <w:qFormat/>
    <w:rsid w:val="00F620B1"/>
    <w:pPr>
      <w:ind w:left="720"/>
      <w:contextualSpacing/>
    </w:pPr>
    <w:rPr>
      <w:lang w:val="en-US"/>
    </w:rPr>
  </w:style>
  <w:style w:type="paragraph" w:styleId="Header">
    <w:name w:val="header"/>
    <w:basedOn w:val="Normal"/>
    <w:link w:val="HeaderChar"/>
    <w:uiPriority w:val="99"/>
    <w:unhideWhenUsed/>
    <w:rsid w:val="00254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776"/>
    <w:rPr>
      <w:lang w:val="en-CA"/>
    </w:rPr>
  </w:style>
  <w:style w:type="paragraph" w:styleId="Footer">
    <w:name w:val="footer"/>
    <w:basedOn w:val="Normal"/>
    <w:link w:val="FooterChar"/>
    <w:uiPriority w:val="99"/>
    <w:unhideWhenUsed/>
    <w:rsid w:val="00254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776"/>
    <w:rPr>
      <w:lang w:val="en-CA"/>
    </w:rPr>
  </w:style>
  <w:style w:type="paragraph" w:styleId="TOCHeading">
    <w:name w:val="TOC Heading"/>
    <w:basedOn w:val="Heading1"/>
    <w:next w:val="Normal"/>
    <w:uiPriority w:val="39"/>
    <w:unhideWhenUsed/>
    <w:qFormat/>
    <w:rsid w:val="00603905"/>
    <w:pPr>
      <w:outlineLvl w:val="9"/>
    </w:pPr>
    <w:rPr>
      <w:lang w:val="en-US"/>
    </w:rPr>
  </w:style>
  <w:style w:type="paragraph" w:styleId="TOC1">
    <w:name w:val="toc 1"/>
    <w:basedOn w:val="Normal"/>
    <w:next w:val="Normal"/>
    <w:autoRedefine/>
    <w:uiPriority w:val="39"/>
    <w:unhideWhenUsed/>
    <w:rsid w:val="00603905"/>
    <w:pPr>
      <w:spacing w:after="100"/>
    </w:pPr>
  </w:style>
  <w:style w:type="paragraph" w:styleId="TOC2">
    <w:name w:val="toc 2"/>
    <w:basedOn w:val="Normal"/>
    <w:next w:val="Normal"/>
    <w:autoRedefine/>
    <w:uiPriority w:val="39"/>
    <w:unhideWhenUsed/>
    <w:rsid w:val="00603905"/>
    <w:pPr>
      <w:spacing w:after="100"/>
      <w:ind w:left="220"/>
    </w:pPr>
  </w:style>
  <w:style w:type="paragraph" w:styleId="NoSpacing">
    <w:name w:val="No Spacing"/>
    <w:link w:val="NoSpacingChar"/>
    <w:uiPriority w:val="1"/>
    <w:qFormat/>
    <w:rsid w:val="00603905"/>
    <w:pPr>
      <w:spacing w:after="0" w:line="240" w:lineRule="auto"/>
    </w:pPr>
    <w:rPr>
      <w:rFonts w:eastAsiaTheme="minorEastAsia"/>
    </w:rPr>
  </w:style>
  <w:style w:type="character" w:customStyle="1" w:styleId="NoSpacingChar">
    <w:name w:val="No Spacing Char"/>
    <w:basedOn w:val="DefaultParagraphFont"/>
    <w:link w:val="NoSpacing"/>
    <w:uiPriority w:val="1"/>
    <w:rsid w:val="00603905"/>
    <w:rPr>
      <w:rFonts w:eastAsiaTheme="minorEastAsia"/>
    </w:rPr>
  </w:style>
  <w:style w:type="character" w:styleId="FollowedHyperlink">
    <w:name w:val="FollowedHyperlink"/>
    <w:basedOn w:val="DefaultParagraphFont"/>
    <w:uiPriority w:val="99"/>
    <w:semiHidden/>
    <w:unhideWhenUsed/>
    <w:rsid w:val="002A42BD"/>
    <w:rPr>
      <w:color w:val="954F72" w:themeColor="followedHyperlink"/>
      <w:u w:val="single"/>
    </w:rPr>
  </w:style>
  <w:style w:type="paragraph" w:styleId="Bibliography">
    <w:name w:val="Bibliography"/>
    <w:basedOn w:val="Normal"/>
    <w:next w:val="Normal"/>
    <w:uiPriority w:val="37"/>
    <w:unhideWhenUsed/>
    <w:rsid w:val="00DE6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1455">
      <w:bodyDiv w:val="1"/>
      <w:marLeft w:val="0"/>
      <w:marRight w:val="0"/>
      <w:marTop w:val="0"/>
      <w:marBottom w:val="0"/>
      <w:divBdr>
        <w:top w:val="none" w:sz="0" w:space="0" w:color="auto"/>
        <w:left w:val="none" w:sz="0" w:space="0" w:color="auto"/>
        <w:bottom w:val="none" w:sz="0" w:space="0" w:color="auto"/>
        <w:right w:val="none" w:sz="0" w:space="0" w:color="auto"/>
      </w:divBdr>
    </w:div>
    <w:div w:id="79376911">
      <w:bodyDiv w:val="1"/>
      <w:marLeft w:val="0"/>
      <w:marRight w:val="0"/>
      <w:marTop w:val="0"/>
      <w:marBottom w:val="0"/>
      <w:divBdr>
        <w:top w:val="none" w:sz="0" w:space="0" w:color="auto"/>
        <w:left w:val="none" w:sz="0" w:space="0" w:color="auto"/>
        <w:bottom w:val="none" w:sz="0" w:space="0" w:color="auto"/>
        <w:right w:val="none" w:sz="0" w:space="0" w:color="auto"/>
      </w:divBdr>
    </w:div>
    <w:div w:id="84806586">
      <w:bodyDiv w:val="1"/>
      <w:marLeft w:val="0"/>
      <w:marRight w:val="0"/>
      <w:marTop w:val="0"/>
      <w:marBottom w:val="0"/>
      <w:divBdr>
        <w:top w:val="none" w:sz="0" w:space="0" w:color="auto"/>
        <w:left w:val="none" w:sz="0" w:space="0" w:color="auto"/>
        <w:bottom w:val="none" w:sz="0" w:space="0" w:color="auto"/>
        <w:right w:val="none" w:sz="0" w:space="0" w:color="auto"/>
      </w:divBdr>
    </w:div>
    <w:div w:id="88547247">
      <w:bodyDiv w:val="1"/>
      <w:marLeft w:val="0"/>
      <w:marRight w:val="0"/>
      <w:marTop w:val="0"/>
      <w:marBottom w:val="0"/>
      <w:divBdr>
        <w:top w:val="none" w:sz="0" w:space="0" w:color="auto"/>
        <w:left w:val="none" w:sz="0" w:space="0" w:color="auto"/>
        <w:bottom w:val="none" w:sz="0" w:space="0" w:color="auto"/>
        <w:right w:val="none" w:sz="0" w:space="0" w:color="auto"/>
      </w:divBdr>
    </w:div>
    <w:div w:id="90053304">
      <w:bodyDiv w:val="1"/>
      <w:marLeft w:val="0"/>
      <w:marRight w:val="0"/>
      <w:marTop w:val="0"/>
      <w:marBottom w:val="0"/>
      <w:divBdr>
        <w:top w:val="none" w:sz="0" w:space="0" w:color="auto"/>
        <w:left w:val="none" w:sz="0" w:space="0" w:color="auto"/>
        <w:bottom w:val="none" w:sz="0" w:space="0" w:color="auto"/>
        <w:right w:val="none" w:sz="0" w:space="0" w:color="auto"/>
      </w:divBdr>
    </w:div>
    <w:div w:id="96295826">
      <w:bodyDiv w:val="1"/>
      <w:marLeft w:val="0"/>
      <w:marRight w:val="0"/>
      <w:marTop w:val="0"/>
      <w:marBottom w:val="0"/>
      <w:divBdr>
        <w:top w:val="none" w:sz="0" w:space="0" w:color="auto"/>
        <w:left w:val="none" w:sz="0" w:space="0" w:color="auto"/>
        <w:bottom w:val="none" w:sz="0" w:space="0" w:color="auto"/>
        <w:right w:val="none" w:sz="0" w:space="0" w:color="auto"/>
      </w:divBdr>
    </w:div>
    <w:div w:id="100806235">
      <w:bodyDiv w:val="1"/>
      <w:marLeft w:val="0"/>
      <w:marRight w:val="0"/>
      <w:marTop w:val="0"/>
      <w:marBottom w:val="0"/>
      <w:divBdr>
        <w:top w:val="none" w:sz="0" w:space="0" w:color="auto"/>
        <w:left w:val="none" w:sz="0" w:space="0" w:color="auto"/>
        <w:bottom w:val="none" w:sz="0" w:space="0" w:color="auto"/>
        <w:right w:val="none" w:sz="0" w:space="0" w:color="auto"/>
      </w:divBdr>
    </w:div>
    <w:div w:id="113212789">
      <w:bodyDiv w:val="1"/>
      <w:marLeft w:val="0"/>
      <w:marRight w:val="0"/>
      <w:marTop w:val="0"/>
      <w:marBottom w:val="0"/>
      <w:divBdr>
        <w:top w:val="none" w:sz="0" w:space="0" w:color="auto"/>
        <w:left w:val="none" w:sz="0" w:space="0" w:color="auto"/>
        <w:bottom w:val="none" w:sz="0" w:space="0" w:color="auto"/>
        <w:right w:val="none" w:sz="0" w:space="0" w:color="auto"/>
      </w:divBdr>
    </w:div>
    <w:div w:id="113602322">
      <w:bodyDiv w:val="1"/>
      <w:marLeft w:val="0"/>
      <w:marRight w:val="0"/>
      <w:marTop w:val="0"/>
      <w:marBottom w:val="0"/>
      <w:divBdr>
        <w:top w:val="none" w:sz="0" w:space="0" w:color="auto"/>
        <w:left w:val="none" w:sz="0" w:space="0" w:color="auto"/>
        <w:bottom w:val="none" w:sz="0" w:space="0" w:color="auto"/>
        <w:right w:val="none" w:sz="0" w:space="0" w:color="auto"/>
      </w:divBdr>
    </w:div>
    <w:div w:id="121114370">
      <w:bodyDiv w:val="1"/>
      <w:marLeft w:val="0"/>
      <w:marRight w:val="0"/>
      <w:marTop w:val="0"/>
      <w:marBottom w:val="0"/>
      <w:divBdr>
        <w:top w:val="none" w:sz="0" w:space="0" w:color="auto"/>
        <w:left w:val="none" w:sz="0" w:space="0" w:color="auto"/>
        <w:bottom w:val="none" w:sz="0" w:space="0" w:color="auto"/>
        <w:right w:val="none" w:sz="0" w:space="0" w:color="auto"/>
      </w:divBdr>
    </w:div>
    <w:div w:id="136995542">
      <w:bodyDiv w:val="1"/>
      <w:marLeft w:val="0"/>
      <w:marRight w:val="0"/>
      <w:marTop w:val="0"/>
      <w:marBottom w:val="0"/>
      <w:divBdr>
        <w:top w:val="none" w:sz="0" w:space="0" w:color="auto"/>
        <w:left w:val="none" w:sz="0" w:space="0" w:color="auto"/>
        <w:bottom w:val="none" w:sz="0" w:space="0" w:color="auto"/>
        <w:right w:val="none" w:sz="0" w:space="0" w:color="auto"/>
      </w:divBdr>
    </w:div>
    <w:div w:id="140467230">
      <w:bodyDiv w:val="1"/>
      <w:marLeft w:val="0"/>
      <w:marRight w:val="0"/>
      <w:marTop w:val="0"/>
      <w:marBottom w:val="0"/>
      <w:divBdr>
        <w:top w:val="none" w:sz="0" w:space="0" w:color="auto"/>
        <w:left w:val="none" w:sz="0" w:space="0" w:color="auto"/>
        <w:bottom w:val="none" w:sz="0" w:space="0" w:color="auto"/>
        <w:right w:val="none" w:sz="0" w:space="0" w:color="auto"/>
      </w:divBdr>
    </w:div>
    <w:div w:id="155804710">
      <w:bodyDiv w:val="1"/>
      <w:marLeft w:val="0"/>
      <w:marRight w:val="0"/>
      <w:marTop w:val="0"/>
      <w:marBottom w:val="0"/>
      <w:divBdr>
        <w:top w:val="none" w:sz="0" w:space="0" w:color="auto"/>
        <w:left w:val="none" w:sz="0" w:space="0" w:color="auto"/>
        <w:bottom w:val="none" w:sz="0" w:space="0" w:color="auto"/>
        <w:right w:val="none" w:sz="0" w:space="0" w:color="auto"/>
      </w:divBdr>
    </w:div>
    <w:div w:id="175584383">
      <w:bodyDiv w:val="1"/>
      <w:marLeft w:val="0"/>
      <w:marRight w:val="0"/>
      <w:marTop w:val="0"/>
      <w:marBottom w:val="0"/>
      <w:divBdr>
        <w:top w:val="none" w:sz="0" w:space="0" w:color="auto"/>
        <w:left w:val="none" w:sz="0" w:space="0" w:color="auto"/>
        <w:bottom w:val="none" w:sz="0" w:space="0" w:color="auto"/>
        <w:right w:val="none" w:sz="0" w:space="0" w:color="auto"/>
      </w:divBdr>
    </w:div>
    <w:div w:id="226917460">
      <w:bodyDiv w:val="1"/>
      <w:marLeft w:val="0"/>
      <w:marRight w:val="0"/>
      <w:marTop w:val="0"/>
      <w:marBottom w:val="0"/>
      <w:divBdr>
        <w:top w:val="none" w:sz="0" w:space="0" w:color="auto"/>
        <w:left w:val="none" w:sz="0" w:space="0" w:color="auto"/>
        <w:bottom w:val="none" w:sz="0" w:space="0" w:color="auto"/>
        <w:right w:val="none" w:sz="0" w:space="0" w:color="auto"/>
      </w:divBdr>
    </w:div>
    <w:div w:id="242223881">
      <w:bodyDiv w:val="1"/>
      <w:marLeft w:val="0"/>
      <w:marRight w:val="0"/>
      <w:marTop w:val="0"/>
      <w:marBottom w:val="0"/>
      <w:divBdr>
        <w:top w:val="none" w:sz="0" w:space="0" w:color="auto"/>
        <w:left w:val="none" w:sz="0" w:space="0" w:color="auto"/>
        <w:bottom w:val="none" w:sz="0" w:space="0" w:color="auto"/>
        <w:right w:val="none" w:sz="0" w:space="0" w:color="auto"/>
      </w:divBdr>
    </w:div>
    <w:div w:id="320933515">
      <w:bodyDiv w:val="1"/>
      <w:marLeft w:val="0"/>
      <w:marRight w:val="0"/>
      <w:marTop w:val="0"/>
      <w:marBottom w:val="0"/>
      <w:divBdr>
        <w:top w:val="none" w:sz="0" w:space="0" w:color="auto"/>
        <w:left w:val="none" w:sz="0" w:space="0" w:color="auto"/>
        <w:bottom w:val="none" w:sz="0" w:space="0" w:color="auto"/>
        <w:right w:val="none" w:sz="0" w:space="0" w:color="auto"/>
      </w:divBdr>
    </w:div>
    <w:div w:id="342784983">
      <w:bodyDiv w:val="1"/>
      <w:marLeft w:val="0"/>
      <w:marRight w:val="0"/>
      <w:marTop w:val="0"/>
      <w:marBottom w:val="0"/>
      <w:divBdr>
        <w:top w:val="none" w:sz="0" w:space="0" w:color="auto"/>
        <w:left w:val="none" w:sz="0" w:space="0" w:color="auto"/>
        <w:bottom w:val="none" w:sz="0" w:space="0" w:color="auto"/>
        <w:right w:val="none" w:sz="0" w:space="0" w:color="auto"/>
      </w:divBdr>
    </w:div>
    <w:div w:id="379742275">
      <w:bodyDiv w:val="1"/>
      <w:marLeft w:val="0"/>
      <w:marRight w:val="0"/>
      <w:marTop w:val="0"/>
      <w:marBottom w:val="0"/>
      <w:divBdr>
        <w:top w:val="none" w:sz="0" w:space="0" w:color="auto"/>
        <w:left w:val="none" w:sz="0" w:space="0" w:color="auto"/>
        <w:bottom w:val="none" w:sz="0" w:space="0" w:color="auto"/>
        <w:right w:val="none" w:sz="0" w:space="0" w:color="auto"/>
      </w:divBdr>
    </w:div>
    <w:div w:id="382099288">
      <w:bodyDiv w:val="1"/>
      <w:marLeft w:val="0"/>
      <w:marRight w:val="0"/>
      <w:marTop w:val="0"/>
      <w:marBottom w:val="0"/>
      <w:divBdr>
        <w:top w:val="none" w:sz="0" w:space="0" w:color="auto"/>
        <w:left w:val="none" w:sz="0" w:space="0" w:color="auto"/>
        <w:bottom w:val="none" w:sz="0" w:space="0" w:color="auto"/>
        <w:right w:val="none" w:sz="0" w:space="0" w:color="auto"/>
      </w:divBdr>
    </w:div>
    <w:div w:id="385107785">
      <w:bodyDiv w:val="1"/>
      <w:marLeft w:val="0"/>
      <w:marRight w:val="0"/>
      <w:marTop w:val="0"/>
      <w:marBottom w:val="0"/>
      <w:divBdr>
        <w:top w:val="none" w:sz="0" w:space="0" w:color="auto"/>
        <w:left w:val="none" w:sz="0" w:space="0" w:color="auto"/>
        <w:bottom w:val="none" w:sz="0" w:space="0" w:color="auto"/>
        <w:right w:val="none" w:sz="0" w:space="0" w:color="auto"/>
      </w:divBdr>
    </w:div>
    <w:div w:id="416026673">
      <w:bodyDiv w:val="1"/>
      <w:marLeft w:val="0"/>
      <w:marRight w:val="0"/>
      <w:marTop w:val="0"/>
      <w:marBottom w:val="0"/>
      <w:divBdr>
        <w:top w:val="none" w:sz="0" w:space="0" w:color="auto"/>
        <w:left w:val="none" w:sz="0" w:space="0" w:color="auto"/>
        <w:bottom w:val="none" w:sz="0" w:space="0" w:color="auto"/>
        <w:right w:val="none" w:sz="0" w:space="0" w:color="auto"/>
      </w:divBdr>
    </w:div>
    <w:div w:id="423653114">
      <w:bodyDiv w:val="1"/>
      <w:marLeft w:val="0"/>
      <w:marRight w:val="0"/>
      <w:marTop w:val="0"/>
      <w:marBottom w:val="0"/>
      <w:divBdr>
        <w:top w:val="none" w:sz="0" w:space="0" w:color="auto"/>
        <w:left w:val="none" w:sz="0" w:space="0" w:color="auto"/>
        <w:bottom w:val="none" w:sz="0" w:space="0" w:color="auto"/>
        <w:right w:val="none" w:sz="0" w:space="0" w:color="auto"/>
      </w:divBdr>
    </w:div>
    <w:div w:id="434372968">
      <w:bodyDiv w:val="1"/>
      <w:marLeft w:val="0"/>
      <w:marRight w:val="0"/>
      <w:marTop w:val="0"/>
      <w:marBottom w:val="0"/>
      <w:divBdr>
        <w:top w:val="none" w:sz="0" w:space="0" w:color="auto"/>
        <w:left w:val="none" w:sz="0" w:space="0" w:color="auto"/>
        <w:bottom w:val="none" w:sz="0" w:space="0" w:color="auto"/>
        <w:right w:val="none" w:sz="0" w:space="0" w:color="auto"/>
      </w:divBdr>
    </w:div>
    <w:div w:id="435253806">
      <w:bodyDiv w:val="1"/>
      <w:marLeft w:val="0"/>
      <w:marRight w:val="0"/>
      <w:marTop w:val="0"/>
      <w:marBottom w:val="0"/>
      <w:divBdr>
        <w:top w:val="none" w:sz="0" w:space="0" w:color="auto"/>
        <w:left w:val="none" w:sz="0" w:space="0" w:color="auto"/>
        <w:bottom w:val="none" w:sz="0" w:space="0" w:color="auto"/>
        <w:right w:val="none" w:sz="0" w:space="0" w:color="auto"/>
      </w:divBdr>
    </w:div>
    <w:div w:id="440271472">
      <w:bodyDiv w:val="1"/>
      <w:marLeft w:val="0"/>
      <w:marRight w:val="0"/>
      <w:marTop w:val="0"/>
      <w:marBottom w:val="0"/>
      <w:divBdr>
        <w:top w:val="none" w:sz="0" w:space="0" w:color="auto"/>
        <w:left w:val="none" w:sz="0" w:space="0" w:color="auto"/>
        <w:bottom w:val="none" w:sz="0" w:space="0" w:color="auto"/>
        <w:right w:val="none" w:sz="0" w:space="0" w:color="auto"/>
      </w:divBdr>
    </w:div>
    <w:div w:id="462891485">
      <w:bodyDiv w:val="1"/>
      <w:marLeft w:val="0"/>
      <w:marRight w:val="0"/>
      <w:marTop w:val="0"/>
      <w:marBottom w:val="0"/>
      <w:divBdr>
        <w:top w:val="none" w:sz="0" w:space="0" w:color="auto"/>
        <w:left w:val="none" w:sz="0" w:space="0" w:color="auto"/>
        <w:bottom w:val="none" w:sz="0" w:space="0" w:color="auto"/>
        <w:right w:val="none" w:sz="0" w:space="0" w:color="auto"/>
      </w:divBdr>
    </w:div>
    <w:div w:id="478806975">
      <w:bodyDiv w:val="1"/>
      <w:marLeft w:val="0"/>
      <w:marRight w:val="0"/>
      <w:marTop w:val="0"/>
      <w:marBottom w:val="0"/>
      <w:divBdr>
        <w:top w:val="none" w:sz="0" w:space="0" w:color="auto"/>
        <w:left w:val="none" w:sz="0" w:space="0" w:color="auto"/>
        <w:bottom w:val="none" w:sz="0" w:space="0" w:color="auto"/>
        <w:right w:val="none" w:sz="0" w:space="0" w:color="auto"/>
      </w:divBdr>
    </w:div>
    <w:div w:id="508836325">
      <w:bodyDiv w:val="1"/>
      <w:marLeft w:val="0"/>
      <w:marRight w:val="0"/>
      <w:marTop w:val="0"/>
      <w:marBottom w:val="0"/>
      <w:divBdr>
        <w:top w:val="none" w:sz="0" w:space="0" w:color="auto"/>
        <w:left w:val="none" w:sz="0" w:space="0" w:color="auto"/>
        <w:bottom w:val="none" w:sz="0" w:space="0" w:color="auto"/>
        <w:right w:val="none" w:sz="0" w:space="0" w:color="auto"/>
      </w:divBdr>
    </w:div>
    <w:div w:id="524169785">
      <w:bodyDiv w:val="1"/>
      <w:marLeft w:val="0"/>
      <w:marRight w:val="0"/>
      <w:marTop w:val="0"/>
      <w:marBottom w:val="0"/>
      <w:divBdr>
        <w:top w:val="none" w:sz="0" w:space="0" w:color="auto"/>
        <w:left w:val="none" w:sz="0" w:space="0" w:color="auto"/>
        <w:bottom w:val="none" w:sz="0" w:space="0" w:color="auto"/>
        <w:right w:val="none" w:sz="0" w:space="0" w:color="auto"/>
      </w:divBdr>
    </w:div>
    <w:div w:id="600602442">
      <w:bodyDiv w:val="1"/>
      <w:marLeft w:val="0"/>
      <w:marRight w:val="0"/>
      <w:marTop w:val="0"/>
      <w:marBottom w:val="0"/>
      <w:divBdr>
        <w:top w:val="none" w:sz="0" w:space="0" w:color="auto"/>
        <w:left w:val="none" w:sz="0" w:space="0" w:color="auto"/>
        <w:bottom w:val="none" w:sz="0" w:space="0" w:color="auto"/>
        <w:right w:val="none" w:sz="0" w:space="0" w:color="auto"/>
      </w:divBdr>
    </w:div>
    <w:div w:id="639043011">
      <w:bodyDiv w:val="1"/>
      <w:marLeft w:val="0"/>
      <w:marRight w:val="0"/>
      <w:marTop w:val="0"/>
      <w:marBottom w:val="0"/>
      <w:divBdr>
        <w:top w:val="none" w:sz="0" w:space="0" w:color="auto"/>
        <w:left w:val="none" w:sz="0" w:space="0" w:color="auto"/>
        <w:bottom w:val="none" w:sz="0" w:space="0" w:color="auto"/>
        <w:right w:val="none" w:sz="0" w:space="0" w:color="auto"/>
      </w:divBdr>
    </w:div>
    <w:div w:id="639961747">
      <w:bodyDiv w:val="1"/>
      <w:marLeft w:val="0"/>
      <w:marRight w:val="0"/>
      <w:marTop w:val="0"/>
      <w:marBottom w:val="0"/>
      <w:divBdr>
        <w:top w:val="none" w:sz="0" w:space="0" w:color="auto"/>
        <w:left w:val="none" w:sz="0" w:space="0" w:color="auto"/>
        <w:bottom w:val="none" w:sz="0" w:space="0" w:color="auto"/>
        <w:right w:val="none" w:sz="0" w:space="0" w:color="auto"/>
      </w:divBdr>
    </w:div>
    <w:div w:id="695274130">
      <w:bodyDiv w:val="1"/>
      <w:marLeft w:val="0"/>
      <w:marRight w:val="0"/>
      <w:marTop w:val="0"/>
      <w:marBottom w:val="0"/>
      <w:divBdr>
        <w:top w:val="none" w:sz="0" w:space="0" w:color="auto"/>
        <w:left w:val="none" w:sz="0" w:space="0" w:color="auto"/>
        <w:bottom w:val="none" w:sz="0" w:space="0" w:color="auto"/>
        <w:right w:val="none" w:sz="0" w:space="0" w:color="auto"/>
      </w:divBdr>
    </w:div>
    <w:div w:id="701174999">
      <w:bodyDiv w:val="1"/>
      <w:marLeft w:val="0"/>
      <w:marRight w:val="0"/>
      <w:marTop w:val="0"/>
      <w:marBottom w:val="0"/>
      <w:divBdr>
        <w:top w:val="none" w:sz="0" w:space="0" w:color="auto"/>
        <w:left w:val="none" w:sz="0" w:space="0" w:color="auto"/>
        <w:bottom w:val="none" w:sz="0" w:space="0" w:color="auto"/>
        <w:right w:val="none" w:sz="0" w:space="0" w:color="auto"/>
      </w:divBdr>
    </w:div>
    <w:div w:id="721366126">
      <w:bodyDiv w:val="1"/>
      <w:marLeft w:val="0"/>
      <w:marRight w:val="0"/>
      <w:marTop w:val="0"/>
      <w:marBottom w:val="0"/>
      <w:divBdr>
        <w:top w:val="none" w:sz="0" w:space="0" w:color="auto"/>
        <w:left w:val="none" w:sz="0" w:space="0" w:color="auto"/>
        <w:bottom w:val="none" w:sz="0" w:space="0" w:color="auto"/>
        <w:right w:val="none" w:sz="0" w:space="0" w:color="auto"/>
      </w:divBdr>
    </w:div>
    <w:div w:id="725958035">
      <w:bodyDiv w:val="1"/>
      <w:marLeft w:val="0"/>
      <w:marRight w:val="0"/>
      <w:marTop w:val="0"/>
      <w:marBottom w:val="0"/>
      <w:divBdr>
        <w:top w:val="none" w:sz="0" w:space="0" w:color="auto"/>
        <w:left w:val="none" w:sz="0" w:space="0" w:color="auto"/>
        <w:bottom w:val="none" w:sz="0" w:space="0" w:color="auto"/>
        <w:right w:val="none" w:sz="0" w:space="0" w:color="auto"/>
      </w:divBdr>
    </w:div>
    <w:div w:id="731730815">
      <w:bodyDiv w:val="1"/>
      <w:marLeft w:val="0"/>
      <w:marRight w:val="0"/>
      <w:marTop w:val="0"/>
      <w:marBottom w:val="0"/>
      <w:divBdr>
        <w:top w:val="none" w:sz="0" w:space="0" w:color="auto"/>
        <w:left w:val="none" w:sz="0" w:space="0" w:color="auto"/>
        <w:bottom w:val="none" w:sz="0" w:space="0" w:color="auto"/>
        <w:right w:val="none" w:sz="0" w:space="0" w:color="auto"/>
      </w:divBdr>
    </w:div>
    <w:div w:id="776221314">
      <w:bodyDiv w:val="1"/>
      <w:marLeft w:val="0"/>
      <w:marRight w:val="0"/>
      <w:marTop w:val="0"/>
      <w:marBottom w:val="0"/>
      <w:divBdr>
        <w:top w:val="none" w:sz="0" w:space="0" w:color="auto"/>
        <w:left w:val="none" w:sz="0" w:space="0" w:color="auto"/>
        <w:bottom w:val="none" w:sz="0" w:space="0" w:color="auto"/>
        <w:right w:val="none" w:sz="0" w:space="0" w:color="auto"/>
      </w:divBdr>
    </w:div>
    <w:div w:id="784926785">
      <w:bodyDiv w:val="1"/>
      <w:marLeft w:val="0"/>
      <w:marRight w:val="0"/>
      <w:marTop w:val="0"/>
      <w:marBottom w:val="0"/>
      <w:divBdr>
        <w:top w:val="none" w:sz="0" w:space="0" w:color="auto"/>
        <w:left w:val="none" w:sz="0" w:space="0" w:color="auto"/>
        <w:bottom w:val="none" w:sz="0" w:space="0" w:color="auto"/>
        <w:right w:val="none" w:sz="0" w:space="0" w:color="auto"/>
      </w:divBdr>
    </w:div>
    <w:div w:id="808322654">
      <w:bodyDiv w:val="1"/>
      <w:marLeft w:val="0"/>
      <w:marRight w:val="0"/>
      <w:marTop w:val="0"/>
      <w:marBottom w:val="0"/>
      <w:divBdr>
        <w:top w:val="none" w:sz="0" w:space="0" w:color="auto"/>
        <w:left w:val="none" w:sz="0" w:space="0" w:color="auto"/>
        <w:bottom w:val="none" w:sz="0" w:space="0" w:color="auto"/>
        <w:right w:val="none" w:sz="0" w:space="0" w:color="auto"/>
      </w:divBdr>
    </w:div>
    <w:div w:id="837379529">
      <w:bodyDiv w:val="1"/>
      <w:marLeft w:val="0"/>
      <w:marRight w:val="0"/>
      <w:marTop w:val="0"/>
      <w:marBottom w:val="0"/>
      <w:divBdr>
        <w:top w:val="none" w:sz="0" w:space="0" w:color="auto"/>
        <w:left w:val="none" w:sz="0" w:space="0" w:color="auto"/>
        <w:bottom w:val="none" w:sz="0" w:space="0" w:color="auto"/>
        <w:right w:val="none" w:sz="0" w:space="0" w:color="auto"/>
      </w:divBdr>
    </w:div>
    <w:div w:id="861670007">
      <w:bodyDiv w:val="1"/>
      <w:marLeft w:val="0"/>
      <w:marRight w:val="0"/>
      <w:marTop w:val="0"/>
      <w:marBottom w:val="0"/>
      <w:divBdr>
        <w:top w:val="none" w:sz="0" w:space="0" w:color="auto"/>
        <w:left w:val="none" w:sz="0" w:space="0" w:color="auto"/>
        <w:bottom w:val="none" w:sz="0" w:space="0" w:color="auto"/>
        <w:right w:val="none" w:sz="0" w:space="0" w:color="auto"/>
      </w:divBdr>
    </w:div>
    <w:div w:id="871647680">
      <w:bodyDiv w:val="1"/>
      <w:marLeft w:val="0"/>
      <w:marRight w:val="0"/>
      <w:marTop w:val="0"/>
      <w:marBottom w:val="0"/>
      <w:divBdr>
        <w:top w:val="none" w:sz="0" w:space="0" w:color="auto"/>
        <w:left w:val="none" w:sz="0" w:space="0" w:color="auto"/>
        <w:bottom w:val="none" w:sz="0" w:space="0" w:color="auto"/>
        <w:right w:val="none" w:sz="0" w:space="0" w:color="auto"/>
      </w:divBdr>
    </w:div>
    <w:div w:id="884025693">
      <w:bodyDiv w:val="1"/>
      <w:marLeft w:val="0"/>
      <w:marRight w:val="0"/>
      <w:marTop w:val="0"/>
      <w:marBottom w:val="0"/>
      <w:divBdr>
        <w:top w:val="none" w:sz="0" w:space="0" w:color="auto"/>
        <w:left w:val="none" w:sz="0" w:space="0" w:color="auto"/>
        <w:bottom w:val="none" w:sz="0" w:space="0" w:color="auto"/>
        <w:right w:val="none" w:sz="0" w:space="0" w:color="auto"/>
      </w:divBdr>
    </w:div>
    <w:div w:id="919218970">
      <w:bodyDiv w:val="1"/>
      <w:marLeft w:val="0"/>
      <w:marRight w:val="0"/>
      <w:marTop w:val="0"/>
      <w:marBottom w:val="0"/>
      <w:divBdr>
        <w:top w:val="none" w:sz="0" w:space="0" w:color="auto"/>
        <w:left w:val="none" w:sz="0" w:space="0" w:color="auto"/>
        <w:bottom w:val="none" w:sz="0" w:space="0" w:color="auto"/>
        <w:right w:val="none" w:sz="0" w:space="0" w:color="auto"/>
      </w:divBdr>
    </w:div>
    <w:div w:id="948901554">
      <w:bodyDiv w:val="1"/>
      <w:marLeft w:val="0"/>
      <w:marRight w:val="0"/>
      <w:marTop w:val="0"/>
      <w:marBottom w:val="0"/>
      <w:divBdr>
        <w:top w:val="none" w:sz="0" w:space="0" w:color="auto"/>
        <w:left w:val="none" w:sz="0" w:space="0" w:color="auto"/>
        <w:bottom w:val="none" w:sz="0" w:space="0" w:color="auto"/>
        <w:right w:val="none" w:sz="0" w:space="0" w:color="auto"/>
      </w:divBdr>
    </w:div>
    <w:div w:id="993028902">
      <w:bodyDiv w:val="1"/>
      <w:marLeft w:val="0"/>
      <w:marRight w:val="0"/>
      <w:marTop w:val="0"/>
      <w:marBottom w:val="0"/>
      <w:divBdr>
        <w:top w:val="none" w:sz="0" w:space="0" w:color="auto"/>
        <w:left w:val="none" w:sz="0" w:space="0" w:color="auto"/>
        <w:bottom w:val="none" w:sz="0" w:space="0" w:color="auto"/>
        <w:right w:val="none" w:sz="0" w:space="0" w:color="auto"/>
      </w:divBdr>
    </w:div>
    <w:div w:id="994992176">
      <w:bodyDiv w:val="1"/>
      <w:marLeft w:val="0"/>
      <w:marRight w:val="0"/>
      <w:marTop w:val="0"/>
      <w:marBottom w:val="0"/>
      <w:divBdr>
        <w:top w:val="none" w:sz="0" w:space="0" w:color="auto"/>
        <w:left w:val="none" w:sz="0" w:space="0" w:color="auto"/>
        <w:bottom w:val="none" w:sz="0" w:space="0" w:color="auto"/>
        <w:right w:val="none" w:sz="0" w:space="0" w:color="auto"/>
      </w:divBdr>
    </w:div>
    <w:div w:id="996811205">
      <w:bodyDiv w:val="1"/>
      <w:marLeft w:val="0"/>
      <w:marRight w:val="0"/>
      <w:marTop w:val="0"/>
      <w:marBottom w:val="0"/>
      <w:divBdr>
        <w:top w:val="none" w:sz="0" w:space="0" w:color="auto"/>
        <w:left w:val="none" w:sz="0" w:space="0" w:color="auto"/>
        <w:bottom w:val="none" w:sz="0" w:space="0" w:color="auto"/>
        <w:right w:val="none" w:sz="0" w:space="0" w:color="auto"/>
      </w:divBdr>
    </w:div>
    <w:div w:id="1001735601">
      <w:bodyDiv w:val="1"/>
      <w:marLeft w:val="0"/>
      <w:marRight w:val="0"/>
      <w:marTop w:val="0"/>
      <w:marBottom w:val="0"/>
      <w:divBdr>
        <w:top w:val="none" w:sz="0" w:space="0" w:color="auto"/>
        <w:left w:val="none" w:sz="0" w:space="0" w:color="auto"/>
        <w:bottom w:val="none" w:sz="0" w:space="0" w:color="auto"/>
        <w:right w:val="none" w:sz="0" w:space="0" w:color="auto"/>
      </w:divBdr>
    </w:div>
    <w:div w:id="1003238518">
      <w:bodyDiv w:val="1"/>
      <w:marLeft w:val="0"/>
      <w:marRight w:val="0"/>
      <w:marTop w:val="0"/>
      <w:marBottom w:val="0"/>
      <w:divBdr>
        <w:top w:val="none" w:sz="0" w:space="0" w:color="auto"/>
        <w:left w:val="none" w:sz="0" w:space="0" w:color="auto"/>
        <w:bottom w:val="none" w:sz="0" w:space="0" w:color="auto"/>
        <w:right w:val="none" w:sz="0" w:space="0" w:color="auto"/>
      </w:divBdr>
    </w:div>
    <w:div w:id="1024285176">
      <w:bodyDiv w:val="1"/>
      <w:marLeft w:val="0"/>
      <w:marRight w:val="0"/>
      <w:marTop w:val="0"/>
      <w:marBottom w:val="0"/>
      <w:divBdr>
        <w:top w:val="none" w:sz="0" w:space="0" w:color="auto"/>
        <w:left w:val="none" w:sz="0" w:space="0" w:color="auto"/>
        <w:bottom w:val="none" w:sz="0" w:space="0" w:color="auto"/>
        <w:right w:val="none" w:sz="0" w:space="0" w:color="auto"/>
      </w:divBdr>
    </w:div>
    <w:div w:id="1035498841">
      <w:bodyDiv w:val="1"/>
      <w:marLeft w:val="0"/>
      <w:marRight w:val="0"/>
      <w:marTop w:val="0"/>
      <w:marBottom w:val="0"/>
      <w:divBdr>
        <w:top w:val="none" w:sz="0" w:space="0" w:color="auto"/>
        <w:left w:val="none" w:sz="0" w:space="0" w:color="auto"/>
        <w:bottom w:val="none" w:sz="0" w:space="0" w:color="auto"/>
        <w:right w:val="none" w:sz="0" w:space="0" w:color="auto"/>
      </w:divBdr>
    </w:div>
    <w:div w:id="1037387582">
      <w:bodyDiv w:val="1"/>
      <w:marLeft w:val="0"/>
      <w:marRight w:val="0"/>
      <w:marTop w:val="0"/>
      <w:marBottom w:val="0"/>
      <w:divBdr>
        <w:top w:val="none" w:sz="0" w:space="0" w:color="auto"/>
        <w:left w:val="none" w:sz="0" w:space="0" w:color="auto"/>
        <w:bottom w:val="none" w:sz="0" w:space="0" w:color="auto"/>
        <w:right w:val="none" w:sz="0" w:space="0" w:color="auto"/>
      </w:divBdr>
    </w:div>
    <w:div w:id="1097364982">
      <w:bodyDiv w:val="1"/>
      <w:marLeft w:val="0"/>
      <w:marRight w:val="0"/>
      <w:marTop w:val="0"/>
      <w:marBottom w:val="0"/>
      <w:divBdr>
        <w:top w:val="none" w:sz="0" w:space="0" w:color="auto"/>
        <w:left w:val="none" w:sz="0" w:space="0" w:color="auto"/>
        <w:bottom w:val="none" w:sz="0" w:space="0" w:color="auto"/>
        <w:right w:val="none" w:sz="0" w:space="0" w:color="auto"/>
      </w:divBdr>
    </w:div>
    <w:div w:id="1110275973">
      <w:bodyDiv w:val="1"/>
      <w:marLeft w:val="0"/>
      <w:marRight w:val="0"/>
      <w:marTop w:val="0"/>
      <w:marBottom w:val="0"/>
      <w:divBdr>
        <w:top w:val="none" w:sz="0" w:space="0" w:color="auto"/>
        <w:left w:val="none" w:sz="0" w:space="0" w:color="auto"/>
        <w:bottom w:val="none" w:sz="0" w:space="0" w:color="auto"/>
        <w:right w:val="none" w:sz="0" w:space="0" w:color="auto"/>
      </w:divBdr>
    </w:div>
    <w:div w:id="1116023963">
      <w:bodyDiv w:val="1"/>
      <w:marLeft w:val="0"/>
      <w:marRight w:val="0"/>
      <w:marTop w:val="0"/>
      <w:marBottom w:val="0"/>
      <w:divBdr>
        <w:top w:val="none" w:sz="0" w:space="0" w:color="auto"/>
        <w:left w:val="none" w:sz="0" w:space="0" w:color="auto"/>
        <w:bottom w:val="none" w:sz="0" w:space="0" w:color="auto"/>
        <w:right w:val="none" w:sz="0" w:space="0" w:color="auto"/>
      </w:divBdr>
    </w:div>
    <w:div w:id="1140534116">
      <w:bodyDiv w:val="1"/>
      <w:marLeft w:val="0"/>
      <w:marRight w:val="0"/>
      <w:marTop w:val="0"/>
      <w:marBottom w:val="0"/>
      <w:divBdr>
        <w:top w:val="none" w:sz="0" w:space="0" w:color="auto"/>
        <w:left w:val="none" w:sz="0" w:space="0" w:color="auto"/>
        <w:bottom w:val="none" w:sz="0" w:space="0" w:color="auto"/>
        <w:right w:val="none" w:sz="0" w:space="0" w:color="auto"/>
      </w:divBdr>
    </w:div>
    <w:div w:id="1159152368">
      <w:bodyDiv w:val="1"/>
      <w:marLeft w:val="0"/>
      <w:marRight w:val="0"/>
      <w:marTop w:val="0"/>
      <w:marBottom w:val="0"/>
      <w:divBdr>
        <w:top w:val="none" w:sz="0" w:space="0" w:color="auto"/>
        <w:left w:val="none" w:sz="0" w:space="0" w:color="auto"/>
        <w:bottom w:val="none" w:sz="0" w:space="0" w:color="auto"/>
        <w:right w:val="none" w:sz="0" w:space="0" w:color="auto"/>
      </w:divBdr>
    </w:div>
    <w:div w:id="1172643841">
      <w:bodyDiv w:val="1"/>
      <w:marLeft w:val="0"/>
      <w:marRight w:val="0"/>
      <w:marTop w:val="0"/>
      <w:marBottom w:val="0"/>
      <w:divBdr>
        <w:top w:val="none" w:sz="0" w:space="0" w:color="auto"/>
        <w:left w:val="none" w:sz="0" w:space="0" w:color="auto"/>
        <w:bottom w:val="none" w:sz="0" w:space="0" w:color="auto"/>
        <w:right w:val="none" w:sz="0" w:space="0" w:color="auto"/>
      </w:divBdr>
    </w:div>
    <w:div w:id="1175609021">
      <w:bodyDiv w:val="1"/>
      <w:marLeft w:val="0"/>
      <w:marRight w:val="0"/>
      <w:marTop w:val="0"/>
      <w:marBottom w:val="0"/>
      <w:divBdr>
        <w:top w:val="none" w:sz="0" w:space="0" w:color="auto"/>
        <w:left w:val="none" w:sz="0" w:space="0" w:color="auto"/>
        <w:bottom w:val="none" w:sz="0" w:space="0" w:color="auto"/>
        <w:right w:val="none" w:sz="0" w:space="0" w:color="auto"/>
      </w:divBdr>
    </w:div>
    <w:div w:id="1200050817">
      <w:bodyDiv w:val="1"/>
      <w:marLeft w:val="0"/>
      <w:marRight w:val="0"/>
      <w:marTop w:val="0"/>
      <w:marBottom w:val="0"/>
      <w:divBdr>
        <w:top w:val="none" w:sz="0" w:space="0" w:color="auto"/>
        <w:left w:val="none" w:sz="0" w:space="0" w:color="auto"/>
        <w:bottom w:val="none" w:sz="0" w:space="0" w:color="auto"/>
        <w:right w:val="none" w:sz="0" w:space="0" w:color="auto"/>
      </w:divBdr>
    </w:div>
    <w:div w:id="1225338853">
      <w:bodyDiv w:val="1"/>
      <w:marLeft w:val="0"/>
      <w:marRight w:val="0"/>
      <w:marTop w:val="0"/>
      <w:marBottom w:val="0"/>
      <w:divBdr>
        <w:top w:val="none" w:sz="0" w:space="0" w:color="auto"/>
        <w:left w:val="none" w:sz="0" w:space="0" w:color="auto"/>
        <w:bottom w:val="none" w:sz="0" w:space="0" w:color="auto"/>
        <w:right w:val="none" w:sz="0" w:space="0" w:color="auto"/>
      </w:divBdr>
    </w:div>
    <w:div w:id="1237207555">
      <w:bodyDiv w:val="1"/>
      <w:marLeft w:val="0"/>
      <w:marRight w:val="0"/>
      <w:marTop w:val="0"/>
      <w:marBottom w:val="0"/>
      <w:divBdr>
        <w:top w:val="none" w:sz="0" w:space="0" w:color="auto"/>
        <w:left w:val="none" w:sz="0" w:space="0" w:color="auto"/>
        <w:bottom w:val="none" w:sz="0" w:space="0" w:color="auto"/>
        <w:right w:val="none" w:sz="0" w:space="0" w:color="auto"/>
      </w:divBdr>
    </w:div>
    <w:div w:id="1254241164">
      <w:bodyDiv w:val="1"/>
      <w:marLeft w:val="0"/>
      <w:marRight w:val="0"/>
      <w:marTop w:val="0"/>
      <w:marBottom w:val="0"/>
      <w:divBdr>
        <w:top w:val="none" w:sz="0" w:space="0" w:color="auto"/>
        <w:left w:val="none" w:sz="0" w:space="0" w:color="auto"/>
        <w:bottom w:val="none" w:sz="0" w:space="0" w:color="auto"/>
        <w:right w:val="none" w:sz="0" w:space="0" w:color="auto"/>
      </w:divBdr>
    </w:div>
    <w:div w:id="1281184343">
      <w:bodyDiv w:val="1"/>
      <w:marLeft w:val="0"/>
      <w:marRight w:val="0"/>
      <w:marTop w:val="0"/>
      <w:marBottom w:val="0"/>
      <w:divBdr>
        <w:top w:val="none" w:sz="0" w:space="0" w:color="auto"/>
        <w:left w:val="none" w:sz="0" w:space="0" w:color="auto"/>
        <w:bottom w:val="none" w:sz="0" w:space="0" w:color="auto"/>
        <w:right w:val="none" w:sz="0" w:space="0" w:color="auto"/>
      </w:divBdr>
    </w:div>
    <w:div w:id="1296452903">
      <w:bodyDiv w:val="1"/>
      <w:marLeft w:val="0"/>
      <w:marRight w:val="0"/>
      <w:marTop w:val="0"/>
      <w:marBottom w:val="0"/>
      <w:divBdr>
        <w:top w:val="none" w:sz="0" w:space="0" w:color="auto"/>
        <w:left w:val="none" w:sz="0" w:space="0" w:color="auto"/>
        <w:bottom w:val="none" w:sz="0" w:space="0" w:color="auto"/>
        <w:right w:val="none" w:sz="0" w:space="0" w:color="auto"/>
      </w:divBdr>
    </w:div>
    <w:div w:id="1304236529">
      <w:bodyDiv w:val="1"/>
      <w:marLeft w:val="0"/>
      <w:marRight w:val="0"/>
      <w:marTop w:val="0"/>
      <w:marBottom w:val="0"/>
      <w:divBdr>
        <w:top w:val="none" w:sz="0" w:space="0" w:color="auto"/>
        <w:left w:val="none" w:sz="0" w:space="0" w:color="auto"/>
        <w:bottom w:val="none" w:sz="0" w:space="0" w:color="auto"/>
        <w:right w:val="none" w:sz="0" w:space="0" w:color="auto"/>
      </w:divBdr>
    </w:div>
    <w:div w:id="1346708205">
      <w:bodyDiv w:val="1"/>
      <w:marLeft w:val="0"/>
      <w:marRight w:val="0"/>
      <w:marTop w:val="0"/>
      <w:marBottom w:val="0"/>
      <w:divBdr>
        <w:top w:val="none" w:sz="0" w:space="0" w:color="auto"/>
        <w:left w:val="none" w:sz="0" w:space="0" w:color="auto"/>
        <w:bottom w:val="none" w:sz="0" w:space="0" w:color="auto"/>
        <w:right w:val="none" w:sz="0" w:space="0" w:color="auto"/>
      </w:divBdr>
    </w:div>
    <w:div w:id="1347056686">
      <w:bodyDiv w:val="1"/>
      <w:marLeft w:val="0"/>
      <w:marRight w:val="0"/>
      <w:marTop w:val="0"/>
      <w:marBottom w:val="0"/>
      <w:divBdr>
        <w:top w:val="none" w:sz="0" w:space="0" w:color="auto"/>
        <w:left w:val="none" w:sz="0" w:space="0" w:color="auto"/>
        <w:bottom w:val="none" w:sz="0" w:space="0" w:color="auto"/>
        <w:right w:val="none" w:sz="0" w:space="0" w:color="auto"/>
      </w:divBdr>
    </w:div>
    <w:div w:id="1366978840">
      <w:bodyDiv w:val="1"/>
      <w:marLeft w:val="0"/>
      <w:marRight w:val="0"/>
      <w:marTop w:val="0"/>
      <w:marBottom w:val="0"/>
      <w:divBdr>
        <w:top w:val="none" w:sz="0" w:space="0" w:color="auto"/>
        <w:left w:val="none" w:sz="0" w:space="0" w:color="auto"/>
        <w:bottom w:val="none" w:sz="0" w:space="0" w:color="auto"/>
        <w:right w:val="none" w:sz="0" w:space="0" w:color="auto"/>
      </w:divBdr>
    </w:div>
    <w:div w:id="1402024269">
      <w:bodyDiv w:val="1"/>
      <w:marLeft w:val="0"/>
      <w:marRight w:val="0"/>
      <w:marTop w:val="0"/>
      <w:marBottom w:val="0"/>
      <w:divBdr>
        <w:top w:val="none" w:sz="0" w:space="0" w:color="auto"/>
        <w:left w:val="none" w:sz="0" w:space="0" w:color="auto"/>
        <w:bottom w:val="none" w:sz="0" w:space="0" w:color="auto"/>
        <w:right w:val="none" w:sz="0" w:space="0" w:color="auto"/>
      </w:divBdr>
    </w:div>
    <w:div w:id="1433352579">
      <w:bodyDiv w:val="1"/>
      <w:marLeft w:val="0"/>
      <w:marRight w:val="0"/>
      <w:marTop w:val="0"/>
      <w:marBottom w:val="0"/>
      <w:divBdr>
        <w:top w:val="none" w:sz="0" w:space="0" w:color="auto"/>
        <w:left w:val="none" w:sz="0" w:space="0" w:color="auto"/>
        <w:bottom w:val="none" w:sz="0" w:space="0" w:color="auto"/>
        <w:right w:val="none" w:sz="0" w:space="0" w:color="auto"/>
      </w:divBdr>
    </w:div>
    <w:div w:id="1466049402">
      <w:bodyDiv w:val="1"/>
      <w:marLeft w:val="0"/>
      <w:marRight w:val="0"/>
      <w:marTop w:val="0"/>
      <w:marBottom w:val="0"/>
      <w:divBdr>
        <w:top w:val="none" w:sz="0" w:space="0" w:color="auto"/>
        <w:left w:val="none" w:sz="0" w:space="0" w:color="auto"/>
        <w:bottom w:val="none" w:sz="0" w:space="0" w:color="auto"/>
        <w:right w:val="none" w:sz="0" w:space="0" w:color="auto"/>
      </w:divBdr>
    </w:div>
    <w:div w:id="1486972539">
      <w:bodyDiv w:val="1"/>
      <w:marLeft w:val="0"/>
      <w:marRight w:val="0"/>
      <w:marTop w:val="0"/>
      <w:marBottom w:val="0"/>
      <w:divBdr>
        <w:top w:val="none" w:sz="0" w:space="0" w:color="auto"/>
        <w:left w:val="none" w:sz="0" w:space="0" w:color="auto"/>
        <w:bottom w:val="none" w:sz="0" w:space="0" w:color="auto"/>
        <w:right w:val="none" w:sz="0" w:space="0" w:color="auto"/>
      </w:divBdr>
    </w:div>
    <w:div w:id="1502087196">
      <w:bodyDiv w:val="1"/>
      <w:marLeft w:val="0"/>
      <w:marRight w:val="0"/>
      <w:marTop w:val="0"/>
      <w:marBottom w:val="0"/>
      <w:divBdr>
        <w:top w:val="none" w:sz="0" w:space="0" w:color="auto"/>
        <w:left w:val="none" w:sz="0" w:space="0" w:color="auto"/>
        <w:bottom w:val="none" w:sz="0" w:space="0" w:color="auto"/>
        <w:right w:val="none" w:sz="0" w:space="0" w:color="auto"/>
      </w:divBdr>
    </w:div>
    <w:div w:id="1532062101">
      <w:bodyDiv w:val="1"/>
      <w:marLeft w:val="0"/>
      <w:marRight w:val="0"/>
      <w:marTop w:val="0"/>
      <w:marBottom w:val="0"/>
      <w:divBdr>
        <w:top w:val="none" w:sz="0" w:space="0" w:color="auto"/>
        <w:left w:val="none" w:sz="0" w:space="0" w:color="auto"/>
        <w:bottom w:val="none" w:sz="0" w:space="0" w:color="auto"/>
        <w:right w:val="none" w:sz="0" w:space="0" w:color="auto"/>
      </w:divBdr>
    </w:div>
    <w:div w:id="1586455526">
      <w:bodyDiv w:val="1"/>
      <w:marLeft w:val="0"/>
      <w:marRight w:val="0"/>
      <w:marTop w:val="0"/>
      <w:marBottom w:val="0"/>
      <w:divBdr>
        <w:top w:val="none" w:sz="0" w:space="0" w:color="auto"/>
        <w:left w:val="none" w:sz="0" w:space="0" w:color="auto"/>
        <w:bottom w:val="none" w:sz="0" w:space="0" w:color="auto"/>
        <w:right w:val="none" w:sz="0" w:space="0" w:color="auto"/>
      </w:divBdr>
    </w:div>
    <w:div w:id="1591623848">
      <w:bodyDiv w:val="1"/>
      <w:marLeft w:val="0"/>
      <w:marRight w:val="0"/>
      <w:marTop w:val="0"/>
      <w:marBottom w:val="0"/>
      <w:divBdr>
        <w:top w:val="none" w:sz="0" w:space="0" w:color="auto"/>
        <w:left w:val="none" w:sz="0" w:space="0" w:color="auto"/>
        <w:bottom w:val="none" w:sz="0" w:space="0" w:color="auto"/>
        <w:right w:val="none" w:sz="0" w:space="0" w:color="auto"/>
      </w:divBdr>
    </w:div>
    <w:div w:id="1593314688">
      <w:bodyDiv w:val="1"/>
      <w:marLeft w:val="0"/>
      <w:marRight w:val="0"/>
      <w:marTop w:val="0"/>
      <w:marBottom w:val="0"/>
      <w:divBdr>
        <w:top w:val="none" w:sz="0" w:space="0" w:color="auto"/>
        <w:left w:val="none" w:sz="0" w:space="0" w:color="auto"/>
        <w:bottom w:val="none" w:sz="0" w:space="0" w:color="auto"/>
        <w:right w:val="none" w:sz="0" w:space="0" w:color="auto"/>
      </w:divBdr>
    </w:div>
    <w:div w:id="1602032935">
      <w:bodyDiv w:val="1"/>
      <w:marLeft w:val="0"/>
      <w:marRight w:val="0"/>
      <w:marTop w:val="0"/>
      <w:marBottom w:val="0"/>
      <w:divBdr>
        <w:top w:val="none" w:sz="0" w:space="0" w:color="auto"/>
        <w:left w:val="none" w:sz="0" w:space="0" w:color="auto"/>
        <w:bottom w:val="none" w:sz="0" w:space="0" w:color="auto"/>
        <w:right w:val="none" w:sz="0" w:space="0" w:color="auto"/>
      </w:divBdr>
    </w:div>
    <w:div w:id="1647054762">
      <w:bodyDiv w:val="1"/>
      <w:marLeft w:val="0"/>
      <w:marRight w:val="0"/>
      <w:marTop w:val="0"/>
      <w:marBottom w:val="0"/>
      <w:divBdr>
        <w:top w:val="none" w:sz="0" w:space="0" w:color="auto"/>
        <w:left w:val="none" w:sz="0" w:space="0" w:color="auto"/>
        <w:bottom w:val="none" w:sz="0" w:space="0" w:color="auto"/>
        <w:right w:val="none" w:sz="0" w:space="0" w:color="auto"/>
      </w:divBdr>
    </w:div>
    <w:div w:id="1658727905">
      <w:bodyDiv w:val="1"/>
      <w:marLeft w:val="0"/>
      <w:marRight w:val="0"/>
      <w:marTop w:val="0"/>
      <w:marBottom w:val="0"/>
      <w:divBdr>
        <w:top w:val="none" w:sz="0" w:space="0" w:color="auto"/>
        <w:left w:val="none" w:sz="0" w:space="0" w:color="auto"/>
        <w:bottom w:val="none" w:sz="0" w:space="0" w:color="auto"/>
        <w:right w:val="none" w:sz="0" w:space="0" w:color="auto"/>
      </w:divBdr>
    </w:div>
    <w:div w:id="1667325457">
      <w:bodyDiv w:val="1"/>
      <w:marLeft w:val="0"/>
      <w:marRight w:val="0"/>
      <w:marTop w:val="0"/>
      <w:marBottom w:val="0"/>
      <w:divBdr>
        <w:top w:val="none" w:sz="0" w:space="0" w:color="auto"/>
        <w:left w:val="none" w:sz="0" w:space="0" w:color="auto"/>
        <w:bottom w:val="none" w:sz="0" w:space="0" w:color="auto"/>
        <w:right w:val="none" w:sz="0" w:space="0" w:color="auto"/>
      </w:divBdr>
    </w:div>
    <w:div w:id="1697609747">
      <w:bodyDiv w:val="1"/>
      <w:marLeft w:val="0"/>
      <w:marRight w:val="0"/>
      <w:marTop w:val="0"/>
      <w:marBottom w:val="0"/>
      <w:divBdr>
        <w:top w:val="none" w:sz="0" w:space="0" w:color="auto"/>
        <w:left w:val="none" w:sz="0" w:space="0" w:color="auto"/>
        <w:bottom w:val="none" w:sz="0" w:space="0" w:color="auto"/>
        <w:right w:val="none" w:sz="0" w:space="0" w:color="auto"/>
      </w:divBdr>
    </w:div>
    <w:div w:id="1788623770">
      <w:bodyDiv w:val="1"/>
      <w:marLeft w:val="0"/>
      <w:marRight w:val="0"/>
      <w:marTop w:val="0"/>
      <w:marBottom w:val="0"/>
      <w:divBdr>
        <w:top w:val="none" w:sz="0" w:space="0" w:color="auto"/>
        <w:left w:val="none" w:sz="0" w:space="0" w:color="auto"/>
        <w:bottom w:val="none" w:sz="0" w:space="0" w:color="auto"/>
        <w:right w:val="none" w:sz="0" w:space="0" w:color="auto"/>
      </w:divBdr>
    </w:div>
    <w:div w:id="1838883727">
      <w:bodyDiv w:val="1"/>
      <w:marLeft w:val="0"/>
      <w:marRight w:val="0"/>
      <w:marTop w:val="0"/>
      <w:marBottom w:val="0"/>
      <w:divBdr>
        <w:top w:val="none" w:sz="0" w:space="0" w:color="auto"/>
        <w:left w:val="none" w:sz="0" w:space="0" w:color="auto"/>
        <w:bottom w:val="none" w:sz="0" w:space="0" w:color="auto"/>
        <w:right w:val="none" w:sz="0" w:space="0" w:color="auto"/>
      </w:divBdr>
    </w:div>
    <w:div w:id="1844466900">
      <w:bodyDiv w:val="1"/>
      <w:marLeft w:val="0"/>
      <w:marRight w:val="0"/>
      <w:marTop w:val="0"/>
      <w:marBottom w:val="0"/>
      <w:divBdr>
        <w:top w:val="none" w:sz="0" w:space="0" w:color="auto"/>
        <w:left w:val="none" w:sz="0" w:space="0" w:color="auto"/>
        <w:bottom w:val="none" w:sz="0" w:space="0" w:color="auto"/>
        <w:right w:val="none" w:sz="0" w:space="0" w:color="auto"/>
      </w:divBdr>
    </w:div>
    <w:div w:id="1892035564">
      <w:bodyDiv w:val="1"/>
      <w:marLeft w:val="0"/>
      <w:marRight w:val="0"/>
      <w:marTop w:val="0"/>
      <w:marBottom w:val="0"/>
      <w:divBdr>
        <w:top w:val="none" w:sz="0" w:space="0" w:color="auto"/>
        <w:left w:val="none" w:sz="0" w:space="0" w:color="auto"/>
        <w:bottom w:val="none" w:sz="0" w:space="0" w:color="auto"/>
        <w:right w:val="none" w:sz="0" w:space="0" w:color="auto"/>
      </w:divBdr>
    </w:div>
    <w:div w:id="1896618238">
      <w:bodyDiv w:val="1"/>
      <w:marLeft w:val="0"/>
      <w:marRight w:val="0"/>
      <w:marTop w:val="0"/>
      <w:marBottom w:val="0"/>
      <w:divBdr>
        <w:top w:val="none" w:sz="0" w:space="0" w:color="auto"/>
        <w:left w:val="none" w:sz="0" w:space="0" w:color="auto"/>
        <w:bottom w:val="none" w:sz="0" w:space="0" w:color="auto"/>
        <w:right w:val="none" w:sz="0" w:space="0" w:color="auto"/>
      </w:divBdr>
    </w:div>
    <w:div w:id="1977300482">
      <w:bodyDiv w:val="1"/>
      <w:marLeft w:val="0"/>
      <w:marRight w:val="0"/>
      <w:marTop w:val="0"/>
      <w:marBottom w:val="0"/>
      <w:divBdr>
        <w:top w:val="none" w:sz="0" w:space="0" w:color="auto"/>
        <w:left w:val="none" w:sz="0" w:space="0" w:color="auto"/>
        <w:bottom w:val="none" w:sz="0" w:space="0" w:color="auto"/>
        <w:right w:val="none" w:sz="0" w:space="0" w:color="auto"/>
      </w:divBdr>
    </w:div>
    <w:div w:id="1989479571">
      <w:bodyDiv w:val="1"/>
      <w:marLeft w:val="0"/>
      <w:marRight w:val="0"/>
      <w:marTop w:val="0"/>
      <w:marBottom w:val="0"/>
      <w:divBdr>
        <w:top w:val="none" w:sz="0" w:space="0" w:color="auto"/>
        <w:left w:val="none" w:sz="0" w:space="0" w:color="auto"/>
        <w:bottom w:val="none" w:sz="0" w:space="0" w:color="auto"/>
        <w:right w:val="none" w:sz="0" w:space="0" w:color="auto"/>
      </w:divBdr>
    </w:div>
    <w:div w:id="2064867421">
      <w:bodyDiv w:val="1"/>
      <w:marLeft w:val="0"/>
      <w:marRight w:val="0"/>
      <w:marTop w:val="0"/>
      <w:marBottom w:val="0"/>
      <w:divBdr>
        <w:top w:val="none" w:sz="0" w:space="0" w:color="auto"/>
        <w:left w:val="none" w:sz="0" w:space="0" w:color="auto"/>
        <w:bottom w:val="none" w:sz="0" w:space="0" w:color="auto"/>
        <w:right w:val="none" w:sz="0" w:space="0" w:color="auto"/>
      </w:divBdr>
    </w:div>
    <w:div w:id="2068071820">
      <w:bodyDiv w:val="1"/>
      <w:marLeft w:val="0"/>
      <w:marRight w:val="0"/>
      <w:marTop w:val="0"/>
      <w:marBottom w:val="0"/>
      <w:divBdr>
        <w:top w:val="none" w:sz="0" w:space="0" w:color="auto"/>
        <w:left w:val="none" w:sz="0" w:space="0" w:color="auto"/>
        <w:bottom w:val="none" w:sz="0" w:space="0" w:color="auto"/>
        <w:right w:val="none" w:sz="0" w:space="0" w:color="auto"/>
      </w:divBdr>
    </w:div>
    <w:div w:id="2097510546">
      <w:bodyDiv w:val="1"/>
      <w:marLeft w:val="0"/>
      <w:marRight w:val="0"/>
      <w:marTop w:val="0"/>
      <w:marBottom w:val="0"/>
      <w:divBdr>
        <w:top w:val="none" w:sz="0" w:space="0" w:color="auto"/>
        <w:left w:val="none" w:sz="0" w:space="0" w:color="auto"/>
        <w:bottom w:val="none" w:sz="0" w:space="0" w:color="auto"/>
        <w:right w:val="none" w:sz="0" w:space="0" w:color="auto"/>
      </w:divBdr>
    </w:div>
    <w:div w:id="214646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4F2B52A15344EDBEE7A307E807996E"/>
        <w:category>
          <w:name w:val="General"/>
          <w:gallery w:val="placeholder"/>
        </w:category>
        <w:types>
          <w:type w:val="bbPlcHdr"/>
        </w:types>
        <w:behaviors>
          <w:behavior w:val="content"/>
        </w:behaviors>
        <w:guid w:val="{74FD3EEA-F519-4A03-9B76-5193C2B0953C}"/>
      </w:docPartPr>
      <w:docPartBody>
        <w:p w:rsidR="00B27A25" w:rsidRDefault="00B27A25" w:rsidP="00B27A25">
          <w:pPr>
            <w:pStyle w:val="F74F2B52A15344EDBEE7A307E807996E"/>
          </w:pPr>
          <w:r>
            <w:rPr>
              <w:rFonts w:asciiTheme="majorHAnsi" w:eastAsiaTheme="majorEastAsia" w:hAnsiTheme="majorHAnsi" w:cstheme="majorBidi"/>
              <w:caps/>
              <w:color w:val="4472C4" w:themeColor="accent1"/>
              <w:sz w:val="80"/>
              <w:szCs w:val="80"/>
            </w:rPr>
            <w:t>[Document title]</w:t>
          </w:r>
        </w:p>
      </w:docPartBody>
    </w:docPart>
    <w:docPart>
      <w:docPartPr>
        <w:name w:val="AFE8ACFCF35442F4B2F03D61184293AC"/>
        <w:category>
          <w:name w:val="General"/>
          <w:gallery w:val="placeholder"/>
        </w:category>
        <w:types>
          <w:type w:val="bbPlcHdr"/>
        </w:types>
        <w:behaviors>
          <w:behavior w:val="content"/>
        </w:behaviors>
        <w:guid w:val="{5129428D-BF16-4B69-B33E-0DD565DDAF65}"/>
      </w:docPartPr>
      <w:docPartBody>
        <w:p w:rsidR="00B27A25" w:rsidRDefault="00B27A25" w:rsidP="00B27A25">
          <w:pPr>
            <w:pStyle w:val="AFE8ACFCF35442F4B2F03D61184293A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25"/>
    <w:rsid w:val="00B27A25"/>
    <w:rsid w:val="00E8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4F2B52A15344EDBEE7A307E807996E">
    <w:name w:val="F74F2B52A15344EDBEE7A307E807996E"/>
    <w:rsid w:val="00B27A25"/>
  </w:style>
  <w:style w:type="paragraph" w:customStyle="1" w:styleId="AFE8ACFCF35442F4B2F03D61184293AC">
    <w:name w:val="AFE8ACFCF35442F4B2F03D61184293AC"/>
    <w:rsid w:val="00B27A25"/>
  </w:style>
  <w:style w:type="paragraph" w:customStyle="1" w:styleId="9791DCFBFE9C460CB5D9ABDB0AB0EB3D">
    <w:name w:val="9791DCFBFE9C460CB5D9ABDB0AB0EB3D"/>
    <w:rsid w:val="00B27A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2018-02-16T00:00:00</PublishDate>
  <Abstract/>
  <CompanyAddress>University of Calgary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APE18</b:Tag>
    <b:SourceType>InternetSite</b:SourceType>
    <b:Guid>{D87AF3AD-CD3F-4A20-8E32-A0A5FF0E42BF}</b:Guid>
    <b:Author>
      <b:Author>
        <b:Corporate>APEGA</b:Corporate>
      </b:Author>
    </b:Author>
    <b:Title>Engineering and Geoscience Professions Act</b:Title>
    <b:YearAccessed>2018</b:YearAccessed>
    <b:MonthAccessed>February</b:MonthAccessed>
    <b:DayAccessed>10</b:DayAccessed>
    <b:URL>https://www.apega.ca/about-apega/publications/engineering-and-geoscience-professions-act/</b:URL>
    <b:RefOrder>1</b:RefOrder>
  </b:Source>
  <b:Source>
    <b:Tag>APE181</b:Tag>
    <b:SourceType>InternetSite</b:SourceType>
    <b:Guid>{713FB4C1-3F29-4596-B7C1-00F9BF5818EA}</b:Guid>
    <b:Author>
      <b:Author>
        <b:Corporate>APEGA</b:Corporate>
      </b:Author>
    </b:Author>
    <b:YearAccessed>2018</b:YearAccessed>
    <b:MonthAccessed>February</b:MonthAccessed>
    <b:DayAccessed>10</b:DayAccessed>
    <b:URL>https://www.apega.ca/about-apega/</b:URL>
    <b:Title>About APEGA</b:Title>
    <b:RefOrder>2</b:RefOrder>
  </b:Source>
  <b:Source>
    <b:Tag>APE182</b:Tag>
    <b:SourceType>InternetSite</b:SourceType>
    <b:Guid>{759052CD-AAFC-4E89-998D-C99885E70B5E}</b:Guid>
    <b:Author>
      <b:Author>
        <b:Corporate>APEGA</b:Corporate>
      </b:Author>
    </b:Author>
    <b:Title>Board of Examiners</b:Title>
    <b:YearAccessed>2018</b:YearAccessed>
    <b:MonthAccessed>February</b:MonthAccessed>
    <b:DayAccessed>10</b:DayAccessed>
    <b:URL>https://www.apega.ca/about-apega/boards-and-committees/boe/</b:URL>
    <b:RefOrder>3</b:RefOrder>
  </b:Source>
  <b:Source>
    <b:Tag>Alb18</b:Tag>
    <b:SourceType>InternetSite</b:SourceType>
    <b:Guid>{A67603A2-2002-4938-8241-50140AD3B12E}</b:Guid>
    <b:Author>
      <b:Author>
        <b:Corporate>Alberta Human Rights Commission</b:Corporate>
      </b:Author>
    </b:Author>
    <b:Title>About the Commission</b:Title>
    <b:YearAccessed>2018</b:YearAccessed>
    <b:MonthAccessed>February</b:MonthAccessed>
    <b:DayAccessed>10</b:DayAccessed>
    <b:URL>https://www.albertahumanrights.ab.ca/about/Pages/about.aspx</b:URL>
    <b:RefOrder>4</b:RefOrder>
  </b:Source>
  <b:Source>
    <b:Tag>Alb181</b:Tag>
    <b:SourceType>InternetSite</b:SourceType>
    <b:Guid>{C4202BEB-F555-4D8B-B68A-AA0881B5D621}</b:Guid>
    <b:Author>
      <b:Author>
        <b:Corporate>Alberta: Justice and Solicitor General</b:Corporate>
      </b:Author>
    </b:Author>
    <b:Title>Chart of courts in Alberta</b:Title>
    <b:YearAccessed>2018</b:YearAccessed>
    <b:MonthAccessed>February</b:MonthAccessed>
    <b:DayAccessed>10</b:DayAccessed>
    <b:URL>https://justice.alberta.ca/programs_services/courts/Pages/chart_courts_alberta.aspx</b:URL>
    <b:RefOrder>5</b:RefOrder>
  </b:Source>
  <b:Source>
    <b:Tag>Cou18</b:Tag>
    <b:SourceType>InternetSite</b:SourceType>
    <b:Guid>{19170FBD-7E96-4A75-95C2-ECF4D175BF07}</b:Guid>
    <b:Author>
      <b:Author>
        <b:Corporate>Court of Queen's Bench of Alberta</b:Corporate>
      </b:Author>
    </b:Author>
    <b:Title>Jurisdiction and Governance</b:Title>
    <b:YearAccessed>2018</b:YearAccessed>
    <b:MonthAccessed>Ferbruary</b:MonthAccessed>
    <b:DayAccessed>10</b:DayAccessed>
    <b:URL>https://albertacourts.ca/qb/about/jurisdiction-and-governance </b:URL>
    <b:RefOrder>6</b:RefOrder>
  </b:Source>
  <b:Source>
    <b:Tag>Cou181</b:Tag>
    <b:SourceType>InternetSite</b:SourceType>
    <b:Guid>{24AD08A2-A5D3-4E3A-ACFF-682F3330482A}</b:Guid>
    <b:Author>
      <b:Author>
        <b:Corporate>Court of Appeal of Alberta</b:Corporate>
      </b:Author>
    </b:Author>
    <b:Title>Court of Appeal of Alberta</b:Title>
    <b:YearAccessed>2018</b:YearAccessed>
    <b:MonthAccessed>February</b:MonthAccessed>
    <b:DayAccessed>10</b:DayAccessed>
    <b:URL>https://justice.alberta.ca/programs_services/courts/Pages/appeal_courts.aspx </b:URL>
    <b:RefOrder>7</b:RefOrder>
  </b:Source>
  <b:Source>
    <b:Tag>Cou182</b:Tag>
    <b:SourceType>InternetSite</b:SourceType>
    <b:Guid>{B7F6592F-A345-414D-B6A6-9EB4C5D32FAE}</b:Guid>
    <b:Author>
      <b:Author>
        <b:Corporate>Court Appeal of Alberta</b:Corporate>
      </b:Author>
    </b:Author>
    <b:Title>Role and Operation of the Court Appeal of Alberta</b:Title>
    <b:YearAccessed>2018</b:YearAccessed>
    <b:MonthAccessed>February</b:MonthAccessed>
    <b:DayAccessed>10</b:DayAccessed>
    <b:URL>https://albertacourts.ca/ca/about/role-and-operation</b:URL>
    <b:RefOrder>8</b:RefOrder>
  </b:Source>
  <b:Source>
    <b:Tag>Eng18</b:Tag>
    <b:SourceType>InternetSite</b:SourceType>
    <b:Guid>{24744C57-6999-4D03-AE8A-B133DA8DFB26}</b:Guid>
    <b:Author>
      <b:Author>
        <b:Corporate>Engineers Canada</b:Corporate>
      </b:Author>
    </b:Author>
    <b:Title>About Engineers Canada</b:Title>
    <b:YearAccessed>2018</b:YearAccessed>
    <b:MonthAccessed>February</b:MonthAccessed>
    <b:DayAccessed>10</b:DayAccessed>
    <b:URL>https://engineerscanada.ca/about/about-engineers-canada  </b:URL>
    <b:RefOrder>9</b:RefOrder>
  </b:Source>
  <b:Source>
    <b:Tag>Eng181</b:Tag>
    <b:SourceType>InternetSite</b:SourceType>
    <b:Guid>{437005CB-3748-41EC-99F1-7ECBFF38E308}</b:Guid>
    <b:Author>
      <b:Author>
        <b:Corporate>Engineers Canada</b:Corporate>
      </b:Author>
    </b:Author>
    <b:Title>Qualifications Board</b:Title>
    <b:YearAccessed>2018</b:YearAccessed>
    <b:MonthAccessed>February</b:MonthAccessed>
    <b:DayAccessed>10</b:DayAccessed>
    <b:URL>https://engineerscanada.ca/about/committees/board/qualifications-board </b:URL>
    <b:RefOrder>10</b:RefOrder>
  </b:Source>
  <b:Source>
    <b:Tag>Nat18</b:Tag>
    <b:SourceType>InternetSite</b:SourceType>
    <b:Guid>{9BEFF1D7-461D-43A9-99D8-C34416582DED}</b:Guid>
    <b:Author>
      <b:Author>
        <b:Corporate>National Council of Examiners for Engineering and Surveying </b:Corporate>
      </b:Author>
    </b:Author>
    <b:Title>About: National Council of Examiners for Engineering and Surveying (NCEES)</b:Title>
    <b:YearAccessed>2018</b:YearAccessed>
    <b:MonthAccessed>February</b:MonthAccessed>
    <b:DayAccessed>10</b:DayAccessed>
    <b:URL>https://ncees.org/about/ </b:URL>
    <b:RefOrder>11</b:RefOrder>
  </b:Source>
  <b:Source>
    <b:Tag>APE183</b:Tag>
    <b:SourceType>InternetSite</b:SourceType>
    <b:Guid>{11C1AE38-2471-495A-AB4A-B6ECA4B3C00B}</b:Guid>
    <b:Author>
      <b:Author>
        <b:Corporate>APEGA</b:Corporate>
      </b:Author>
    </b:Author>
    <b:Title>Fundamentals of Engineering Exam</b:Title>
    <b:YearAccessed>2018</b:YearAccessed>
    <b:MonthAccessed>February</b:MonthAccessed>
    <b:DayAccessed>10</b:DayAccessed>
    <b:URL>https://www.apega.ca/apply/exams/fundamentals-engineering-exam-fe/ </b:URL>
    <b:RefOrder>12</b:RefOrder>
  </b:Source>
  <b:Source>
    <b:Tag>Cou16</b:Tag>
    <b:SourceType>ElectronicSource</b:SourceType>
    <b:Guid>{1414E2A3-76A5-4FEB-8309-637357E8D62E}</b:Guid>
    <b:Author>
      <b:Author>
        <b:Corporate>Court of Queen's Bench of Alberta</b:Corporate>
      </b:Author>
    </b:Author>
    <b:Title>APEGA v. Mihaly, 2016</b:Title>
    <b:Year>2016</b:Year>
    <b:Publisher>Judicial Centre of Edmonton</b:Publisher>
    <b:City>Edmonton</b:City>
    <b:RefOrder>13</b:RefOrder>
  </b:Source>
  <b:Source>
    <b:Tag>Cou17</b:Tag>
    <b:SourceType>ElectronicSource</b:SourceType>
    <b:Guid>{22167254-140C-4013-8767-06DA8843EF02}</b:Guid>
    <b:Author>
      <b:Author>
        <b:Corporate>Court Appeal of Alberta</b:Corporate>
      </b:Author>
    </b:Author>
    <b:Title>Mihaly v. APEGA</b:Title>
    <b:City>Edmonton</b:City>
    <b:Publisher>Court of Alberta</b:Publisher>
    <b:Year>2017</b:Yea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FD02FA-8299-4B2B-916B-AB50E5A44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3815</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Mr. Mihaly v. APEGA CASE Study</vt:lpstr>
    </vt:vector>
  </TitlesOfParts>
  <Company>For: Dr. Denis Onen</Company>
  <LinksUpToDate>false</LinksUpToDate>
  <CharactersWithSpaces>25516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 Mihaly v. APEGA CASE Study</dc:title>
  <dc:subject>By: Krista Lane Dazo and Junghoon Oh</dc:subject>
  <dc:creator>Krista Lane Dazo</dc:creator>
  <cp:keywords/>
  <dc:description/>
  <cp:lastModifiedBy>Krista Lane Dazo</cp:lastModifiedBy>
  <cp:revision>3</cp:revision>
  <dcterms:created xsi:type="dcterms:W3CDTF">2018-02-17T09:54:00Z</dcterms:created>
  <dcterms:modified xsi:type="dcterms:W3CDTF">2018-02-17T09:55:00Z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