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595959"/>
          <w:sz w:val="22"/>
          <w:szCs w:val="22"/>
        </w:rPr>
        <w:t xml:space="preserve">UNIVERSIDAD — CURSO DE DESARROLLO WEB</w:t>
      </w:r>
    </w:p>
    <w:p>
      <w:pPr>
        <w:spacing w:before="600"/>
        <w:jc w:val="center"/>
      </w:pPr>
      <w:r>
        <w:rPr>
          <w:b/>
          <w:bCs/>
          <w:color w:val="1F3864"/>
          <w:sz w:val="48"/>
          <w:szCs w:val="48"/>
        </w:rPr>
        <w:t xml:space="preserve">DOCUMENTO DE ARQUITECTURA</w:t>
      </w:r>
    </w:p>
    <w:p>
      <w:pPr>
        <w:spacing w:after="600" w:before="120"/>
        <w:jc w:val="center"/>
      </w:pPr>
      <w:r>
        <w:rPr>
          <w:b/>
          <w:bCs/>
          <w:color w:val="2E74B5"/>
          <w:sz w:val="30"/>
          <w:szCs w:val="30"/>
        </w:rPr>
        <w:t xml:space="preserve">HelpDesk — Sistema de Gestión de Tickets de Soporte Técnico</w:t>
      </w:r>
    </w:p>
    <w:p>
      <w:pPr>
        <w:spacing w:after="80"/>
        <w:jc w:val="center"/>
      </w:pPr>
      <w:r>
        <w:rPr>
          <w:i/>
          <w:iCs/>
          <w:color w:val="595959"/>
          <w:sz w:val="20"/>
          <w:szCs w:val="20"/>
        </w:rPr>
        <w:t xml:space="preserve">Arquitectura de microservicios (Node.js/Express/TypeScript/Prisma, MySQL, MongoDB, RabbitMQ, API Gateway Traefik, frontend React/Vite)</w:t>
      </w:r>
    </w:p>
    <w:p>
      <w:pPr>
        <w:spacing w:before="900"/>
        <w:jc w:val="center"/>
      </w:pPr>
      <w:r>
        <w:rPr>
          <w:b/>
          <w:bCs/>
          <w:color w:val="1F3864"/>
          <w:sz w:val="24"/>
          <w:szCs w:val="24"/>
        </w:rPr>
        <w:t xml:space="preserve">Integrantes del equipo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6000"/>
        <w:gridCol w:w="4000"/>
      </w:tblGrid>
      <w:tr>
        <w:trPr>
          <w:tblHeader/>
        </w:trPr>
        <w:tc>
          <w:tcPr>
            <w:tcW w:type="dxa" w:w="6000"/>
            <w:shd w:fill="1F3864" w:color="auto" w:val="clear"/>
            <w:tcMar>
              <w:top w:type="dxa" w:w="80"/>
              <w:left w:type="dxa" w:w="100"/>
              <w:bottom w:type="dxa" w:w="80"/>
              <w:right w:type="dxa" w:w="100"/>
            </w:tcMar>
          </w:tcPr>
          <w:p>
            <w:pPr>
              <w:jc w:val="left"/>
            </w:pPr>
            <w:r>
              <w:rPr>
                <w:b/>
                <w:bCs/>
                <w:color w:val="FFFFFF"/>
                <w:sz w:val="19"/>
                <w:szCs w:val="19"/>
              </w:rPr>
              <w:t xml:space="preserve">Nombre</w:t>
            </w:r>
          </w:p>
        </w:tc>
        <w:tc>
          <w:tcPr>
            <w:tcW w:type="dxa" w:w="4000"/>
            <w:shd w:fill="1F3864" w:color="auto" w:val="clear"/>
            <w:tcMar>
              <w:top w:type="dxa" w:w="80"/>
              <w:left w:type="dxa" w:w="100"/>
              <w:bottom w:type="dxa" w:w="80"/>
              <w:right w:type="dxa" w:w="100"/>
            </w:tcMar>
          </w:tcPr>
          <w:p>
            <w:pPr>
              <w:jc w:val="left"/>
            </w:pPr>
            <w:r>
              <w:rPr>
                <w:b/>
                <w:bCs/>
                <w:color w:val="FFFFFF"/>
                <w:sz w:val="19"/>
                <w:szCs w:val="19"/>
              </w:rPr>
              <w:t xml:space="preserve">Rol en el proyecto</w:t>
            </w:r>
          </w:p>
        </w:tc>
      </w:tr>
      <w:tr>
        <w:tc>
          <w:tcPr>
            <w:tcW w:type="dxa" w:w="6000"/>
            <w:shd w:fill="F2F2F2" w:color="auto" w:val="clear"/>
            <w:tcMar>
              <w:top w:type="dxa" w:w="80"/>
              <w:left w:type="dxa" w:w="100"/>
              <w:bottom w:type="dxa" w:w="80"/>
              <w:right w:type="dxa" w:w="100"/>
            </w:tcMar>
          </w:tcPr>
          <w:p>
            <w:pPr>
              <w:jc w:val="left"/>
            </w:pPr>
            <w:r>
              <w:rPr>
                <w:b w:val="false"/>
                <w:bCs w:val="false"/>
                <w:color w:val="000000"/>
                <w:sz w:val="19"/>
                <w:szCs w:val="19"/>
              </w:rPr>
              <w:t xml:space="preserve">Bryan Gerardo Ascuc de Paz</w:t>
            </w:r>
          </w:p>
        </w:tc>
        <w:tc>
          <w:tcPr>
            <w:tcW w:type="dxa" w:w="4000"/>
            <w:shd w:fill="F2F2F2" w:color="auto" w:val="clear"/>
            <w:tcMar>
              <w:top w:type="dxa" w:w="80"/>
              <w:left w:type="dxa" w:w="100"/>
              <w:bottom w:type="dxa" w:w="80"/>
              <w:right w:type="dxa" w:w="100"/>
            </w:tcMar>
          </w:tcPr>
          <w:p>
            <w:pPr>
              <w:jc w:val="left"/>
            </w:pPr>
            <w:r>
              <w:rPr>
                <w:b w:val="false"/>
                <w:bCs w:val="false"/>
                <w:color w:val="000000"/>
                <w:sz w:val="19"/>
                <w:szCs w:val="19"/>
              </w:rPr>
              <w:t xml:space="preserve">Arquitecto de Software</w:t>
            </w:r>
          </w:p>
        </w:tc>
      </w:tr>
      <w:tr>
        <w:tc>
          <w:tcPr>
            <w:tcW w:type="dxa" w:w="6000"/>
            <w:shd w:fill="FFFFFF" w:color="auto" w:val="clear"/>
            <w:tcMar>
              <w:top w:type="dxa" w:w="80"/>
              <w:left w:type="dxa" w:w="100"/>
              <w:bottom w:type="dxa" w:w="80"/>
              <w:right w:type="dxa" w:w="100"/>
            </w:tcMar>
          </w:tcPr>
          <w:p>
            <w:pPr>
              <w:jc w:val="left"/>
            </w:pPr>
            <w:r>
              <w:rPr>
                <w:b w:val="false"/>
                <w:bCs w:val="false"/>
                <w:color w:val="000000"/>
                <w:sz w:val="19"/>
                <w:szCs w:val="19"/>
              </w:rPr>
              <w:t xml:space="preserve">Ram Kevin Morataya</w:t>
            </w:r>
          </w:p>
        </w:tc>
        <w:tc>
          <w:tcPr>
            <w:tcW w:type="dxa" w:w="4000"/>
            <w:shd w:fill="FFFFFF" w:color="auto" w:val="clear"/>
            <w:tcMar>
              <w:top w:type="dxa" w:w="80"/>
              <w:left w:type="dxa" w:w="100"/>
              <w:bottom w:type="dxa" w:w="80"/>
              <w:right w:type="dxa" w:w="100"/>
            </w:tcMar>
          </w:tcPr>
          <w:p>
            <w:pPr>
              <w:jc w:val="left"/>
            </w:pPr>
            <w:r>
              <w:rPr>
                <w:b w:val="false"/>
                <w:bCs w:val="false"/>
                <w:color w:val="000000"/>
                <w:sz w:val="19"/>
                <w:szCs w:val="19"/>
              </w:rPr>
              <w:t xml:space="preserve">Backend Developer</w:t>
            </w:r>
          </w:p>
        </w:tc>
      </w:tr>
      <w:tr>
        <w:tc>
          <w:tcPr>
            <w:tcW w:type="dxa" w:w="6000"/>
            <w:shd w:fill="F2F2F2" w:color="auto" w:val="clear"/>
            <w:tcMar>
              <w:top w:type="dxa" w:w="80"/>
              <w:left w:type="dxa" w:w="100"/>
              <w:bottom w:type="dxa" w:w="80"/>
              <w:right w:type="dxa" w:w="100"/>
            </w:tcMar>
          </w:tcPr>
          <w:p>
            <w:pPr>
              <w:jc w:val="left"/>
            </w:pPr>
            <w:r>
              <w:rPr>
                <w:b w:val="false"/>
                <w:bCs w:val="false"/>
                <w:color w:val="000000"/>
                <w:sz w:val="19"/>
                <w:szCs w:val="19"/>
              </w:rPr>
              <w:t xml:space="preserve">Geber Mendoza</w:t>
            </w:r>
          </w:p>
        </w:tc>
        <w:tc>
          <w:tcPr>
            <w:tcW w:type="dxa" w:w="4000"/>
            <w:shd w:fill="F2F2F2" w:color="auto" w:val="clear"/>
            <w:tcMar>
              <w:top w:type="dxa" w:w="80"/>
              <w:left w:type="dxa" w:w="100"/>
              <w:bottom w:type="dxa" w:w="80"/>
              <w:right w:type="dxa" w:w="100"/>
            </w:tcMar>
          </w:tcPr>
          <w:p>
            <w:pPr>
              <w:jc w:val="left"/>
            </w:pPr>
            <w:r>
              <w:rPr>
                <w:b w:val="false"/>
                <w:bCs w:val="false"/>
                <w:color w:val="000000"/>
                <w:sz w:val="19"/>
                <w:szCs w:val="19"/>
              </w:rPr>
              <w:t xml:space="preserve">Frontend Developer</w:t>
            </w:r>
          </w:p>
        </w:tc>
      </w:tr>
    </w:tbl>
    <w:p>
      <w:pPr>
        <w:spacing w:before="900"/>
        <w:jc w:val="center"/>
      </w:pPr>
      <w:r>
        <w:rPr>
          <w:sz w:val="21"/>
          <w:szCs w:val="21"/>
        </w:rPr>
        <w:t xml:space="preserve">Curso: Desarrollo Web</w:t>
      </w:r>
    </w:p>
    <w:p>
      <w:pPr>
        <w:jc w:val="center"/>
      </w:pPr>
      <w:r>
        <w:rPr>
          <w:sz w:val="21"/>
          <w:szCs w:val="21"/>
        </w:rPr>
        <w:t xml:space="preserve">Fecha: 1 de octubre de 2026</w:t>
      </w:r>
    </w:p>
    <w:p>
      <w:r>
        <w:br w:type="page"/>
      </w:r>
    </w:p>
    <w:p>
      <w:pPr>
        <w:pStyle w:val="Heading1"/>
        <w:pBdr>
          <w:bottom w:val="single" w:color="2E74B5" w:sz="6" w:space="4"/>
        </w:pBdr>
        <w:spacing w:after="160" w:before="360"/>
      </w:pPr>
      <w:r>
        <w:rPr>
          <w:b/>
          <w:bCs/>
          <w:color w:val="1F3864"/>
          <w:sz w:val="30"/>
          <w:szCs w:val="30"/>
        </w:rPr>
        <w:t xml:space="preserve">1. Resumen ejecutivo</w:t>
      </w:r>
    </w:p>
    <w:p>
      <w:pPr>
        <w:spacing w:after="160" w:line="276"/>
      </w:pPr>
      <w:r>
        <w:rPr>
          <w:sz w:val="21"/>
          <w:szCs w:val="21"/>
        </w:rPr>
        <w:t xml:space="preserve">HelpDesk es un sistema web de gestión de tickets de soporte técnico que permite a una organización recibir, clasificar, asignar, resolver y auditar solicitudes de soporte. El sistema reconoce tres roles de negocio — Usuario solicitante, Técnico y Jefe de Soporte (MASTER) — y gestiona el ciclo de vida completo de un ticket desde su creación hasta su cierre, incluyendo reapertura, cancelación, cumplimiento de SLA y notificaciones.</w:t>
      </w:r>
    </w:p>
    <w:p>
      <w:pPr>
        <w:spacing w:after="160" w:line="276"/>
      </w:pPr>
      <w:r>
        <w:rPr>
          <w:sz w:val="21"/>
          <w:szCs w:val="21"/>
        </w:rPr>
        <w:t xml:space="preserve">El proyecto se desarrolló originalmente como un backend monolítico y fue migrado por completo a una arquitectura de microservicios como ejercicio académico de desacoplamiento de dominios. El monolito original fue dado de baja una vez que los nueve microservicios resultantes quedaron validados de punta a punta mediante una suite de pruebas de contrato (colección Postman/Newman con 117 solicitudes y 229 aserciones).</w:t>
      </w:r>
    </w:p>
    <w:p>
      <w:pPr>
        <w:spacing w:after="160" w:line="276"/>
      </w:pPr>
      <w:r>
        <w:rPr>
          <w:b/>
          <w:bCs/>
          <w:sz w:val="21"/>
          <w:szCs w:val="21"/>
        </w:rPr>
        <w:t xml:space="preserve">Arquitectura resultante: </w:t>
      </w:r>
      <w:r>
        <w:rPr>
          <w:sz w:val="21"/>
          <w:szCs w:val="21"/>
        </w:rPr>
        <w:t xml:space="preserve">9 microservicios independientes en Node.js/Express/TypeScript, cada uno con su propia base de datos (MySQL vía Prisma o MongoDB con driver nativo), comunicados de forma síncrona por HTTP para consultas puntuales entre dominios y de forma asíncrona por eventos sobre RabbitMQ para flujos de notificación y auditoría. Un API Gateway (Traefik) centraliza el enrutamiento hacia los servicios y un frontend SPA en React consume la API expuesta por el gateway.</w:t>
      </w:r>
    </w:p>
    <w:p>
      <w:pPr>
        <w:spacing w:after="160" w:line="276"/>
      </w:pPr>
      <w:r>
        <w:rPr>
          <w:sz w:val="21"/>
          <w:szCs w:val="21"/>
        </w:rPr>
        <w:t xml:space="preserve">Este documento describe la arquitectura general del sistema, su modelo de datos distribuido, el flujo de autenticación basado en JWT, el flujo de colas de mensajería con reintentos y cola de mensajes muertos (DLQ), las responsabilidades de cada integrante del equipo y las buenas prácticas de seguridad aplicadas.</w:t>
      </w:r>
    </w:p>
    <w:p>
      <w:pPr>
        <w:pStyle w:val="Heading1"/>
        <w:pBdr>
          <w:bottom w:val="single" w:color="2E74B5" w:sz="6" w:space="4"/>
        </w:pBdr>
        <w:spacing w:after="160" w:before="360"/>
      </w:pPr>
      <w:r>
        <w:rPr>
          <w:b/>
          <w:bCs/>
          <w:color w:val="1F3864"/>
          <w:sz w:val="30"/>
          <w:szCs w:val="30"/>
        </w:rPr>
        <w:t xml:space="preserve">2. Arquitectura general</w:t>
      </w:r>
    </w:p>
    <w:p>
      <w:pPr>
        <w:spacing w:after="160" w:line="276"/>
      </w:pPr>
      <w:r>
        <w:rPr>
          <w:sz w:val="21"/>
          <w:szCs w:val="21"/>
        </w:rPr>
        <w:t xml:space="preserve">El sistema está organizado en cuatro capas: frontend (SPA), API Gateway, microservicios de dominio y la capa de datos/mensajería. El frontend nunca se comunica directamente con un microservicio: todas las peticiones pasan por el Gateway, que enruta por prefijo de ruta (PathPrefix) hacia el servicio correspondiente. La autenticación y autorización no se delegan al Gateway — cada microservicio valida su propio JWT de forma independiente.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EDEDED" w:color="auto" w:val="clear"/>
            <w:tcMar>
              <w:top w:type="dxa" w:w="200"/>
              <w:left w:type="dxa" w:w="200"/>
              <w:bottom w:type="dxa" w:w="200"/>
              <w:right w:type="dxa" w:w="200"/>
            </w:tcMar>
          </w:tcPr>
          <w:p>
            <w:pPr>
              <w:spacing w:after="20"/>
              <w:jc w:val="left"/>
            </w:pPr>
            <w:r>
              <w:rPr>
                <w:rFonts w:ascii="Consolas" w:cs="Consolas" w:eastAsia="Consolas" w:hAnsi="Consolas"/>
                <w:color w:val="1F3864"/>
                <w:sz w:val="18"/>
                <w:szCs w:val="18"/>
              </w:rPr>
              <w:t xml:space="preserve">┌─────────────────────────────────────────────────────────────────────┐</w:t>
            </w:r>
          </w:p>
          <w:p>
            <w:pPr>
              <w:spacing w:after="20"/>
              <w:jc w:val="left"/>
            </w:pPr>
            <w:r>
              <w:rPr>
                <w:rFonts w:ascii="Consolas" w:cs="Consolas" w:eastAsia="Consolas" w:hAnsi="Consolas"/>
                <w:color w:val="1F3864"/>
                <w:sz w:val="18"/>
                <w:szCs w:val="18"/>
              </w:rPr>
              <w:t xml:space="preserve">│                         FRONTEND (SPA)                                │</w:t>
            </w:r>
          </w:p>
          <w:p>
            <w:pPr>
              <w:spacing w:after="20"/>
              <w:jc w:val="left"/>
            </w:pPr>
            <w:r>
              <w:rPr>
                <w:rFonts w:ascii="Consolas" w:cs="Consolas" w:eastAsia="Consolas" w:hAnsi="Consolas"/>
                <w:color w:val="1F3864"/>
                <w:sz w:val="18"/>
                <w:szCs w:val="18"/>
              </w:rPr>
              <w:t xml:space="preserve">│              React + Vite + TypeScript · puerto 5174                 │</w:t>
            </w:r>
          </w:p>
          <w:p>
            <w:pPr>
              <w:spacing w:after="20"/>
              <w:jc w:val="left"/>
            </w:pPr>
            <w:r>
              <w:rPr>
                <w:rFonts w:ascii="Consolas" w:cs="Consolas" w:eastAsia="Consolas" w:hAnsi="Consolas"/>
                <w:color w:val="1F3864"/>
                <w:sz w:val="18"/>
                <w:szCs w:val="18"/>
              </w:rPr>
              <w:t xml:space="preserve">└───────────────────────────────┬───────────────────────────────────────┘</w:t>
            </w:r>
          </w:p>
          <w:p>
            <w:pPr>
              <w:spacing w:after="20"/>
              <w:jc w:val="left"/>
            </w:pPr>
            <w:r>
              <w:rPr>
                <w:rFonts w:ascii="Consolas" w:cs="Consolas" w:eastAsia="Consolas" w:hAnsi="Consolas"/>
                <w:color w:val="1F3864"/>
                <w:sz w:val="18"/>
                <w:szCs w:val="18"/>
              </w:rPr>
              <w:t xml:space="preserve">                                  │  HTTP/JSON (/api/*)</w:t>
            </w:r>
          </w:p>
          <w:p>
            <w:pPr>
              <w:spacing w:after="20"/>
              <w:jc w:val="left"/>
            </w:pPr>
            <w:r>
              <w:rPr>
                <w:rFonts w:ascii="Consolas" w:cs="Consolas" w:eastAsia="Consolas" w:hAnsi="Consolas"/>
                <w:color w:val="1F3864"/>
                <w:sz w:val="18"/>
                <w:szCs w:val="18"/>
              </w:rPr>
              <w:t xml:space="preserve">┌───────────────────────────────▼───────────────────────────────────────┐</w:t>
            </w:r>
          </w:p>
          <w:p>
            <w:pPr>
              <w:spacing w:after="20"/>
              <w:jc w:val="left"/>
            </w:pPr>
            <w:r>
              <w:rPr>
                <w:rFonts w:ascii="Consolas" w:cs="Consolas" w:eastAsia="Consolas" w:hAnsi="Consolas"/>
                <w:color w:val="1F3864"/>
                <w:sz w:val="18"/>
                <w:szCs w:val="18"/>
              </w:rPr>
              <w:t xml:space="preserve">│                    API GATEWAY — Traefik v3 · puerto 80               │</w:t>
            </w:r>
          </w:p>
          <w:p>
            <w:pPr>
              <w:spacing w:after="20"/>
              <w:jc w:val="left"/>
            </w:pPr>
            <w:r>
              <w:rPr>
                <w:rFonts w:ascii="Consolas" w:cs="Consolas" w:eastAsia="Consolas" w:hAnsi="Consolas"/>
                <w:color w:val="1F3864"/>
                <w:sz w:val="18"/>
                <w:szCs w:val="18"/>
              </w:rPr>
              <w:t xml:space="preserve">│     Enrutamiento estático por PathPrefix (gateway/traefik/dynamic.yml) │</w:t>
            </w:r>
          </w:p>
          <w:p>
            <w:pPr>
              <w:spacing w:after="20"/>
              <w:jc w:val="left"/>
            </w:pPr>
            <w:r>
              <w:rPr>
                <w:rFonts w:ascii="Consolas" w:cs="Consolas" w:eastAsia="Consolas" w:hAnsi="Consolas"/>
                <w:color w:val="1F3864"/>
                <w:sz w:val="18"/>
                <w:szCs w:val="18"/>
              </w:rPr>
              <w:t xml:space="preserve">└──┬──────┬──────┬──────┬──────┬──────┬──────┬──────┬──────┬────────────┘</w:t>
            </w:r>
          </w:p>
          <w:p>
            <w:pPr>
              <w:spacing w:after="20"/>
              <w:jc w:val="left"/>
            </w:pPr>
            <w:r>
              <w:rPr>
                <w:rFonts w:ascii="Consolas" w:cs="Consolas" w:eastAsia="Consolas" w:hAnsi="Consolas"/>
                <w:color w:val="1F3864"/>
                <w:sz w:val="18"/>
                <w:szCs w:val="18"/>
              </w:rPr>
              <w:t xml:space="preserve">   │      │      │      │      │      │      │      │      │</w:t>
            </w:r>
          </w:p>
          <w:p>
            <w:pPr>
              <w:spacing w:after="20"/>
              <w:jc w:val="left"/>
            </w:pPr>
            <w:r>
              <w:rPr>
                <w:rFonts w:ascii="Consolas" w:cs="Consolas" w:eastAsia="Consolas" w:hAnsi="Consolas"/>
                <w:color w:val="1F3864"/>
                <w:sz w:val="18"/>
                <w:szCs w:val="18"/>
              </w:rPr>
              <w:t xml:space="preserve">   ▼      ▼      ▼      ▼      ▼      ▼      ▼      ▼      ▼</w:t>
            </w:r>
          </w:p>
          <w:p>
            <w:pPr>
              <w:spacing w:after="20"/>
              <w:jc w:val="left"/>
            </w:pPr>
            <w:r>
              <w:rPr>
                <w:rFonts w:ascii="Consolas" w:cs="Consolas" w:eastAsia="Consolas" w:hAnsi="Consolas"/>
                <w:color w:val="1F3864"/>
                <w:sz w:val="18"/>
                <w:szCs w:val="18"/>
              </w:rPr>
              <w:t xml:space="preserve"> identity organ. catalog ticket. attach. notif.  audit  report. settings</w:t>
            </w:r>
          </w:p>
          <w:p>
            <w:pPr>
              <w:spacing w:after="20"/>
              <w:jc w:val="left"/>
            </w:pPr>
            <w:r>
              <w:rPr>
                <w:rFonts w:ascii="Consolas" w:cs="Consolas" w:eastAsia="Consolas" w:hAnsi="Consolas"/>
                <w:color w:val="1F3864"/>
                <w:sz w:val="18"/>
                <w:szCs w:val="18"/>
              </w:rPr>
              <w:t xml:space="preserve"> :4001   :4002  :4003  :4004  :4005  :4006  :4007  :4008  :4009</w:t>
            </w:r>
          </w:p>
          <w:p>
            <w:pPr>
              <w:spacing w:after="20"/>
              <w:jc w:val="left"/>
            </w:pPr>
            <w:r>
              <w:rPr>
                <w:rFonts w:ascii="Consolas" w:cs="Consolas" w:eastAsia="Consolas" w:hAnsi="Consolas"/>
                <w:color w:val="1F3864"/>
                <w:sz w:val="18"/>
                <w:szCs w:val="18"/>
              </w:rPr>
              <w:t xml:space="preserve">   │      │      │      │        │      │      │               │</w:t>
            </w:r>
          </w:p>
          <w:p>
            <w:pPr>
              <w:spacing w:after="20"/>
              <w:jc w:val="left"/>
            </w:pPr>
            <w:r>
              <w:rPr>
                <w:rFonts w:ascii="Consolas" w:cs="Consolas" w:eastAsia="Consolas" w:hAnsi="Consolas"/>
                <w:color w:val="1F3864"/>
                <w:sz w:val="18"/>
                <w:szCs w:val="18"/>
              </w:rPr>
              <w:t xml:space="preserve">   └──────┴──────┴──────┘        └──────┴──────┘               │</w:t>
            </w:r>
          </w:p>
          <w:p>
            <w:pPr>
              <w:spacing w:after="20"/>
              <w:jc w:val="left"/>
            </w:pPr>
            <w:r>
              <w:rPr>
                <w:rFonts w:ascii="Consolas" w:cs="Consolas" w:eastAsia="Consolas" w:hAnsi="Consolas"/>
                <w:color w:val="1F3864"/>
                <w:sz w:val="18"/>
                <w:szCs w:val="18"/>
              </w:rPr>
              <w:t xml:space="preserve">        MySQL (Prisma)              MongoDB (driver nativo)      │</w:t>
            </w:r>
          </w:p>
          <w:p>
            <w:pPr>
              <w:spacing w:after="20"/>
              <w:jc w:val="left"/>
            </w:pPr>
            <w:r>
              <w:rPr>
                <w:rFonts w:ascii="Consolas" w:cs="Consolas" w:eastAsia="Consolas" w:hAnsi="Consolas"/>
                <w:color w:val="1F3864"/>
                <w:sz w:val="18"/>
                <w:szCs w:val="18"/>
              </w:rPr>
              <w:t xml:space="preserve">     identity/organization/      attachment/notification/        │</w:t>
            </w:r>
          </w:p>
          <w:p>
            <w:pPr>
              <w:spacing w:after="20"/>
              <w:jc w:val="left"/>
            </w:pPr>
            <w:r>
              <w:rPr>
                <w:rFonts w:ascii="Consolas" w:cs="Consolas" w:eastAsia="Consolas" w:hAnsi="Consolas"/>
                <w:color w:val="1F3864"/>
                <w:sz w:val="18"/>
                <w:szCs w:val="18"/>
              </w:rPr>
              <w:t xml:space="preserve">        catalog/ticketing          audit/settings                │</w:t>
            </w:r>
          </w:p>
          <w:p>
            <w:pPr>
              <w:spacing w:after="20"/>
              <w:jc w:val="left"/>
            </w:pPr>
            <w:r>
              <w:rPr>
                <w:rFonts w:ascii="Consolas" w:cs="Consolas" w:eastAsia="Consolas" w:hAnsi="Consolas"/>
                <w:color w:val="1F3864"/>
                <w:sz w:val="18"/>
                <w:szCs w:val="18"/>
              </w:rPr>
              <w:t xml:space="preserve">                                                                   │</w:t>
            </w:r>
          </w:p>
          <w:p>
            <w:pPr>
              <w:spacing w:after="20"/>
              <w:jc w:val="left"/>
            </w:pPr>
            <w:r>
              <w:rPr>
                <w:rFonts w:ascii="Consolas" w:cs="Consolas" w:eastAsia="Consolas" w:hAnsi="Consolas"/>
                <w:color w:val="1F3864"/>
                <w:sz w:val="18"/>
                <w:szCs w:val="18"/>
              </w:rPr>
              <w:t xml:space="preserve">              Bus de eventos:  RabbitMQ — exchange topic           │</w:t>
            </w:r>
          </w:p>
          <w:p>
            <w:pPr>
              <w:spacing w:after="20"/>
              <w:jc w:val="left"/>
            </w:pPr>
            <w:r>
              <w:rPr>
                <w:rFonts w:ascii="Consolas" w:cs="Consolas" w:eastAsia="Consolas" w:hAnsi="Consolas"/>
                <w:color w:val="1F3864"/>
                <w:sz w:val="18"/>
                <w:szCs w:val="18"/>
              </w:rPr>
              <w:t xml:space="preserve">              'helpdesk.events' (audit.log, notification.create,  │</w:t>
            </w:r>
          </w:p>
          <w:p>
            <w:pPr>
              <w:spacing w:after="20"/>
              <w:jc w:val="left"/>
            </w:pPr>
            <w:r>
              <w:rPr>
                <w:rFonts w:ascii="Consolas" w:cs="Consolas" w:eastAsia="Consolas" w:hAnsi="Consolas"/>
                <w:color w:val="1F3864"/>
                <w:sz w:val="18"/>
                <w:szCs w:val="18"/>
              </w:rPr>
              <w:t xml:space="preserve">               email.send)  ◄──────────────────────────────────────┘</w:t>
            </w:r>
          </w:p>
          <w:p>
            <w:pPr>
              <w:spacing w:after="20"/>
              <w:jc w:val="left"/>
            </w:pPr>
            <w:r>
              <w:rPr>
                <w:rFonts w:ascii="Consolas" w:cs="Consolas" w:eastAsia="Consolas" w:hAnsi="Consolas"/>
                <w:color w:val="1F3864"/>
                <w:sz w:val="18"/>
                <w:szCs w:val="18"/>
              </w:rPr>
              <w:t xml:space="preserve">              reporting-service compone datos vía llamadas HTTP</w:t>
            </w:r>
          </w:p>
          <w:p>
            <w:pPr>
              <w:spacing w:after="20"/>
              <w:jc w:val="left"/>
            </w:pPr>
            <w:r>
              <w:rPr>
                <w:rFonts w:ascii="Consolas" w:cs="Consolas" w:eastAsia="Consolas" w:hAnsi="Consolas"/>
                <w:color w:val="1F3864"/>
                <w:sz w:val="18"/>
                <w:szCs w:val="18"/>
              </w:rPr>
              <w:t xml:space="preserve">              a ticketing/catalog/organization/identity (sin BD propia)</w:t>
            </w:r>
          </w:p>
        </w:tc>
      </w:tr>
    </w:tbl>
    <w:p>
      <w:pPr>
        <w:pStyle w:val="Heading2"/>
        <w:spacing w:after="120" w:before="260"/>
      </w:pPr>
      <w:r>
        <w:rPr>
          <w:b/>
          <w:bCs/>
          <w:color w:val="2E74B5"/>
          <w:sz w:val="24"/>
          <w:szCs w:val="24"/>
        </w:rPr>
        <w:t xml:space="preserve">2.1 Servicios y responsabilidades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2300"/>
        <w:gridCol w:w="4100"/>
      </w:tblGrid>
      <w:tr>
        <w:trPr>
          <w:tblHeader/>
        </w:trPr>
        <w:tc>
          <w:tcPr>
            <w:tcW w:type="dxa" w:w="2600"/>
            <w:shd w:fill="1F3864" w:color="auto" w:val="clear"/>
            <w:tcMar>
              <w:top w:type="dxa" w:w="80"/>
              <w:left w:type="dxa" w:w="100"/>
              <w:bottom w:type="dxa" w:w="80"/>
              <w:right w:type="dxa" w:w="100"/>
            </w:tcMar>
          </w:tcPr>
          <w:p>
            <w:pPr>
              <w:jc w:val="left"/>
            </w:pPr>
            <w:r>
              <w:rPr>
                <w:b/>
                <w:bCs/>
                <w:color w:val="FFFFFF"/>
                <w:sz w:val="19"/>
                <w:szCs w:val="19"/>
              </w:rPr>
              <w:t xml:space="preserve">Servicio</w:t>
            </w:r>
          </w:p>
        </w:tc>
        <w:tc>
          <w:tcPr>
            <w:tcW w:type="dxa" w:w="1000"/>
            <w:shd w:fill="1F3864" w:color="auto" w:val="clear"/>
            <w:tcMar>
              <w:top w:type="dxa" w:w="80"/>
              <w:left w:type="dxa" w:w="100"/>
              <w:bottom w:type="dxa" w:w="80"/>
              <w:right w:type="dxa" w:w="100"/>
            </w:tcMar>
          </w:tcPr>
          <w:p>
            <w:pPr>
              <w:jc w:val="left"/>
            </w:pPr>
            <w:r>
              <w:rPr>
                <w:b/>
                <w:bCs/>
                <w:color w:val="FFFFFF"/>
                <w:sz w:val="19"/>
                <w:szCs w:val="19"/>
              </w:rPr>
              <w:t xml:space="preserve">Puerto</w:t>
            </w:r>
          </w:p>
        </w:tc>
        <w:tc>
          <w:tcPr>
            <w:tcW w:type="dxa" w:w="2300"/>
            <w:shd w:fill="1F3864" w:color="auto" w:val="clear"/>
            <w:tcMar>
              <w:top w:type="dxa" w:w="80"/>
              <w:left w:type="dxa" w:w="100"/>
              <w:bottom w:type="dxa" w:w="80"/>
              <w:right w:type="dxa" w:w="100"/>
            </w:tcMar>
          </w:tcPr>
          <w:p>
            <w:pPr>
              <w:jc w:val="left"/>
            </w:pPr>
            <w:r>
              <w:rPr>
                <w:b/>
                <w:bCs/>
                <w:color w:val="FFFFFF"/>
                <w:sz w:val="19"/>
                <w:szCs w:val="19"/>
              </w:rPr>
              <w:t xml:space="preserve">Base de datos</w:t>
            </w:r>
          </w:p>
        </w:tc>
        <w:tc>
          <w:tcPr>
            <w:tcW w:type="dxa" w:w="4100"/>
            <w:shd w:fill="1F3864" w:color="auto" w:val="clear"/>
            <w:tcMar>
              <w:top w:type="dxa" w:w="80"/>
              <w:left w:type="dxa" w:w="100"/>
              <w:bottom w:type="dxa" w:w="80"/>
              <w:right w:type="dxa" w:w="100"/>
            </w:tcMar>
          </w:tcPr>
          <w:p>
            <w:pPr>
              <w:jc w:val="left"/>
            </w:pPr>
            <w:r>
              <w:rPr>
                <w:b/>
                <w:bCs/>
                <w:color w:val="FFFFFF"/>
                <w:sz w:val="19"/>
                <w:szCs w:val="19"/>
              </w:rPr>
              <w:t xml:space="preserve">Responsabilidad</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identity-service</w:t>
            </w:r>
          </w:p>
        </w:tc>
        <w:tc>
          <w:tcPr>
            <w:tcW w:type="dxa" w:w="1000"/>
            <w:shd w:fill="F2F2F2" w:color="auto" w:val="clear"/>
            <w:tcMar>
              <w:top w:type="dxa" w:w="80"/>
              <w:left w:type="dxa" w:w="100"/>
              <w:bottom w:type="dxa" w:w="80"/>
              <w:right w:type="dxa" w:w="100"/>
            </w:tcMar>
          </w:tcPr>
          <w:p>
            <w:pPr>
              <w:jc w:val="left"/>
            </w:pPr>
            <w:r>
              <w:rPr>
                <w:b w:val="false"/>
                <w:bCs w:val="false"/>
                <w:color w:val="000000"/>
                <w:sz w:val="19"/>
                <w:szCs w:val="19"/>
              </w:rPr>
              <w:t xml:space="preserve">4001</w:t>
            </w:r>
          </w:p>
        </w:tc>
        <w:tc>
          <w:tcPr>
            <w:tcW w:type="dxa" w:w="2300"/>
            <w:shd w:fill="F2F2F2" w:color="auto" w:val="clear"/>
            <w:tcMar>
              <w:top w:type="dxa" w:w="80"/>
              <w:left w:type="dxa" w:w="100"/>
              <w:bottom w:type="dxa" w:w="80"/>
              <w:right w:type="dxa" w:w="100"/>
            </w:tcMar>
          </w:tcPr>
          <w:p>
            <w:pPr>
              <w:jc w:val="left"/>
            </w:pPr>
            <w:r>
              <w:rPr>
                <w:b w:val="false"/>
                <w:bCs w:val="false"/>
                <w:color w:val="000000"/>
                <w:sz w:val="19"/>
                <w:szCs w:val="19"/>
              </w:rPr>
              <w:t xml:space="preserve">MySQL</w:t>
            </w:r>
          </w:p>
        </w:tc>
        <w:tc>
          <w:tcPr>
            <w:tcW w:type="dxa" w:w="4100"/>
            <w:shd w:fill="F2F2F2" w:color="auto" w:val="clear"/>
            <w:tcMar>
              <w:top w:type="dxa" w:w="80"/>
              <w:left w:type="dxa" w:w="100"/>
              <w:bottom w:type="dxa" w:w="80"/>
              <w:right w:type="dxa" w:w="100"/>
            </w:tcMar>
          </w:tcPr>
          <w:p>
            <w:pPr>
              <w:jc w:val="left"/>
            </w:pPr>
            <w:r>
              <w:rPr>
                <w:b w:val="false"/>
                <w:bCs w:val="false"/>
                <w:color w:val="000000"/>
                <w:sz w:val="19"/>
                <w:szCs w:val="19"/>
              </w:rPr>
              <w:t xml:space="preserve">Autenticación, usuarios y roles</w:t>
            </w:r>
          </w:p>
        </w:tc>
      </w:tr>
      <w:tr>
        <w:tc>
          <w:tcPr>
            <w:tcW w:type="dxa" w:w="2600"/>
            <w:shd w:fill="FFFFFF" w:color="auto" w:val="clear"/>
            <w:tcMar>
              <w:top w:type="dxa" w:w="80"/>
              <w:left w:type="dxa" w:w="100"/>
              <w:bottom w:type="dxa" w:w="80"/>
              <w:right w:type="dxa" w:w="100"/>
            </w:tcMar>
          </w:tcPr>
          <w:p>
            <w:pPr>
              <w:jc w:val="left"/>
            </w:pPr>
            <w:r>
              <w:rPr>
                <w:b w:val="false"/>
                <w:bCs w:val="false"/>
                <w:color w:val="000000"/>
                <w:sz w:val="19"/>
                <w:szCs w:val="19"/>
              </w:rPr>
              <w:t xml:space="preserve">organization-service</w:t>
            </w:r>
          </w:p>
        </w:tc>
        <w:tc>
          <w:tcPr>
            <w:tcW w:type="dxa" w:w="1000"/>
            <w:shd w:fill="FFFFFF" w:color="auto" w:val="clear"/>
            <w:tcMar>
              <w:top w:type="dxa" w:w="80"/>
              <w:left w:type="dxa" w:w="100"/>
              <w:bottom w:type="dxa" w:w="80"/>
              <w:right w:type="dxa" w:w="100"/>
            </w:tcMar>
          </w:tcPr>
          <w:p>
            <w:pPr>
              <w:jc w:val="left"/>
            </w:pPr>
            <w:r>
              <w:rPr>
                <w:b w:val="false"/>
                <w:bCs w:val="false"/>
                <w:color w:val="000000"/>
                <w:sz w:val="19"/>
                <w:szCs w:val="19"/>
              </w:rPr>
              <w:t xml:space="preserve">4002</w:t>
            </w:r>
          </w:p>
        </w:tc>
        <w:tc>
          <w:tcPr>
            <w:tcW w:type="dxa" w:w="2300"/>
            <w:shd w:fill="FFFFFF" w:color="auto" w:val="clear"/>
            <w:tcMar>
              <w:top w:type="dxa" w:w="80"/>
              <w:left w:type="dxa" w:w="100"/>
              <w:bottom w:type="dxa" w:w="80"/>
              <w:right w:type="dxa" w:w="100"/>
            </w:tcMar>
          </w:tcPr>
          <w:p>
            <w:pPr>
              <w:jc w:val="left"/>
            </w:pPr>
            <w:r>
              <w:rPr>
                <w:b w:val="false"/>
                <w:bCs w:val="false"/>
                <w:color w:val="000000"/>
                <w:sz w:val="19"/>
                <w:szCs w:val="19"/>
              </w:rPr>
              <w:t xml:space="preserve">MySQL</w:t>
            </w:r>
          </w:p>
        </w:tc>
        <w:tc>
          <w:tcPr>
            <w:tcW w:type="dxa" w:w="4100"/>
            <w:shd w:fill="FFFFFF" w:color="auto" w:val="clear"/>
            <w:tcMar>
              <w:top w:type="dxa" w:w="80"/>
              <w:left w:type="dxa" w:w="100"/>
              <w:bottom w:type="dxa" w:w="80"/>
              <w:right w:type="dxa" w:w="100"/>
            </w:tcMar>
          </w:tcPr>
          <w:p>
            <w:pPr>
              <w:jc w:val="left"/>
            </w:pPr>
            <w:r>
              <w:rPr>
                <w:b w:val="false"/>
                <w:bCs w:val="false"/>
                <w:color w:val="000000"/>
                <w:sz w:val="19"/>
                <w:szCs w:val="19"/>
              </w:rPr>
              <w:t xml:space="preserve">Empresas y departamentos</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catalog-service</w:t>
            </w:r>
          </w:p>
        </w:tc>
        <w:tc>
          <w:tcPr>
            <w:tcW w:type="dxa" w:w="1000"/>
            <w:shd w:fill="F2F2F2" w:color="auto" w:val="clear"/>
            <w:tcMar>
              <w:top w:type="dxa" w:w="80"/>
              <w:left w:type="dxa" w:w="100"/>
              <w:bottom w:type="dxa" w:w="80"/>
              <w:right w:type="dxa" w:w="100"/>
            </w:tcMar>
          </w:tcPr>
          <w:p>
            <w:pPr>
              <w:jc w:val="left"/>
            </w:pPr>
            <w:r>
              <w:rPr>
                <w:b w:val="false"/>
                <w:bCs w:val="false"/>
                <w:color w:val="000000"/>
                <w:sz w:val="19"/>
                <w:szCs w:val="19"/>
              </w:rPr>
              <w:t xml:space="preserve">4003</w:t>
            </w:r>
          </w:p>
        </w:tc>
        <w:tc>
          <w:tcPr>
            <w:tcW w:type="dxa" w:w="2300"/>
            <w:shd w:fill="F2F2F2" w:color="auto" w:val="clear"/>
            <w:tcMar>
              <w:top w:type="dxa" w:w="80"/>
              <w:left w:type="dxa" w:w="100"/>
              <w:bottom w:type="dxa" w:w="80"/>
              <w:right w:type="dxa" w:w="100"/>
            </w:tcMar>
          </w:tcPr>
          <w:p>
            <w:pPr>
              <w:jc w:val="left"/>
            </w:pPr>
            <w:r>
              <w:rPr>
                <w:b w:val="false"/>
                <w:bCs w:val="false"/>
                <w:color w:val="000000"/>
                <w:sz w:val="19"/>
                <w:szCs w:val="19"/>
              </w:rPr>
              <w:t xml:space="preserve">MySQL</w:t>
            </w:r>
          </w:p>
        </w:tc>
        <w:tc>
          <w:tcPr>
            <w:tcW w:type="dxa" w:w="4100"/>
            <w:shd w:fill="F2F2F2" w:color="auto" w:val="clear"/>
            <w:tcMar>
              <w:top w:type="dxa" w:w="80"/>
              <w:left w:type="dxa" w:w="100"/>
              <w:bottom w:type="dxa" w:w="80"/>
              <w:right w:type="dxa" w:w="100"/>
            </w:tcMar>
          </w:tcPr>
          <w:p>
            <w:pPr>
              <w:jc w:val="left"/>
            </w:pPr>
            <w:r>
              <w:rPr>
                <w:b w:val="false"/>
                <w:bCs w:val="false"/>
                <w:color w:val="000000"/>
                <w:sz w:val="19"/>
                <w:szCs w:val="19"/>
              </w:rPr>
              <w:t xml:space="preserve">Categorías, subcategorías, prioridades y SLA, estados</w:t>
            </w:r>
          </w:p>
        </w:tc>
      </w:tr>
      <w:tr>
        <w:tc>
          <w:tcPr>
            <w:tcW w:type="dxa" w:w="2600"/>
            <w:shd w:fill="FFFFFF" w:color="auto" w:val="clear"/>
            <w:tcMar>
              <w:top w:type="dxa" w:w="80"/>
              <w:left w:type="dxa" w:w="100"/>
              <w:bottom w:type="dxa" w:w="80"/>
              <w:right w:type="dxa" w:w="100"/>
            </w:tcMar>
          </w:tcPr>
          <w:p>
            <w:pPr>
              <w:jc w:val="left"/>
            </w:pPr>
            <w:r>
              <w:rPr>
                <w:b w:val="false"/>
                <w:bCs w:val="false"/>
                <w:color w:val="000000"/>
                <w:sz w:val="19"/>
                <w:szCs w:val="19"/>
              </w:rPr>
              <w:t xml:space="preserve">ticketing-service</w:t>
            </w:r>
          </w:p>
        </w:tc>
        <w:tc>
          <w:tcPr>
            <w:tcW w:type="dxa" w:w="1000"/>
            <w:shd w:fill="FFFFFF" w:color="auto" w:val="clear"/>
            <w:tcMar>
              <w:top w:type="dxa" w:w="80"/>
              <w:left w:type="dxa" w:w="100"/>
              <w:bottom w:type="dxa" w:w="80"/>
              <w:right w:type="dxa" w:w="100"/>
            </w:tcMar>
          </w:tcPr>
          <w:p>
            <w:pPr>
              <w:jc w:val="left"/>
            </w:pPr>
            <w:r>
              <w:rPr>
                <w:b w:val="false"/>
                <w:bCs w:val="false"/>
                <w:color w:val="000000"/>
                <w:sz w:val="19"/>
                <w:szCs w:val="19"/>
              </w:rPr>
              <w:t xml:space="preserve">4004</w:t>
            </w:r>
          </w:p>
        </w:tc>
        <w:tc>
          <w:tcPr>
            <w:tcW w:type="dxa" w:w="2300"/>
            <w:shd w:fill="FFFFFF" w:color="auto" w:val="clear"/>
            <w:tcMar>
              <w:top w:type="dxa" w:w="80"/>
              <w:left w:type="dxa" w:w="100"/>
              <w:bottom w:type="dxa" w:w="80"/>
              <w:right w:type="dxa" w:w="100"/>
            </w:tcMar>
          </w:tcPr>
          <w:p>
            <w:pPr>
              <w:jc w:val="left"/>
            </w:pPr>
            <w:r>
              <w:rPr>
                <w:b w:val="false"/>
                <w:bCs w:val="false"/>
                <w:color w:val="000000"/>
                <w:sz w:val="19"/>
                <w:szCs w:val="19"/>
              </w:rPr>
              <w:t xml:space="preserve">MySQL</w:t>
            </w:r>
          </w:p>
        </w:tc>
        <w:tc>
          <w:tcPr>
            <w:tcW w:type="dxa" w:w="4100"/>
            <w:shd w:fill="FFFFFF" w:color="auto" w:val="clear"/>
            <w:tcMar>
              <w:top w:type="dxa" w:w="80"/>
              <w:left w:type="dxa" w:w="100"/>
              <w:bottom w:type="dxa" w:w="80"/>
              <w:right w:type="dxa" w:w="100"/>
            </w:tcMar>
          </w:tcPr>
          <w:p>
            <w:pPr>
              <w:jc w:val="left"/>
            </w:pPr>
            <w:r>
              <w:rPr>
                <w:b w:val="false"/>
                <w:bCs w:val="false"/>
                <w:color w:val="000000"/>
                <w:sz w:val="19"/>
                <w:szCs w:val="19"/>
              </w:rPr>
              <w:t xml:space="preserve">Núcleo del ciclo de vida del ticket</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attachment-service</w:t>
            </w:r>
          </w:p>
        </w:tc>
        <w:tc>
          <w:tcPr>
            <w:tcW w:type="dxa" w:w="1000"/>
            <w:shd w:fill="F2F2F2" w:color="auto" w:val="clear"/>
            <w:tcMar>
              <w:top w:type="dxa" w:w="80"/>
              <w:left w:type="dxa" w:w="100"/>
              <w:bottom w:type="dxa" w:w="80"/>
              <w:right w:type="dxa" w:w="100"/>
            </w:tcMar>
          </w:tcPr>
          <w:p>
            <w:pPr>
              <w:jc w:val="left"/>
            </w:pPr>
            <w:r>
              <w:rPr>
                <w:b w:val="false"/>
                <w:bCs w:val="false"/>
                <w:color w:val="000000"/>
                <w:sz w:val="19"/>
                <w:szCs w:val="19"/>
              </w:rPr>
              <w:t xml:space="preserve">4005</w:t>
            </w:r>
          </w:p>
        </w:tc>
        <w:tc>
          <w:tcPr>
            <w:tcW w:type="dxa" w:w="2300"/>
            <w:shd w:fill="F2F2F2" w:color="auto" w:val="clear"/>
            <w:tcMar>
              <w:top w:type="dxa" w:w="80"/>
              <w:left w:type="dxa" w:w="100"/>
              <w:bottom w:type="dxa" w:w="80"/>
              <w:right w:type="dxa" w:w="100"/>
            </w:tcMar>
          </w:tcPr>
          <w:p>
            <w:pPr>
              <w:jc w:val="left"/>
            </w:pPr>
            <w:r>
              <w:rPr>
                <w:b w:val="false"/>
                <w:bCs w:val="false"/>
                <w:color w:val="000000"/>
                <w:sz w:val="19"/>
                <w:szCs w:val="19"/>
              </w:rPr>
              <w:t xml:space="preserve">MongoDB</w:t>
            </w:r>
          </w:p>
        </w:tc>
        <w:tc>
          <w:tcPr>
            <w:tcW w:type="dxa" w:w="4100"/>
            <w:shd w:fill="F2F2F2" w:color="auto" w:val="clear"/>
            <w:tcMar>
              <w:top w:type="dxa" w:w="80"/>
              <w:left w:type="dxa" w:w="100"/>
              <w:bottom w:type="dxa" w:w="80"/>
              <w:right w:type="dxa" w:w="100"/>
            </w:tcMar>
          </w:tcPr>
          <w:p>
            <w:pPr>
              <w:jc w:val="left"/>
            </w:pPr>
            <w:r>
              <w:rPr>
                <w:b w:val="false"/>
                <w:bCs w:val="false"/>
                <w:color w:val="000000"/>
                <w:sz w:val="19"/>
                <w:szCs w:val="19"/>
              </w:rPr>
              <w:t xml:space="preserve">Adjuntos de tickets (metadatos + archivo)</w:t>
            </w:r>
          </w:p>
        </w:tc>
      </w:tr>
      <w:tr>
        <w:tc>
          <w:tcPr>
            <w:tcW w:type="dxa" w:w="2600"/>
            <w:shd w:fill="FFFFFF" w:color="auto" w:val="clear"/>
            <w:tcMar>
              <w:top w:type="dxa" w:w="80"/>
              <w:left w:type="dxa" w:w="100"/>
              <w:bottom w:type="dxa" w:w="80"/>
              <w:right w:type="dxa" w:w="100"/>
            </w:tcMar>
          </w:tcPr>
          <w:p>
            <w:pPr>
              <w:jc w:val="left"/>
            </w:pPr>
            <w:r>
              <w:rPr>
                <w:b w:val="false"/>
                <w:bCs w:val="false"/>
                <w:color w:val="000000"/>
                <w:sz w:val="19"/>
                <w:szCs w:val="19"/>
              </w:rPr>
              <w:t xml:space="preserve">notification-service</w:t>
            </w:r>
          </w:p>
        </w:tc>
        <w:tc>
          <w:tcPr>
            <w:tcW w:type="dxa" w:w="1000"/>
            <w:shd w:fill="FFFFFF" w:color="auto" w:val="clear"/>
            <w:tcMar>
              <w:top w:type="dxa" w:w="80"/>
              <w:left w:type="dxa" w:w="100"/>
              <w:bottom w:type="dxa" w:w="80"/>
              <w:right w:type="dxa" w:w="100"/>
            </w:tcMar>
          </w:tcPr>
          <w:p>
            <w:pPr>
              <w:jc w:val="left"/>
            </w:pPr>
            <w:r>
              <w:rPr>
                <w:b w:val="false"/>
                <w:bCs w:val="false"/>
                <w:color w:val="000000"/>
                <w:sz w:val="19"/>
                <w:szCs w:val="19"/>
              </w:rPr>
              <w:t xml:space="preserve">4006</w:t>
            </w:r>
          </w:p>
        </w:tc>
        <w:tc>
          <w:tcPr>
            <w:tcW w:type="dxa" w:w="2300"/>
            <w:shd w:fill="FFFFFF" w:color="auto" w:val="clear"/>
            <w:tcMar>
              <w:top w:type="dxa" w:w="80"/>
              <w:left w:type="dxa" w:w="100"/>
              <w:bottom w:type="dxa" w:w="80"/>
              <w:right w:type="dxa" w:w="100"/>
            </w:tcMar>
          </w:tcPr>
          <w:p>
            <w:pPr>
              <w:jc w:val="left"/>
            </w:pPr>
            <w:r>
              <w:rPr>
                <w:b w:val="false"/>
                <w:bCs w:val="false"/>
                <w:color w:val="000000"/>
                <w:sz w:val="19"/>
                <w:szCs w:val="19"/>
              </w:rPr>
              <w:t xml:space="preserve">MongoDB</w:t>
            </w:r>
          </w:p>
        </w:tc>
        <w:tc>
          <w:tcPr>
            <w:tcW w:type="dxa" w:w="4100"/>
            <w:shd w:fill="FFFFFF" w:color="auto" w:val="clear"/>
            <w:tcMar>
              <w:top w:type="dxa" w:w="80"/>
              <w:left w:type="dxa" w:w="100"/>
              <w:bottom w:type="dxa" w:w="80"/>
              <w:right w:type="dxa" w:w="100"/>
            </w:tcMar>
          </w:tcPr>
          <w:p>
            <w:pPr>
              <w:jc w:val="left"/>
            </w:pPr>
            <w:r>
              <w:rPr>
                <w:b w:val="false"/>
                <w:bCs w:val="false"/>
                <w:color w:val="000000"/>
                <w:sz w:val="19"/>
                <w:szCs w:val="19"/>
              </w:rPr>
              <w:t xml:space="preserve">Notificaciones internas y envío simulado de correo</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audit-service</w:t>
            </w:r>
          </w:p>
        </w:tc>
        <w:tc>
          <w:tcPr>
            <w:tcW w:type="dxa" w:w="1000"/>
            <w:shd w:fill="F2F2F2" w:color="auto" w:val="clear"/>
            <w:tcMar>
              <w:top w:type="dxa" w:w="80"/>
              <w:left w:type="dxa" w:w="100"/>
              <w:bottom w:type="dxa" w:w="80"/>
              <w:right w:type="dxa" w:w="100"/>
            </w:tcMar>
          </w:tcPr>
          <w:p>
            <w:pPr>
              <w:jc w:val="left"/>
            </w:pPr>
            <w:r>
              <w:rPr>
                <w:b w:val="false"/>
                <w:bCs w:val="false"/>
                <w:color w:val="000000"/>
                <w:sz w:val="19"/>
                <w:szCs w:val="19"/>
              </w:rPr>
              <w:t xml:space="preserve">4007</w:t>
            </w:r>
          </w:p>
        </w:tc>
        <w:tc>
          <w:tcPr>
            <w:tcW w:type="dxa" w:w="2300"/>
            <w:shd w:fill="F2F2F2" w:color="auto" w:val="clear"/>
            <w:tcMar>
              <w:top w:type="dxa" w:w="80"/>
              <w:left w:type="dxa" w:w="100"/>
              <w:bottom w:type="dxa" w:w="80"/>
              <w:right w:type="dxa" w:w="100"/>
            </w:tcMar>
          </w:tcPr>
          <w:p>
            <w:pPr>
              <w:jc w:val="left"/>
            </w:pPr>
            <w:r>
              <w:rPr>
                <w:b w:val="false"/>
                <w:bCs w:val="false"/>
                <w:color w:val="000000"/>
                <w:sz w:val="19"/>
                <w:szCs w:val="19"/>
              </w:rPr>
              <w:t xml:space="preserve">MongoDB</w:t>
            </w:r>
          </w:p>
        </w:tc>
        <w:tc>
          <w:tcPr>
            <w:tcW w:type="dxa" w:w="4100"/>
            <w:shd w:fill="F2F2F2" w:color="auto" w:val="clear"/>
            <w:tcMar>
              <w:top w:type="dxa" w:w="80"/>
              <w:left w:type="dxa" w:w="100"/>
              <w:bottom w:type="dxa" w:w="80"/>
              <w:right w:type="dxa" w:w="100"/>
            </w:tcMar>
          </w:tcPr>
          <w:p>
            <w:pPr>
              <w:jc w:val="left"/>
            </w:pPr>
            <w:r>
              <w:rPr>
                <w:b w:val="false"/>
                <w:bCs w:val="false"/>
                <w:color w:val="000000"/>
                <w:sz w:val="19"/>
                <w:szCs w:val="19"/>
              </w:rPr>
              <w:t xml:space="preserve">Bitácora de auditoría</w:t>
            </w:r>
          </w:p>
        </w:tc>
      </w:tr>
      <w:tr>
        <w:tc>
          <w:tcPr>
            <w:tcW w:type="dxa" w:w="2600"/>
            <w:shd w:fill="FFFFFF" w:color="auto" w:val="clear"/>
            <w:tcMar>
              <w:top w:type="dxa" w:w="80"/>
              <w:left w:type="dxa" w:w="100"/>
              <w:bottom w:type="dxa" w:w="80"/>
              <w:right w:type="dxa" w:w="100"/>
            </w:tcMar>
          </w:tcPr>
          <w:p>
            <w:pPr>
              <w:jc w:val="left"/>
            </w:pPr>
            <w:r>
              <w:rPr>
                <w:b w:val="false"/>
                <w:bCs w:val="false"/>
                <w:color w:val="000000"/>
                <w:sz w:val="19"/>
                <w:szCs w:val="19"/>
              </w:rPr>
              <w:t xml:space="preserve">reporting-service</w:t>
            </w:r>
          </w:p>
        </w:tc>
        <w:tc>
          <w:tcPr>
            <w:tcW w:type="dxa" w:w="1000"/>
            <w:shd w:fill="FFFFFF" w:color="auto" w:val="clear"/>
            <w:tcMar>
              <w:top w:type="dxa" w:w="80"/>
              <w:left w:type="dxa" w:w="100"/>
              <w:bottom w:type="dxa" w:w="80"/>
              <w:right w:type="dxa" w:w="100"/>
            </w:tcMar>
          </w:tcPr>
          <w:p>
            <w:pPr>
              <w:jc w:val="left"/>
            </w:pPr>
            <w:r>
              <w:rPr>
                <w:b w:val="false"/>
                <w:bCs w:val="false"/>
                <w:color w:val="000000"/>
                <w:sz w:val="19"/>
                <w:szCs w:val="19"/>
              </w:rPr>
              <w:t xml:space="preserve">4008</w:t>
            </w:r>
          </w:p>
        </w:tc>
        <w:tc>
          <w:tcPr>
            <w:tcW w:type="dxa" w:w="2300"/>
            <w:shd w:fill="FFFFFF" w:color="auto" w:val="clear"/>
            <w:tcMar>
              <w:top w:type="dxa" w:w="80"/>
              <w:left w:type="dxa" w:w="100"/>
              <w:bottom w:type="dxa" w:w="80"/>
              <w:right w:type="dxa" w:w="100"/>
            </w:tcMar>
          </w:tcPr>
          <w:p>
            <w:pPr>
              <w:jc w:val="left"/>
            </w:pPr>
            <w:r>
              <w:rPr>
                <w:b w:val="false"/>
                <w:bCs w:val="false"/>
                <w:color w:val="000000"/>
                <w:sz w:val="19"/>
                <w:szCs w:val="19"/>
              </w:rPr>
              <w:t xml:space="preserve">— (composición vía API)</w:t>
            </w:r>
          </w:p>
        </w:tc>
        <w:tc>
          <w:tcPr>
            <w:tcW w:type="dxa" w:w="4100"/>
            <w:shd w:fill="FFFFFF" w:color="auto" w:val="clear"/>
            <w:tcMar>
              <w:top w:type="dxa" w:w="80"/>
              <w:left w:type="dxa" w:w="100"/>
              <w:bottom w:type="dxa" w:w="80"/>
              <w:right w:type="dxa" w:w="100"/>
            </w:tcMar>
          </w:tcPr>
          <w:p>
            <w:pPr>
              <w:jc w:val="left"/>
            </w:pPr>
            <w:r>
              <w:rPr>
                <w:b w:val="false"/>
                <w:bCs w:val="false"/>
                <w:color w:val="000000"/>
                <w:sz w:val="19"/>
                <w:szCs w:val="19"/>
              </w:rPr>
              <w:t xml:space="preserve">Dashboard y reportes agregados</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settings-service</w:t>
            </w:r>
          </w:p>
        </w:tc>
        <w:tc>
          <w:tcPr>
            <w:tcW w:type="dxa" w:w="1000"/>
            <w:shd w:fill="F2F2F2" w:color="auto" w:val="clear"/>
            <w:tcMar>
              <w:top w:type="dxa" w:w="80"/>
              <w:left w:type="dxa" w:w="100"/>
              <w:bottom w:type="dxa" w:w="80"/>
              <w:right w:type="dxa" w:w="100"/>
            </w:tcMar>
          </w:tcPr>
          <w:p>
            <w:pPr>
              <w:jc w:val="left"/>
            </w:pPr>
            <w:r>
              <w:rPr>
                <w:b w:val="false"/>
                <w:bCs w:val="false"/>
                <w:color w:val="000000"/>
                <w:sz w:val="19"/>
                <w:szCs w:val="19"/>
              </w:rPr>
              <w:t xml:space="preserve">4009</w:t>
            </w:r>
          </w:p>
        </w:tc>
        <w:tc>
          <w:tcPr>
            <w:tcW w:type="dxa" w:w="2300"/>
            <w:shd w:fill="F2F2F2" w:color="auto" w:val="clear"/>
            <w:tcMar>
              <w:top w:type="dxa" w:w="80"/>
              <w:left w:type="dxa" w:w="100"/>
              <w:bottom w:type="dxa" w:w="80"/>
              <w:right w:type="dxa" w:w="100"/>
            </w:tcMar>
          </w:tcPr>
          <w:p>
            <w:pPr>
              <w:jc w:val="left"/>
            </w:pPr>
            <w:r>
              <w:rPr>
                <w:b w:val="false"/>
                <w:bCs w:val="false"/>
                <w:color w:val="000000"/>
                <w:sz w:val="19"/>
                <w:szCs w:val="19"/>
              </w:rPr>
              <w:t xml:space="preserve">MongoDB</w:t>
            </w:r>
          </w:p>
        </w:tc>
        <w:tc>
          <w:tcPr>
            <w:tcW w:type="dxa" w:w="4100"/>
            <w:shd w:fill="F2F2F2" w:color="auto" w:val="clear"/>
            <w:tcMar>
              <w:top w:type="dxa" w:w="80"/>
              <w:left w:type="dxa" w:w="100"/>
              <w:bottom w:type="dxa" w:w="80"/>
              <w:right w:type="dxa" w:w="100"/>
            </w:tcMar>
          </w:tcPr>
          <w:p>
            <w:pPr>
              <w:jc w:val="left"/>
            </w:pPr>
            <w:r>
              <w:rPr>
                <w:b w:val="false"/>
                <w:bCs w:val="false"/>
                <w:color w:val="000000"/>
                <w:sz w:val="19"/>
                <w:szCs w:val="19"/>
              </w:rPr>
              <w:t xml:space="preserve">Configuración global del sistema</w:t>
            </w:r>
          </w:p>
        </w:tc>
      </w:tr>
    </w:tbl>
    <w:p>
      <w:pPr>
        <w:pStyle w:val="Heading2"/>
        <w:spacing w:after="120" w:before="260"/>
      </w:pPr>
      <w:r>
        <w:rPr>
          <w:b/>
          <w:bCs/>
          <w:color w:val="2E74B5"/>
          <w:sz w:val="24"/>
          <w:szCs w:val="24"/>
        </w:rPr>
        <w:t xml:space="preserve">2.2 Decisiones de diseño relevantes</w:t>
      </w:r>
    </w:p>
    <w:p>
      <w:pPr>
        <w:pStyle w:val="ListParagraph"/>
        <w:numPr>
          <w:ilvl w:val="0"/>
          <w:numId w:val="2"/>
        </w:numPr>
        <w:spacing w:after="90"/>
      </w:pPr>
      <w:r>
        <w:rPr>
          <w:sz w:val="21"/>
          <w:szCs w:val="21"/>
        </w:rPr>
        <w:t xml:space="preserve">El Gateway usa un provider de archivo estático (file provider) en vez de descubrimiento por labels de Docker, por limitaciones del entorno de desarrollo; el enrutamiento se define explícitamente en dynamic.yml.</w:t>
      </w:r>
    </w:p>
    <w:p>
      <w:pPr>
        <w:pStyle w:val="ListParagraph"/>
        <w:numPr>
          <w:ilvl w:val="0"/>
          <w:numId w:val="2"/>
        </w:numPr>
        <w:spacing w:after="90"/>
      </w:pPr>
      <w:r>
        <w:rPr>
          <w:sz w:val="21"/>
          <w:szCs w:val="21"/>
        </w:rPr>
        <w:t xml:space="preserve">Las dependencias entre servicios se clasifican como duras (bases de datos y RabbitMQ, verificadas con depends_on + healthcheck) o blandas (llamadas HTTP puntuales a otro servicio, como ticketing-service consultando catalog-service al crear un ticket): una dependencia blanda caída solo falla ese endpoint puntual, no el arranque del contenedor.</w:t>
      </w:r>
    </w:p>
    <w:p>
      <w:pPr>
        <w:pStyle w:val="ListParagraph"/>
        <w:numPr>
          <w:ilvl w:val="0"/>
          <w:numId w:val="2"/>
        </w:numPr>
        <w:spacing w:after="90"/>
      </w:pPr>
      <w:r>
        <w:rPr>
          <w:sz w:val="21"/>
          <w:szCs w:val="21"/>
        </w:rPr>
        <w:t xml:space="preserve">reporting-service no mantiene una base de datos propia replicada por eventos (no se usó CQRS): compone sus reportes en tiempo real llamando por HTTP a ticketing, catalog, organization e identity. Es una decisión consciente documentada como 'Fase 9' del plan de migración.</w:t>
      </w:r>
    </w:p>
    <w:p>
      <w:pPr>
        <w:pStyle w:val="ListParagraph"/>
        <w:numPr>
          <w:ilvl w:val="0"/>
          <w:numId w:val="2"/>
        </w:numPr>
        <w:spacing w:after="90"/>
      </w:pPr>
      <w:r>
        <w:rPr>
          <w:sz w:val="21"/>
          <w:szCs w:val="21"/>
        </w:rPr>
        <w:t xml:space="preserve">Cada microservicio con base relacional usa Prisma con un esquema propio y sin relaciones cross-servicio: las referencias a entidades de otro dominio (p. ej. companyId en un usuario) se guardan como IDs sueltos, validados vía HTTP cuando es necesario, porque Prisma no soporta relaciones entre distintos datasources.</w:t>
      </w:r>
    </w:p>
    <w:p>
      <w:r>
        <w:br w:type="page"/>
      </w:r>
    </w:p>
    <w:p>
      <w:pPr>
        <w:pStyle w:val="Heading1"/>
        <w:pBdr>
          <w:bottom w:val="single" w:color="2E74B5" w:sz="6" w:space="4"/>
        </w:pBdr>
        <w:spacing w:after="160" w:before="360"/>
      </w:pPr>
      <w:r>
        <w:rPr>
          <w:b/>
          <w:bCs/>
          <w:color w:val="1F3864"/>
          <w:sz w:val="30"/>
          <w:szCs w:val="30"/>
        </w:rPr>
        <w:t xml:space="preserve">3. Modelo de datos</w:t>
      </w:r>
    </w:p>
    <w:p>
      <w:pPr>
        <w:spacing w:after="160" w:line="276"/>
      </w:pPr>
      <w:r>
        <w:rPr>
          <w:sz w:val="21"/>
          <w:szCs w:val="21"/>
        </w:rPr>
        <w:t xml:space="preserve">El modelo de datos está distribuido: cada microservicio de dominio relacional tiene su propia base MySQL con un esquema Prisma independiente, y cada microservicio de dominio documental tiene su propia base MongoDB con colecciones administradas mediante el driver nativo (sin ODM). No existe una base de datos compartida entre servicios.</w:t>
      </w:r>
    </w:p>
    <w:p>
      <w:pPr>
        <w:pStyle w:val="Heading2"/>
        <w:spacing w:after="120" w:before="260"/>
      </w:pPr>
      <w:r>
        <w:rPr>
          <w:b/>
          <w:bCs/>
          <w:color w:val="2E74B5"/>
          <w:sz w:val="24"/>
          <w:szCs w:val="24"/>
        </w:rPr>
        <w:t xml:space="preserve">3.1 Entidades relacionales (MySQL / Prisma)</w:t>
      </w:r>
    </w:p>
    <w:p>
      <w:pPr>
        <w:pStyle w:val="Heading3"/>
        <w:spacing w:after="100" w:before="200"/>
      </w:pPr>
      <w:r>
        <w:rPr>
          <w:b/>
          <w:bCs/>
          <w:color w:val="595959"/>
          <w:sz w:val="21"/>
          <w:szCs w:val="21"/>
        </w:rPr>
        <w:t xml:space="preserve">identity-service</w:t>
      </w:r>
    </w:p>
    <w:p>
      <w:pPr>
        <w:pStyle w:val="ListParagraph"/>
        <w:numPr>
          <w:ilvl w:val="0"/>
          <w:numId w:val="2"/>
        </w:numPr>
        <w:spacing w:after="90"/>
      </w:pPr>
      <w:r>
        <w:rPr>
          <w:sz w:val="21"/>
          <w:szCs w:val="21"/>
        </w:rPr>
        <w:t xml:space="preserve">Role (code: MASTER / TECNICO / USUARIO, name, description)</w:t>
      </w:r>
    </w:p>
    <w:p>
      <w:pPr>
        <w:pStyle w:val="ListParagraph"/>
        <w:numPr>
          <w:ilvl w:val="0"/>
          <w:numId w:val="2"/>
        </w:numPr>
        <w:spacing w:after="90"/>
      </w:pPr>
      <w:r>
        <w:rPr>
          <w:sz w:val="21"/>
          <w:szCs w:val="21"/>
        </w:rPr>
        <w:t xml:space="preserve">User (name, email único, passwordHash, phone, position, roleId → Role, companyId/departmentId como IDs sueltos, status, avatarUrl, lastLoginAt)</w:t>
      </w:r>
    </w:p>
    <w:p>
      <w:pPr>
        <w:pStyle w:val="ListParagraph"/>
        <w:numPr>
          <w:ilvl w:val="0"/>
          <w:numId w:val="2"/>
        </w:numPr>
        <w:spacing w:after="90"/>
      </w:pPr>
      <w:r>
        <w:rPr>
          <w:sz w:val="21"/>
          <w:szCs w:val="21"/>
        </w:rPr>
        <w:t xml:space="preserve">RefreshToken (userId → User, tokenHash único, expiresAt, revokedAt)</w:t>
      </w:r>
    </w:p>
    <w:p>
      <w:pPr>
        <w:pStyle w:val="ListParagraph"/>
        <w:numPr>
          <w:ilvl w:val="0"/>
          <w:numId w:val="2"/>
        </w:numPr>
        <w:spacing w:after="90"/>
      </w:pPr>
      <w:r>
        <w:rPr>
          <w:sz w:val="21"/>
          <w:szCs w:val="21"/>
        </w:rPr>
        <w:t xml:space="preserve">PasswordReset (userId → User, tokenHash único, expiresAt, usedAt)</w:t>
      </w:r>
    </w:p>
    <w:p>
      <w:pPr>
        <w:pStyle w:val="Heading3"/>
        <w:spacing w:after="100" w:before="200"/>
      </w:pPr>
      <w:r>
        <w:rPr>
          <w:b/>
          <w:bCs/>
          <w:color w:val="595959"/>
          <w:sz w:val="21"/>
          <w:szCs w:val="21"/>
        </w:rPr>
        <w:t xml:space="preserve">organization-service</w:t>
      </w:r>
    </w:p>
    <w:p>
      <w:pPr>
        <w:pStyle w:val="ListParagraph"/>
        <w:numPr>
          <w:ilvl w:val="0"/>
          <w:numId w:val="2"/>
        </w:numPr>
        <w:spacing w:after="90"/>
      </w:pPr>
      <w:r>
        <w:rPr>
          <w:sz w:val="21"/>
          <w:szCs w:val="21"/>
        </w:rPr>
        <w:t xml:space="preserve">Company (name único, status) 1—N Department</w:t>
      </w:r>
    </w:p>
    <w:p>
      <w:pPr>
        <w:pStyle w:val="ListParagraph"/>
        <w:numPr>
          <w:ilvl w:val="0"/>
          <w:numId w:val="2"/>
        </w:numPr>
        <w:spacing w:after="90"/>
      </w:pPr>
      <w:r>
        <w:rPr>
          <w:sz w:val="21"/>
          <w:szCs w:val="21"/>
        </w:rPr>
        <w:t xml:space="preserve">Department (companyId → Company, name, unique [companyId, name])</w:t>
      </w:r>
    </w:p>
    <w:p>
      <w:pPr>
        <w:pStyle w:val="Heading3"/>
        <w:spacing w:after="100" w:before="200"/>
      </w:pPr>
      <w:r>
        <w:rPr>
          <w:b/>
          <w:bCs/>
          <w:color w:val="595959"/>
          <w:sz w:val="21"/>
          <w:szCs w:val="21"/>
        </w:rPr>
        <w:t xml:space="preserve">catalog-service</w:t>
      </w:r>
    </w:p>
    <w:p>
      <w:pPr>
        <w:pStyle w:val="ListParagraph"/>
        <w:numPr>
          <w:ilvl w:val="0"/>
          <w:numId w:val="2"/>
        </w:numPr>
        <w:spacing w:after="90"/>
      </w:pPr>
      <w:r>
        <w:rPr>
          <w:sz w:val="21"/>
          <w:szCs w:val="21"/>
        </w:rPr>
        <w:t xml:space="preserve">TicketCategory 1—N TicketSubcategory</w:t>
      </w:r>
    </w:p>
    <w:p>
      <w:pPr>
        <w:pStyle w:val="ListParagraph"/>
        <w:numPr>
          <w:ilvl w:val="0"/>
          <w:numId w:val="2"/>
        </w:numPr>
        <w:spacing w:after="90"/>
      </w:pPr>
      <w:r>
        <w:rPr>
          <w:sz w:val="21"/>
          <w:szCs w:val="21"/>
        </w:rPr>
        <w:t xml:space="preserve">TicketPriority (code: CRITICA/ALTA/MEDIA/BAJA) 1—1 SlaConfiguration (responseMinutes, resolutionHours)</w:t>
      </w:r>
    </w:p>
    <w:p>
      <w:pPr>
        <w:pStyle w:val="ListParagraph"/>
        <w:numPr>
          <w:ilvl w:val="0"/>
          <w:numId w:val="2"/>
        </w:numPr>
        <w:spacing w:after="90"/>
      </w:pPr>
      <w:r>
        <w:rPr>
          <w:sz w:val="21"/>
          <w:szCs w:val="21"/>
        </w:rPr>
        <w:t xml:space="preserve">TicketStatus (code, 9 estados del ciclo de vida, isClosed)</w:t>
      </w:r>
    </w:p>
    <w:p>
      <w:pPr>
        <w:pStyle w:val="Heading3"/>
        <w:spacing w:after="100" w:before="200"/>
      </w:pPr>
      <w:r>
        <w:rPr>
          <w:b/>
          <w:bCs/>
          <w:color w:val="595959"/>
          <w:sz w:val="21"/>
          <w:szCs w:val="21"/>
        </w:rPr>
        <w:t xml:space="preserve">ticketing-service (modelo central)</w:t>
      </w:r>
    </w:p>
    <w:p>
      <w:pPr>
        <w:pStyle w:val="ListParagraph"/>
        <w:numPr>
          <w:ilvl w:val="0"/>
          <w:numId w:val="2"/>
        </w:numPr>
        <w:spacing w:after="90"/>
      </w:pPr>
      <w:r>
        <w:rPr>
          <w:sz w:val="21"/>
          <w:szCs w:val="21"/>
        </w:rPr>
        <w:t xml:space="preserve">Ticket (ticketNumber único TKT-AAAA-NNNNNN, userId/categoryId/subcategoryId/priorityId/statusId/companyId/departmentId/assignedTechnicianId como referencias débiles a otros servicios, snapshot de datos del solicitante, fechas de SLA, firstResponseAt/resolvedAt/closedAt, reopenedCount)</w:t>
      </w:r>
    </w:p>
    <w:p>
      <w:pPr>
        <w:pStyle w:val="ListParagraph"/>
        <w:numPr>
          <w:ilvl w:val="0"/>
          <w:numId w:val="2"/>
        </w:numPr>
        <w:spacing w:after="90"/>
      </w:pPr>
      <w:r>
        <w:rPr>
          <w:sz w:val="21"/>
          <w:szCs w:val="21"/>
        </w:rPr>
        <w:t xml:space="preserve">TicketComment, TicketHistory (acción: CREATED/ASSIGNED/REASSIGNED/STATUS_CHANGED/.../ATTACHMENT_ADDED/TICKET_EDITED), TicketAssignment, TicketSolution — todos hijos de Ticket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EDEDED" w:color="auto" w:val="clear"/>
            <w:tcMar>
              <w:top w:type="dxa" w:w="200"/>
              <w:left w:type="dxa" w:w="200"/>
              <w:bottom w:type="dxa" w:w="200"/>
              <w:right w:type="dxa" w:w="200"/>
            </w:tcMar>
          </w:tcPr>
          <w:p>
            <w:pPr>
              <w:spacing w:after="20"/>
              <w:jc w:val="left"/>
            </w:pPr>
            <w:r>
              <w:rPr>
                <w:rFonts w:ascii="Consolas" w:cs="Consolas" w:eastAsia="Consolas" w:hAnsi="Consolas"/>
                <w:color w:val="1F3864"/>
                <w:sz w:val="18"/>
                <w:szCs w:val="18"/>
              </w:rPr>
              <w:t xml:space="preserve">roles ──&lt; users ──&lt; tickets &gt;── ticket_history</w:t>
            </w:r>
          </w:p>
          <w:p>
            <w:pPr>
              <w:spacing w:after="20"/>
              <w:jc w:val="left"/>
            </w:pPr>
            <w:r>
              <w:rPr>
                <w:rFonts w:ascii="Consolas" w:cs="Consolas" w:eastAsia="Consolas" w:hAnsi="Consolas"/>
                <w:color w:val="1F3864"/>
                <w:sz w:val="18"/>
                <w:szCs w:val="18"/>
              </w:rPr>
              <w:t xml:space="preserve">companies ──&lt; departments          │</w:t>
            </w:r>
          </w:p>
          <w:p>
            <w:pPr>
              <w:spacing w:after="20"/>
              <w:jc w:val="left"/>
            </w:pPr>
            <w:r>
              <w:rPr>
                <w:rFonts w:ascii="Consolas" w:cs="Consolas" w:eastAsia="Consolas" w:hAnsi="Consolas"/>
                <w:color w:val="1F3864"/>
                <w:sz w:val="18"/>
                <w:szCs w:val="18"/>
              </w:rPr>
              <w:t xml:space="preserve">companies ──&lt; users                ├──&lt; ticket_comments</w:t>
            </w:r>
          </w:p>
          <w:p>
            <w:pPr>
              <w:spacing w:after="20"/>
              <w:jc w:val="left"/>
            </w:pPr>
            <w:r>
              <w:rPr>
                <w:rFonts w:ascii="Consolas" w:cs="Consolas" w:eastAsia="Consolas" w:hAnsi="Consolas"/>
                <w:color w:val="1F3864"/>
                <w:sz w:val="18"/>
                <w:szCs w:val="18"/>
              </w:rPr>
              <w:t xml:space="preserve">departments ──&lt; users              ├──&lt; ticket_assignments</w:t>
            </w:r>
          </w:p>
          <w:p>
            <w:pPr>
              <w:spacing w:after="20"/>
              <w:jc w:val="left"/>
            </w:pPr>
            <w:r>
              <w:rPr>
                <w:rFonts w:ascii="Consolas" w:cs="Consolas" w:eastAsia="Consolas" w:hAnsi="Consolas"/>
                <w:color w:val="1F3864"/>
                <w:sz w:val="18"/>
                <w:szCs w:val="18"/>
              </w:rPr>
              <w:t xml:space="preserve">ticket_categories ──&lt; subcategories ├──&lt; ticket_solutions</w:t>
            </w:r>
          </w:p>
          <w:p>
            <w:pPr>
              <w:spacing w:after="20"/>
              <w:jc w:val="left"/>
            </w:pPr>
            <w:r>
              <w:rPr>
                <w:rFonts w:ascii="Consolas" w:cs="Consolas" w:eastAsia="Consolas" w:hAnsi="Consolas"/>
                <w:color w:val="1F3864"/>
                <w:sz w:val="18"/>
                <w:szCs w:val="18"/>
              </w:rPr>
              <w:t xml:space="preserve">ticket_categories ──&lt; tickets      │</w:t>
            </w:r>
          </w:p>
          <w:p>
            <w:pPr>
              <w:spacing w:after="20"/>
              <w:jc w:val="left"/>
            </w:pPr>
            <w:r>
              <w:rPr>
                <w:rFonts w:ascii="Consolas" w:cs="Consolas" w:eastAsia="Consolas" w:hAnsi="Consolas"/>
                <w:color w:val="1F3864"/>
                <w:sz w:val="18"/>
                <w:szCs w:val="18"/>
              </w:rPr>
              <w:t xml:space="preserve">ticket_priorities ──1:1── sla_configurations</w:t>
            </w:r>
          </w:p>
          <w:p>
            <w:pPr>
              <w:spacing w:after="20"/>
              <w:jc w:val="left"/>
            </w:pPr>
            <w:r>
              <w:rPr>
                <w:rFonts w:ascii="Consolas" w:cs="Consolas" w:eastAsia="Consolas" w:hAnsi="Consolas"/>
                <w:color w:val="1F3864"/>
                <w:sz w:val="18"/>
                <w:szCs w:val="18"/>
              </w:rPr>
              <w:t xml:space="preserve">ticket_priorities ──&lt; tickets</w:t>
            </w:r>
          </w:p>
          <w:p>
            <w:pPr>
              <w:spacing w:after="20"/>
              <w:jc w:val="left"/>
            </w:pPr>
            <w:r>
              <w:rPr>
                <w:rFonts w:ascii="Consolas" w:cs="Consolas" w:eastAsia="Consolas" w:hAnsi="Consolas"/>
                <w:color w:val="1F3864"/>
                <w:sz w:val="18"/>
                <w:szCs w:val="18"/>
              </w:rPr>
              <w:t xml:space="preserve">ticket_statuses ──&lt; tickets</w:t>
            </w:r>
          </w:p>
          <w:p>
            <w:pPr>
              <w:spacing w:after="20"/>
              <w:jc w:val="left"/>
            </w:pPr>
            <w:r>
              <w:rPr>
                <w:rFonts w:ascii="Consolas" w:cs="Consolas" w:eastAsia="Consolas" w:hAnsi="Consolas"/>
                <w:color w:val="1F3864"/>
                <w:sz w:val="18"/>
                <w:szCs w:val="18"/>
              </w:rPr>
              <w:t xml:space="preserve">users (técnico) ──&lt; tickets.assignedTechnicianId</w:t>
            </w:r>
          </w:p>
          <w:p>
            <w:pPr>
              <w:spacing w:after="20"/>
              <w:jc w:val="left"/>
            </w:pPr>
            <w:r>
              <w:rPr>
                <w:rFonts w:ascii="Consolas" w:cs="Consolas" w:eastAsia="Consolas" w:hAnsi="Consolas"/>
                <w:color w:val="1F3864"/>
                <w:sz w:val="18"/>
                <w:szCs w:val="18"/>
              </w:rPr>
              <w:t xml:space="preserve"/>
            </w:r>
          </w:p>
          <w:p>
            <w:pPr>
              <w:spacing w:after="20"/>
              <w:jc w:val="left"/>
            </w:pPr>
            <w:r>
              <w:rPr>
                <w:rFonts w:ascii="Consolas" w:cs="Consolas" w:eastAsia="Consolas" w:hAnsi="Consolas"/>
                <w:color w:val="1F3864"/>
                <w:sz w:val="18"/>
                <w:szCs w:val="18"/>
              </w:rPr>
              <w:t xml:space="preserve">Nota: las referencias marcadas en Ticket hacia otros servicios</w:t>
            </w:r>
          </w:p>
          <w:p>
            <w:pPr>
              <w:spacing w:after="20"/>
              <w:jc w:val="left"/>
            </w:pPr>
            <w:r>
              <w:rPr>
                <w:rFonts w:ascii="Consolas" w:cs="Consolas" w:eastAsia="Consolas" w:hAnsi="Consolas"/>
                <w:color w:val="1F3864"/>
                <w:sz w:val="18"/>
                <w:szCs w:val="18"/>
              </w:rPr>
              <w:t xml:space="preserve">(companyId, categoryId, userId técnico, etc.) son IDs sueltos sin</w:t>
            </w:r>
          </w:p>
          <w:p>
            <w:pPr>
              <w:spacing w:after="20"/>
              <w:jc w:val="left"/>
            </w:pPr>
            <w:r>
              <w:rPr>
                <w:rFonts w:ascii="Consolas" w:cs="Consolas" w:eastAsia="Consolas" w:hAnsi="Consolas"/>
                <w:color w:val="1F3864"/>
                <w:sz w:val="18"/>
                <w:szCs w:val="18"/>
              </w:rPr>
              <w:t xml:space="preserve">llave foránea física — se validan vía HTTP, no a nivel de base de datos.</w:t>
            </w:r>
          </w:p>
        </w:tc>
      </w:tr>
    </w:tbl>
    <w:p>
      <w:pPr>
        <w:pStyle w:val="Heading2"/>
        <w:spacing w:after="120" w:before="260"/>
      </w:pPr>
      <w:r>
        <w:rPr>
          <w:b/>
          <w:bCs/>
          <w:color w:val="2E74B5"/>
          <w:sz w:val="24"/>
          <w:szCs w:val="24"/>
        </w:rPr>
        <w:t xml:space="preserve">3.2 Colecciones documentales (MongoDB, driver nativo)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6000"/>
      </w:tblGrid>
      <w:tr>
        <w:trPr>
          <w:tblHeader/>
        </w:trPr>
        <w:tc>
          <w:tcPr>
            <w:tcW w:type="dxa" w:w="2400"/>
            <w:shd w:fill="1F3864" w:color="auto" w:val="clear"/>
            <w:tcMar>
              <w:top w:type="dxa" w:w="80"/>
              <w:left w:type="dxa" w:w="100"/>
              <w:bottom w:type="dxa" w:w="80"/>
              <w:right w:type="dxa" w:w="100"/>
            </w:tcMar>
          </w:tcPr>
          <w:p>
            <w:pPr>
              <w:jc w:val="left"/>
            </w:pPr>
            <w:r>
              <w:rPr>
                <w:b/>
                <w:bCs/>
                <w:color w:val="FFFFFF"/>
                <w:sz w:val="19"/>
                <w:szCs w:val="19"/>
              </w:rPr>
              <w:t xml:space="preserve">Servicio</w:t>
            </w:r>
          </w:p>
        </w:tc>
        <w:tc>
          <w:tcPr>
            <w:tcW w:type="dxa" w:w="1600"/>
            <w:shd w:fill="1F3864" w:color="auto" w:val="clear"/>
            <w:tcMar>
              <w:top w:type="dxa" w:w="80"/>
              <w:left w:type="dxa" w:w="100"/>
              <w:bottom w:type="dxa" w:w="80"/>
              <w:right w:type="dxa" w:w="100"/>
            </w:tcMar>
          </w:tcPr>
          <w:p>
            <w:pPr>
              <w:jc w:val="left"/>
            </w:pPr>
            <w:r>
              <w:rPr>
                <w:b/>
                <w:bCs/>
                <w:color w:val="FFFFFF"/>
                <w:sz w:val="19"/>
                <w:szCs w:val="19"/>
              </w:rPr>
              <w:t xml:space="preserve">Colección</w:t>
            </w:r>
          </w:p>
        </w:tc>
        <w:tc>
          <w:tcPr>
            <w:tcW w:type="dxa" w:w="6000"/>
            <w:shd w:fill="1F3864" w:color="auto" w:val="clear"/>
            <w:tcMar>
              <w:top w:type="dxa" w:w="80"/>
              <w:left w:type="dxa" w:w="100"/>
              <w:bottom w:type="dxa" w:w="80"/>
              <w:right w:type="dxa" w:w="100"/>
            </w:tcMar>
          </w:tcPr>
          <w:p>
            <w:pPr>
              <w:jc w:val="left"/>
            </w:pPr>
            <w:r>
              <w:rPr>
                <w:b/>
                <w:bCs/>
                <w:color w:val="FFFFFF"/>
                <w:sz w:val="19"/>
                <w:szCs w:val="19"/>
              </w:rPr>
              <w:t xml:space="preserve">Campos principales</w:t>
            </w:r>
          </w:p>
        </w:tc>
      </w:tr>
      <w:tr>
        <w:tc>
          <w:tcPr>
            <w:tcW w:type="dxa" w:w="2400"/>
            <w:shd w:fill="F2F2F2" w:color="auto" w:val="clear"/>
            <w:tcMar>
              <w:top w:type="dxa" w:w="80"/>
              <w:left w:type="dxa" w:w="100"/>
              <w:bottom w:type="dxa" w:w="80"/>
              <w:right w:type="dxa" w:w="100"/>
            </w:tcMar>
          </w:tcPr>
          <w:p>
            <w:pPr>
              <w:jc w:val="left"/>
            </w:pPr>
            <w:r>
              <w:rPr>
                <w:b w:val="false"/>
                <w:bCs w:val="false"/>
                <w:color w:val="000000"/>
                <w:sz w:val="19"/>
                <w:szCs w:val="19"/>
              </w:rPr>
              <w:t xml:space="preserve">attachment-service</w:t>
            </w:r>
          </w:p>
        </w:tc>
        <w:tc>
          <w:tcPr>
            <w:tcW w:type="dxa" w:w="1600"/>
            <w:shd w:fill="F2F2F2" w:color="auto" w:val="clear"/>
            <w:tcMar>
              <w:top w:type="dxa" w:w="80"/>
              <w:left w:type="dxa" w:w="100"/>
              <w:bottom w:type="dxa" w:w="80"/>
              <w:right w:type="dxa" w:w="100"/>
            </w:tcMar>
          </w:tcPr>
          <w:p>
            <w:pPr>
              <w:jc w:val="left"/>
            </w:pPr>
            <w:r>
              <w:rPr>
                <w:b w:val="false"/>
                <w:bCs w:val="false"/>
                <w:color w:val="000000"/>
                <w:sz w:val="19"/>
                <w:szCs w:val="19"/>
              </w:rPr>
              <w:t xml:space="preserve">attachments</w:t>
            </w:r>
          </w:p>
        </w:tc>
        <w:tc>
          <w:tcPr>
            <w:tcW w:type="dxa" w:w="6000"/>
            <w:shd w:fill="F2F2F2" w:color="auto" w:val="clear"/>
            <w:tcMar>
              <w:top w:type="dxa" w:w="80"/>
              <w:left w:type="dxa" w:w="100"/>
              <w:bottom w:type="dxa" w:w="80"/>
              <w:right w:type="dxa" w:w="100"/>
            </w:tcMar>
          </w:tcPr>
          <w:p>
            <w:pPr>
              <w:jc w:val="left"/>
            </w:pPr>
            <w:r>
              <w:rPr>
                <w:b w:val="false"/>
                <w:bCs w:val="false"/>
                <w:color w:val="000000"/>
                <w:sz w:val="19"/>
                <w:szCs w:val="19"/>
              </w:rPr>
              <w:t xml:space="preserve">ticketId, commentId, userId, originalName, storedName, mimeType, sizeBytes, createdAt</w:t>
            </w:r>
          </w:p>
        </w:tc>
      </w:tr>
      <w:tr>
        <w:tc>
          <w:tcPr>
            <w:tcW w:type="dxa" w:w="2400"/>
            <w:shd w:fill="FFFFFF" w:color="auto" w:val="clear"/>
            <w:tcMar>
              <w:top w:type="dxa" w:w="80"/>
              <w:left w:type="dxa" w:w="100"/>
              <w:bottom w:type="dxa" w:w="80"/>
              <w:right w:type="dxa" w:w="100"/>
            </w:tcMar>
          </w:tcPr>
          <w:p>
            <w:pPr>
              <w:jc w:val="left"/>
            </w:pPr>
            <w:r>
              <w:rPr>
                <w:b w:val="false"/>
                <w:bCs w:val="false"/>
                <w:color w:val="000000"/>
                <w:sz w:val="19"/>
                <w:szCs w:val="19"/>
              </w:rPr>
              <w:t xml:space="preserve">notification-service</w:t>
            </w:r>
          </w:p>
        </w:tc>
        <w:tc>
          <w:tcPr>
            <w:tcW w:type="dxa" w:w="1600"/>
            <w:shd w:fill="FFFFFF" w:color="auto" w:val="clear"/>
            <w:tcMar>
              <w:top w:type="dxa" w:w="80"/>
              <w:left w:type="dxa" w:w="100"/>
              <w:bottom w:type="dxa" w:w="80"/>
              <w:right w:type="dxa" w:w="100"/>
            </w:tcMar>
          </w:tcPr>
          <w:p>
            <w:pPr>
              <w:jc w:val="left"/>
            </w:pPr>
            <w:r>
              <w:rPr>
                <w:b w:val="false"/>
                <w:bCs w:val="false"/>
                <w:color w:val="000000"/>
                <w:sz w:val="19"/>
                <w:szCs w:val="19"/>
              </w:rPr>
              <w:t xml:space="preserve">notifications</w:t>
            </w:r>
          </w:p>
        </w:tc>
        <w:tc>
          <w:tcPr>
            <w:tcW w:type="dxa" w:w="6000"/>
            <w:shd w:fill="FFFFFF" w:color="auto" w:val="clear"/>
            <w:tcMar>
              <w:top w:type="dxa" w:w="80"/>
              <w:left w:type="dxa" w:w="100"/>
              <w:bottom w:type="dxa" w:w="80"/>
              <w:right w:type="dxa" w:w="100"/>
            </w:tcMar>
          </w:tcPr>
          <w:p>
            <w:pPr>
              <w:jc w:val="left"/>
            </w:pPr>
            <w:r>
              <w:rPr>
                <w:b w:val="false"/>
                <w:bCs w:val="false"/>
                <w:color w:val="000000"/>
                <w:sz w:val="19"/>
                <w:szCs w:val="19"/>
              </w:rPr>
              <w:t xml:space="preserve">userId, type, title, message, ticketId/ticketNumber/ticketSubject, isRead, readAt, createdAt</w:t>
            </w:r>
          </w:p>
        </w:tc>
      </w:tr>
      <w:tr>
        <w:tc>
          <w:tcPr>
            <w:tcW w:type="dxa" w:w="2400"/>
            <w:shd w:fill="F2F2F2" w:color="auto" w:val="clear"/>
            <w:tcMar>
              <w:top w:type="dxa" w:w="80"/>
              <w:left w:type="dxa" w:w="100"/>
              <w:bottom w:type="dxa" w:w="80"/>
              <w:right w:type="dxa" w:w="100"/>
            </w:tcMar>
          </w:tcPr>
          <w:p>
            <w:pPr>
              <w:jc w:val="left"/>
            </w:pPr>
            <w:r>
              <w:rPr>
                <w:b w:val="false"/>
                <w:bCs w:val="false"/>
                <w:color w:val="000000"/>
                <w:sz w:val="19"/>
                <w:szCs w:val="19"/>
              </w:rPr>
              <w:t xml:space="preserve">notification-service</w:t>
            </w:r>
          </w:p>
        </w:tc>
        <w:tc>
          <w:tcPr>
            <w:tcW w:type="dxa" w:w="1600"/>
            <w:shd w:fill="F2F2F2" w:color="auto" w:val="clear"/>
            <w:tcMar>
              <w:top w:type="dxa" w:w="80"/>
              <w:left w:type="dxa" w:w="100"/>
              <w:bottom w:type="dxa" w:w="80"/>
              <w:right w:type="dxa" w:w="100"/>
            </w:tcMar>
          </w:tcPr>
          <w:p>
            <w:pPr>
              <w:jc w:val="left"/>
            </w:pPr>
            <w:r>
              <w:rPr>
                <w:b w:val="false"/>
                <w:bCs w:val="false"/>
                <w:color w:val="000000"/>
                <w:sz w:val="19"/>
                <w:szCs w:val="19"/>
              </w:rPr>
              <w:t xml:space="preserve">jobs</w:t>
            </w:r>
          </w:p>
        </w:tc>
        <w:tc>
          <w:tcPr>
            <w:tcW w:type="dxa" w:w="6000"/>
            <w:shd w:fill="F2F2F2" w:color="auto" w:val="clear"/>
            <w:tcMar>
              <w:top w:type="dxa" w:w="80"/>
              <w:left w:type="dxa" w:w="100"/>
              <w:bottom w:type="dxa" w:w="80"/>
              <w:right w:type="dxa" w:w="100"/>
            </w:tcMar>
          </w:tcPr>
          <w:p>
            <w:pPr>
              <w:jc w:val="left"/>
            </w:pPr>
            <w:r>
              <w:rPr>
                <w:b w:val="false"/>
                <w:bCs w:val="false"/>
                <w:color w:val="000000"/>
                <w:sz w:val="19"/>
                <w:szCs w:val="19"/>
              </w:rPr>
              <w:t xml:space="preserve">eventId, type, status (PROCESSING/RETRYING/COMPLETED/FAILED), attempt, maxAttempts, lastError, ticketId</w:t>
            </w:r>
          </w:p>
        </w:tc>
      </w:tr>
      <w:tr>
        <w:tc>
          <w:tcPr>
            <w:tcW w:type="dxa" w:w="2400"/>
            <w:shd w:fill="FFFFFF" w:color="auto" w:val="clear"/>
            <w:tcMar>
              <w:top w:type="dxa" w:w="80"/>
              <w:left w:type="dxa" w:w="100"/>
              <w:bottom w:type="dxa" w:w="80"/>
              <w:right w:type="dxa" w:w="100"/>
            </w:tcMar>
          </w:tcPr>
          <w:p>
            <w:pPr>
              <w:jc w:val="left"/>
            </w:pPr>
            <w:r>
              <w:rPr>
                <w:b w:val="false"/>
                <w:bCs w:val="false"/>
                <w:color w:val="000000"/>
                <w:sz w:val="19"/>
                <w:szCs w:val="19"/>
              </w:rPr>
              <w:t xml:space="preserve">audit-service</w:t>
            </w:r>
          </w:p>
        </w:tc>
        <w:tc>
          <w:tcPr>
            <w:tcW w:type="dxa" w:w="1600"/>
            <w:shd w:fill="FFFFFF" w:color="auto" w:val="clear"/>
            <w:tcMar>
              <w:top w:type="dxa" w:w="80"/>
              <w:left w:type="dxa" w:w="100"/>
              <w:bottom w:type="dxa" w:w="80"/>
              <w:right w:type="dxa" w:w="100"/>
            </w:tcMar>
          </w:tcPr>
          <w:p>
            <w:pPr>
              <w:jc w:val="left"/>
            </w:pPr>
            <w:r>
              <w:rPr>
                <w:b w:val="false"/>
                <w:bCs w:val="false"/>
                <w:color w:val="000000"/>
                <w:sz w:val="19"/>
                <w:szCs w:val="19"/>
              </w:rPr>
              <w:t xml:space="preserve">audit_logs</w:t>
            </w:r>
          </w:p>
        </w:tc>
        <w:tc>
          <w:tcPr>
            <w:tcW w:type="dxa" w:w="6000"/>
            <w:shd w:fill="FFFFFF" w:color="auto" w:val="clear"/>
            <w:tcMar>
              <w:top w:type="dxa" w:w="80"/>
              <w:left w:type="dxa" w:w="100"/>
              <w:bottom w:type="dxa" w:w="80"/>
              <w:right w:type="dxa" w:w="100"/>
            </w:tcMar>
          </w:tcPr>
          <w:p>
            <w:pPr>
              <w:jc w:val="left"/>
            </w:pPr>
            <w:r>
              <w:rPr>
                <w:b w:val="false"/>
                <w:bCs w:val="false"/>
                <w:color w:val="000000"/>
                <w:sz w:val="19"/>
                <w:szCs w:val="19"/>
              </w:rPr>
              <w:t xml:space="preserve">userId, userName, userEmail, action, entityType, entityId, description, ipAddress, userAgent, createdAt</w:t>
            </w:r>
          </w:p>
        </w:tc>
      </w:tr>
      <w:tr>
        <w:tc>
          <w:tcPr>
            <w:tcW w:type="dxa" w:w="2400"/>
            <w:shd w:fill="F2F2F2" w:color="auto" w:val="clear"/>
            <w:tcMar>
              <w:top w:type="dxa" w:w="80"/>
              <w:left w:type="dxa" w:w="100"/>
              <w:bottom w:type="dxa" w:w="80"/>
              <w:right w:type="dxa" w:w="100"/>
            </w:tcMar>
          </w:tcPr>
          <w:p>
            <w:pPr>
              <w:jc w:val="left"/>
            </w:pPr>
            <w:r>
              <w:rPr>
                <w:b w:val="false"/>
                <w:bCs w:val="false"/>
                <w:color w:val="000000"/>
                <w:sz w:val="19"/>
                <w:szCs w:val="19"/>
              </w:rPr>
              <w:t xml:space="preserve">settings-service</w:t>
            </w:r>
          </w:p>
        </w:tc>
        <w:tc>
          <w:tcPr>
            <w:tcW w:type="dxa" w:w="1600"/>
            <w:shd w:fill="F2F2F2" w:color="auto" w:val="clear"/>
            <w:tcMar>
              <w:top w:type="dxa" w:w="80"/>
              <w:left w:type="dxa" w:w="100"/>
              <w:bottom w:type="dxa" w:w="80"/>
              <w:right w:type="dxa" w:w="100"/>
            </w:tcMar>
          </w:tcPr>
          <w:p>
            <w:pPr>
              <w:jc w:val="left"/>
            </w:pPr>
            <w:r>
              <w:rPr>
                <w:b w:val="false"/>
                <w:bCs w:val="false"/>
                <w:color w:val="000000"/>
                <w:sz w:val="19"/>
                <w:szCs w:val="19"/>
              </w:rPr>
              <w:t xml:space="preserve">settings</w:t>
            </w:r>
          </w:p>
        </w:tc>
        <w:tc>
          <w:tcPr>
            <w:tcW w:type="dxa" w:w="6000"/>
            <w:shd w:fill="F2F2F2" w:color="auto" w:val="clear"/>
            <w:tcMar>
              <w:top w:type="dxa" w:w="80"/>
              <w:left w:type="dxa" w:w="100"/>
              <w:bottom w:type="dxa" w:w="80"/>
              <w:right w:type="dxa" w:w="100"/>
            </w:tcMar>
          </w:tcPr>
          <w:p>
            <w:pPr>
              <w:jc w:val="left"/>
            </w:pPr>
            <w:r>
              <w:rPr>
                <w:b w:val="false"/>
                <w:bCs w:val="false"/>
                <w:color w:val="000000"/>
                <w:sz w:val="19"/>
                <w:szCs w:val="19"/>
              </w:rPr>
              <w:t xml:space="preserve">pares key/value de configuración global</w:t>
            </w:r>
          </w:p>
        </w:tc>
      </w:tr>
    </w:tbl>
    <w:p>
      <w:r>
        <w:br w:type="page"/>
      </w:r>
    </w:p>
    <w:p>
      <w:pPr>
        <w:pStyle w:val="Heading1"/>
        <w:pBdr>
          <w:bottom w:val="single" w:color="2E74B5" w:sz="6" w:space="4"/>
        </w:pBdr>
        <w:spacing w:after="160" w:before="360"/>
      </w:pPr>
      <w:r>
        <w:rPr>
          <w:b/>
          <w:bCs/>
          <w:color w:val="1F3864"/>
          <w:sz w:val="30"/>
          <w:szCs w:val="30"/>
        </w:rPr>
        <w:t xml:space="preserve">4. Flujo de autenticación</w:t>
      </w:r>
    </w:p>
    <w:p>
      <w:pPr>
        <w:spacing w:after="160" w:line="276"/>
      </w:pPr>
      <w:r>
        <w:rPr>
          <w:sz w:val="21"/>
          <w:szCs w:val="21"/>
        </w:rPr>
        <w:t xml:space="preserve">La autenticación se basa en JWT con dos tokens de vida distinta, emitidos exclusivamente por identity-service. Los demás ocho microservicios nunca emiten tokens: solo los verifican, usando un secreto compartido (HS256) configurado como variable de entorno JWT_SECRET en cada uno.</w:t>
      </w:r>
    </w:p>
    <w:p>
      <w:pPr>
        <w:pStyle w:val="Heading2"/>
        <w:spacing w:after="120" w:before="260"/>
      </w:pPr>
      <w:r>
        <w:rPr>
          <w:b/>
          <w:bCs/>
          <w:color w:val="2E74B5"/>
          <w:sz w:val="24"/>
          <w:szCs w:val="24"/>
        </w:rPr>
        <w:t xml:space="preserve">4.1 Emisión de tokens (POST /api/auth/login)</w:t>
      </w:r>
    </w:p>
    <w:p>
      <w:pPr>
        <w:pStyle w:val="ListParagraph"/>
        <w:numPr>
          <w:ilvl w:val="0"/>
          <w:numId w:val="3"/>
        </w:numPr>
        <w:spacing w:after="90"/>
      </w:pPr>
      <w:r>
        <w:rPr>
          <w:sz w:val="21"/>
          <w:szCs w:val="21"/>
        </w:rPr>
        <w:t xml:space="preserve">El cliente envía email y password; identity-service valida la contraseña con bcrypt contra el hash almacenado.</w:t>
      </w:r>
    </w:p>
    <w:p>
      <w:pPr>
        <w:pStyle w:val="ListParagraph"/>
        <w:numPr>
          <w:ilvl w:val="0"/>
          <w:numId w:val="3"/>
        </w:numPr>
        <w:spacing w:after="90"/>
      </w:pPr>
      <w:r>
        <w:rPr>
          <w:sz w:val="21"/>
          <w:szCs w:val="21"/>
        </w:rPr>
        <w:t xml:space="preserve">Se firma un access token de corta duración (payload: sub, role, name — sin consultar la base de datos en cada verificación, decisión necesaria porque el usuario completo ya no vive en una sola base compartida).</w:t>
      </w:r>
    </w:p>
    <w:p>
      <w:pPr>
        <w:pStyle w:val="ListParagraph"/>
        <w:numPr>
          <w:ilvl w:val="0"/>
          <w:numId w:val="3"/>
        </w:numPr>
        <w:spacing w:after="90"/>
      </w:pPr>
      <w:r>
        <w:rPr>
          <w:sz w:val="21"/>
          <w:szCs w:val="21"/>
        </w:rPr>
        <w:t xml:space="preserve">Se genera un refresh token aleatorio (crypto.randomBytes); solo se persiste su hash SHA-256 en la tabla RefreshToken. El token en claro se entrega como cookie httpOnly 'refresh_token', nunca al JavaScript del cliente.</w:t>
      </w:r>
    </w:p>
    <w:p>
      <w:pPr>
        <w:pStyle w:val="ListParagraph"/>
        <w:numPr>
          <w:ilvl w:val="0"/>
          <w:numId w:val="3"/>
        </w:numPr>
        <w:spacing w:after="90"/>
      </w:pPr>
      <w:r>
        <w:rPr>
          <w:sz w:val="21"/>
          <w:szCs w:val="21"/>
        </w:rPr>
        <w:t xml:space="preserve">Con 'Recordar sesión' activado, el refresh token vive más tiempo (hasta 30 días) que el valor por defecto (7 días).</w:t>
      </w:r>
    </w:p>
    <w:p>
      <w:pPr>
        <w:pStyle w:val="Heading2"/>
        <w:spacing w:after="120" w:before="260"/>
      </w:pPr>
      <w:r>
        <w:rPr>
          <w:b/>
          <w:bCs/>
          <w:color w:val="2E74B5"/>
          <w:sz w:val="24"/>
          <w:szCs w:val="24"/>
        </w:rPr>
        <w:t xml:space="preserve">4.2 Renovación y rotación (POST /api/auth/refresh)</w:t>
      </w:r>
    </w:p>
    <w:p>
      <w:pPr>
        <w:spacing w:after="160" w:line="276"/>
      </w:pPr>
      <w:r>
        <w:rPr>
          <w:sz w:val="21"/>
          <w:szCs w:val="21"/>
        </w:rPr>
        <w:t xml:space="preserve">Cuando el access token expira, el cliente llama a /api/auth/refresh. identity-service valida el hash de la cookie contra RefreshToken, revoca el token usado y emite uno nuevo junto con un nuevo access token — rotación de refresh token para reducir el impacto de un robo de cookie.</w:t>
      </w:r>
    </w:p>
    <w:p>
      <w:pPr>
        <w:pStyle w:val="Heading2"/>
        <w:spacing w:after="120" w:before="260"/>
      </w:pPr>
      <w:r>
        <w:rPr>
          <w:b/>
          <w:bCs/>
          <w:color w:val="2E74B5"/>
          <w:sz w:val="24"/>
          <w:szCs w:val="24"/>
        </w:rPr>
        <w:t xml:space="preserve">4.3 Protección de rutas y roles</w:t>
      </w:r>
    </w:p>
    <w:p>
      <w:pPr>
        <w:spacing w:after="160" w:line="276"/>
      </w:pPr>
      <w:r>
        <w:rPr>
          <w:sz w:val="21"/>
          <w:szCs w:val="21"/>
        </w:rPr>
        <w:t xml:space="preserve">Cada microservicio monta un middleware authenticate(JWT_SECRET) (paquete compartido @helpdesk/common) que exige el header Authorization: Bearer &lt;token&gt;, verifica firma y expiración, y adjunta el payload decodificado a req.user — sin tocar ninguna base de datos.</w:t>
      </w:r>
    </w:p>
    <w:p>
      <w:pPr>
        <w:spacing w:after="160" w:line="276"/>
      </w:pPr>
      <w:r>
        <w:rPr>
          <w:sz w:val="21"/>
          <w:szCs w:val="21"/>
        </w:rPr>
        <w:t xml:space="preserve">Sobre esa identidad, un segundo middleware requireRole(...roles) implementa RBAC: compara req.user.role contra la lista de roles permitidos para esa ruta y responde 403 si no coincide. Ejemplos: la gestión de usuarios, catálogos, empresas, reportes, auditoría y configuración está restringida a MASTER; la asignación y reasignación de técnico en un ticket también exige MASTER; un TECNICO solo puede operar sobre tickets donde es el técnico asignado; un USUARIO solo puede operar sobre tickets que él mismo creó.</w:t>
      </w:r>
    </w:p>
    <w:p>
      <w:pPr>
        <w:spacing w:after="160" w:line="276"/>
      </w:pPr>
      <w:r>
        <w:rPr>
          <w:sz w:val="21"/>
          <w:szCs w:val="21"/>
        </w:rPr>
        <w:t xml:space="preserve">El Gateway (Traefik) no participa en la autenticación: solo enruta. La responsabilidad de proteger cada endpoint es exclusiva del microservicio que lo expone.</w:t>
      </w:r>
    </w:p>
    <w:p>
      <w:pPr>
        <w:pStyle w:val="Heading1"/>
        <w:pBdr>
          <w:bottom w:val="single" w:color="2E74B5" w:sz="6" w:space="4"/>
        </w:pBdr>
        <w:spacing w:after="160" w:before="360"/>
      </w:pPr>
      <w:r>
        <w:rPr>
          <w:b/>
          <w:bCs/>
          <w:color w:val="1F3864"/>
          <w:sz w:val="30"/>
          <w:szCs w:val="30"/>
        </w:rPr>
        <w:t xml:space="preserve">5. Flujo de colas</w:t>
      </w:r>
    </w:p>
    <w:p>
      <w:pPr>
        <w:spacing w:after="160" w:line="276"/>
      </w:pPr>
      <w:r>
        <w:rPr>
          <w:sz w:val="21"/>
          <w:szCs w:val="21"/>
        </w:rPr>
        <w:t xml:space="preserve">RabbitMQ actúa como bus de eventos real entre servicios, no solo como infraestructura declarada. Toda la lógica de publicación/consumo vive en el paquete compartido packages/common/src/events.ts, sobre un único exchange topic durable llamado helpdesk.events.</w:t>
      </w:r>
    </w:p>
    <w:p>
      <w:pPr>
        <w:pStyle w:val="Heading2"/>
        <w:spacing w:after="120" w:before="260"/>
      </w:pPr>
      <w:r>
        <w:rPr>
          <w:b/>
          <w:bCs/>
          <w:color w:val="2E74B5"/>
          <w:sz w:val="24"/>
          <w:szCs w:val="24"/>
        </w:rPr>
        <w:t xml:space="preserve">5.1 Eventos y trabajos que se encolan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00"/>
        <w:gridCol w:w="2800"/>
      </w:tblGrid>
      <w:tr>
        <w:trPr>
          <w:tblHeader/>
        </w:trPr>
        <w:tc>
          <w:tcPr>
            <w:tcW w:type="dxa" w:w="2600"/>
            <w:shd w:fill="1F3864" w:color="auto" w:val="clear"/>
            <w:tcMar>
              <w:top w:type="dxa" w:w="80"/>
              <w:left w:type="dxa" w:w="100"/>
              <w:bottom w:type="dxa" w:w="80"/>
              <w:right w:type="dxa" w:w="100"/>
            </w:tcMar>
          </w:tcPr>
          <w:p>
            <w:pPr>
              <w:jc w:val="left"/>
            </w:pPr>
            <w:r>
              <w:rPr>
                <w:b/>
                <w:bCs/>
                <w:color w:val="FFFFFF"/>
                <w:sz w:val="19"/>
                <w:szCs w:val="19"/>
              </w:rPr>
              <w:t xml:space="preserve">Evento (routing key)</w:t>
            </w:r>
          </w:p>
        </w:tc>
        <w:tc>
          <w:tcPr>
            <w:tcW w:type="dxa" w:w="2600"/>
            <w:shd w:fill="1F3864" w:color="auto" w:val="clear"/>
            <w:tcMar>
              <w:top w:type="dxa" w:w="80"/>
              <w:left w:type="dxa" w:w="100"/>
              <w:bottom w:type="dxa" w:w="80"/>
              <w:right w:type="dxa" w:w="100"/>
            </w:tcMar>
          </w:tcPr>
          <w:p>
            <w:pPr>
              <w:jc w:val="left"/>
            </w:pPr>
            <w:r>
              <w:rPr>
                <w:b/>
                <w:bCs/>
                <w:color w:val="FFFFFF"/>
                <w:sz w:val="19"/>
                <w:szCs w:val="19"/>
              </w:rPr>
              <w:t xml:space="preserve">Publica</w:t>
            </w:r>
          </w:p>
        </w:tc>
        <w:tc>
          <w:tcPr>
            <w:tcW w:type="dxa" w:w="2000"/>
            <w:shd w:fill="1F3864" w:color="auto" w:val="clear"/>
            <w:tcMar>
              <w:top w:type="dxa" w:w="80"/>
              <w:left w:type="dxa" w:w="100"/>
              <w:bottom w:type="dxa" w:w="80"/>
              <w:right w:type="dxa" w:w="100"/>
            </w:tcMar>
          </w:tcPr>
          <w:p>
            <w:pPr>
              <w:jc w:val="left"/>
            </w:pPr>
            <w:r>
              <w:rPr>
                <w:b/>
                <w:bCs/>
                <w:color w:val="FFFFFF"/>
                <w:sz w:val="19"/>
                <w:szCs w:val="19"/>
              </w:rPr>
              <w:t xml:space="preserve">Consume</w:t>
            </w:r>
          </w:p>
        </w:tc>
        <w:tc>
          <w:tcPr>
            <w:tcW w:type="dxa" w:w="2800"/>
            <w:shd w:fill="1F3864" w:color="auto" w:val="clear"/>
            <w:tcMar>
              <w:top w:type="dxa" w:w="80"/>
              <w:left w:type="dxa" w:w="100"/>
              <w:bottom w:type="dxa" w:w="80"/>
              <w:right w:type="dxa" w:w="100"/>
            </w:tcMar>
          </w:tcPr>
          <w:p>
            <w:pPr>
              <w:jc w:val="left"/>
            </w:pPr>
            <w:r>
              <w:rPr>
                <w:b/>
                <w:bCs/>
                <w:color w:val="FFFFFF"/>
                <w:sz w:val="19"/>
                <w:szCs w:val="19"/>
              </w:rPr>
              <w:t xml:space="preserve">Qué hace</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notification.create</w:t>
            </w:r>
          </w:p>
        </w:tc>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identity-service, ticketing-service</w:t>
            </w:r>
          </w:p>
        </w:tc>
        <w:tc>
          <w:tcPr>
            <w:tcW w:type="dxa" w:w="2000"/>
            <w:shd w:fill="F2F2F2" w:color="auto" w:val="clear"/>
            <w:tcMar>
              <w:top w:type="dxa" w:w="80"/>
              <w:left w:type="dxa" w:w="100"/>
              <w:bottom w:type="dxa" w:w="80"/>
              <w:right w:type="dxa" w:w="100"/>
            </w:tcMar>
          </w:tcPr>
          <w:p>
            <w:pPr>
              <w:jc w:val="left"/>
            </w:pPr>
            <w:r>
              <w:rPr>
                <w:b w:val="false"/>
                <w:bCs w:val="false"/>
                <w:color w:val="000000"/>
                <w:sz w:val="19"/>
                <w:szCs w:val="19"/>
              </w:rPr>
              <w:t xml:space="preserve">notification-service</w:t>
            </w:r>
          </w:p>
        </w:tc>
        <w:tc>
          <w:tcPr>
            <w:tcW w:type="dxa" w:w="2800"/>
            <w:shd w:fill="F2F2F2" w:color="auto" w:val="clear"/>
            <w:tcMar>
              <w:top w:type="dxa" w:w="80"/>
              <w:left w:type="dxa" w:w="100"/>
              <w:bottom w:type="dxa" w:w="80"/>
              <w:right w:type="dxa" w:w="100"/>
            </w:tcMar>
          </w:tcPr>
          <w:p>
            <w:pPr>
              <w:jc w:val="left"/>
            </w:pPr>
            <w:r>
              <w:rPr>
                <w:b w:val="false"/>
                <w:bCs w:val="false"/>
                <w:color w:val="000000"/>
                <w:sz w:val="19"/>
                <w:szCs w:val="19"/>
              </w:rPr>
              <w:t xml:space="preserve">Persiste una notificación interna (campanita) visible en el frontend</w:t>
            </w:r>
          </w:p>
        </w:tc>
      </w:tr>
      <w:tr>
        <w:tc>
          <w:tcPr>
            <w:tcW w:type="dxa" w:w="2600"/>
            <w:shd w:fill="FFFFFF" w:color="auto" w:val="clear"/>
            <w:tcMar>
              <w:top w:type="dxa" w:w="80"/>
              <w:left w:type="dxa" w:w="100"/>
              <w:bottom w:type="dxa" w:w="80"/>
              <w:right w:type="dxa" w:w="100"/>
            </w:tcMar>
          </w:tcPr>
          <w:p>
            <w:pPr>
              <w:jc w:val="left"/>
            </w:pPr>
            <w:r>
              <w:rPr>
                <w:b w:val="false"/>
                <w:bCs w:val="false"/>
                <w:color w:val="000000"/>
                <w:sz w:val="19"/>
                <w:szCs w:val="19"/>
              </w:rPr>
              <w:t xml:space="preserve">email.send</w:t>
            </w:r>
          </w:p>
        </w:tc>
        <w:tc>
          <w:tcPr>
            <w:tcW w:type="dxa" w:w="2600"/>
            <w:shd w:fill="FFFFFF" w:color="auto" w:val="clear"/>
            <w:tcMar>
              <w:top w:type="dxa" w:w="80"/>
              <w:left w:type="dxa" w:w="100"/>
              <w:bottom w:type="dxa" w:w="80"/>
              <w:right w:type="dxa" w:w="100"/>
            </w:tcMar>
          </w:tcPr>
          <w:p>
            <w:pPr>
              <w:jc w:val="left"/>
            </w:pPr>
            <w:r>
              <w:rPr>
                <w:b w:val="false"/>
                <w:bCs w:val="false"/>
                <w:color w:val="000000"/>
                <w:sz w:val="19"/>
                <w:szCs w:val="19"/>
              </w:rPr>
              <w:t xml:space="preserve">ticketing-service (al crear un ticket)</w:t>
            </w:r>
          </w:p>
        </w:tc>
        <w:tc>
          <w:tcPr>
            <w:tcW w:type="dxa" w:w="2000"/>
            <w:shd w:fill="FFFFFF" w:color="auto" w:val="clear"/>
            <w:tcMar>
              <w:top w:type="dxa" w:w="80"/>
              <w:left w:type="dxa" w:w="100"/>
              <w:bottom w:type="dxa" w:w="80"/>
              <w:right w:type="dxa" w:w="100"/>
            </w:tcMar>
          </w:tcPr>
          <w:p>
            <w:pPr>
              <w:jc w:val="left"/>
            </w:pPr>
            <w:r>
              <w:rPr>
                <w:b w:val="false"/>
                <w:bCs w:val="false"/>
                <w:color w:val="000000"/>
                <w:sz w:val="19"/>
                <w:szCs w:val="19"/>
              </w:rPr>
              <w:t xml:space="preserve">notification-service</w:t>
            </w:r>
          </w:p>
        </w:tc>
        <w:tc>
          <w:tcPr>
            <w:tcW w:type="dxa" w:w="2800"/>
            <w:shd w:fill="FFFFFF" w:color="auto" w:val="clear"/>
            <w:tcMar>
              <w:top w:type="dxa" w:w="80"/>
              <w:left w:type="dxa" w:w="100"/>
              <w:bottom w:type="dxa" w:w="80"/>
              <w:right w:type="dxa" w:w="100"/>
            </w:tcMar>
          </w:tcPr>
          <w:p>
            <w:pPr>
              <w:jc w:val="left"/>
            </w:pPr>
            <w:r>
              <w:rPr>
                <w:b w:val="false"/>
                <w:bCs w:val="false"/>
                <w:color w:val="000000"/>
                <w:sz w:val="19"/>
                <w:szCs w:val="19"/>
              </w:rPr>
              <w:t xml:space="preserve">Simula el envío de un correo de confirmación, con fallo intermitente intencional (40% por intento) para poder demostrar el patrón de reintentos</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audit.log</w:t>
            </w:r>
          </w:p>
        </w:tc>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todos los microservicios</w:t>
            </w:r>
          </w:p>
        </w:tc>
        <w:tc>
          <w:tcPr>
            <w:tcW w:type="dxa" w:w="2000"/>
            <w:shd w:fill="F2F2F2" w:color="auto" w:val="clear"/>
            <w:tcMar>
              <w:top w:type="dxa" w:w="80"/>
              <w:left w:type="dxa" w:w="100"/>
              <w:bottom w:type="dxa" w:w="80"/>
              <w:right w:type="dxa" w:w="100"/>
            </w:tcMar>
          </w:tcPr>
          <w:p>
            <w:pPr>
              <w:jc w:val="left"/>
            </w:pPr>
            <w:r>
              <w:rPr>
                <w:b w:val="false"/>
                <w:bCs w:val="false"/>
                <w:color w:val="000000"/>
                <w:sz w:val="19"/>
                <w:szCs w:val="19"/>
              </w:rPr>
              <w:t xml:space="preserve">audit-service</w:t>
            </w:r>
          </w:p>
        </w:tc>
        <w:tc>
          <w:tcPr>
            <w:tcW w:type="dxa" w:w="2800"/>
            <w:shd w:fill="F2F2F2" w:color="auto" w:val="clear"/>
            <w:tcMar>
              <w:top w:type="dxa" w:w="80"/>
              <w:left w:type="dxa" w:w="100"/>
              <w:bottom w:type="dxa" w:w="80"/>
              <w:right w:type="dxa" w:w="100"/>
            </w:tcMar>
          </w:tcPr>
          <w:p>
            <w:pPr>
              <w:jc w:val="left"/>
            </w:pPr>
            <w:r>
              <w:rPr>
                <w:b w:val="false"/>
                <w:bCs w:val="false"/>
                <w:color w:val="000000"/>
                <w:sz w:val="19"/>
                <w:szCs w:val="19"/>
              </w:rPr>
              <w:t xml:space="preserve">Persiste cada acción auditable (login, cambios de estado, asignaciones, CRUD administrativos) con IP y user-agent</w:t>
            </w:r>
          </w:p>
        </w:tc>
      </w:tr>
    </w:tbl>
    <w:p>
      <w:pPr>
        <w:pStyle w:val="Heading2"/>
        <w:spacing w:after="120" w:before="260"/>
      </w:pPr>
      <w:r>
        <w:rPr>
          <w:b/>
          <w:bCs/>
          <w:color w:val="2E74B5"/>
          <w:sz w:val="24"/>
          <w:szCs w:val="24"/>
        </w:rPr>
        <w:t xml:space="preserve">5.2 Reintentos, backoff y cola de mensajes muertos (DLQ)</w:t>
      </w:r>
    </w:p>
    <w:p>
      <w:pPr>
        <w:spacing w:after="160" w:line="276"/>
      </w:pPr>
      <w:r>
        <w:rPr>
          <w:sz w:val="21"/>
          <w:szCs w:val="21"/>
        </w:rPr>
        <w:t xml:space="preserve">Por cada cola principal, consumeEvents() declara automáticamente dos colas auxiliares: &lt;cola&gt;.retry, configurada con dead-letter-exchange apuntando de vuelta a la cola principal y un TTL por mensaje; y &lt;cola&gt;.dlq, durable, para los mensajes que agotan sus reintentos.</w:t>
      </w:r>
    </w:p>
    <w:p>
      <w:pPr>
        <w:pStyle w:val="ListParagraph"/>
        <w:numPr>
          <w:ilvl w:val="0"/>
          <w:numId w:val="3"/>
        </w:numPr>
        <w:spacing w:after="90"/>
      </w:pPr>
      <w:r>
        <w:rPr>
          <w:sz w:val="21"/>
          <w:szCs w:val="21"/>
        </w:rPr>
        <w:t xml:space="preserve">Si el handler de un consumidor lanza una excepción, el mensaje no se descarta: se reencola en &lt;cola&gt;.retry con un header x-attempt que cuenta el número de intento.</w:t>
      </w:r>
    </w:p>
    <w:p>
      <w:pPr>
        <w:pStyle w:val="ListParagraph"/>
        <w:numPr>
          <w:ilvl w:val="0"/>
          <w:numId w:val="3"/>
        </w:numPr>
        <w:spacing w:after="90"/>
      </w:pPr>
      <w:r>
        <w:rPr>
          <w:sz w:val="21"/>
          <w:szCs w:val="21"/>
        </w:rPr>
        <w:t xml:space="preserve">El backoff es lineal: retryDelayMs × intento (por defecto 3000 ms, es decir 3s en el primer reintento, 6s en el segundo).</w:t>
      </w:r>
    </w:p>
    <w:p>
      <w:pPr>
        <w:pStyle w:val="ListParagraph"/>
        <w:numPr>
          <w:ilvl w:val="0"/>
          <w:numId w:val="3"/>
        </w:numPr>
        <w:spacing w:after="90"/>
      </w:pPr>
      <w:r>
        <w:rPr>
          <w:sz w:val="21"/>
          <w:szCs w:val="21"/>
        </w:rPr>
        <w:t xml:space="preserve">Al agotar maxAttempts (3 por defecto), el mensaje se mueve a &lt;cola&gt;.dlq y se invoca un callback onExhausted(event, error) para que el servicio registre el fallo definitivo.</w:t>
      </w:r>
    </w:p>
    <w:p>
      <w:pPr>
        <w:spacing w:after="160" w:line="276"/>
      </w:pPr>
      <w:r>
        <w:rPr>
          <w:sz w:val="21"/>
          <w:szCs w:val="21"/>
        </w:rPr>
        <w:t xml:space="preserve">Esta mecánica aplica a los tres eventos de la tabla anterior, pero es más fácil de observar con email.send: el consumidor services/notification-service/src/consumers/email-consumer.ts escribe/actualiza un documento en la colección jobs por cada eventId, con estados PROCESSING → RETRYING (si attempt &gt; 1) → COMPLETED o FAILED (si se agota el reintento).</w:t>
      </w:r>
    </w:p>
    <w:p>
      <w:pPr>
        <w:pStyle w:val="Heading2"/>
        <w:spacing w:after="120" w:before="260"/>
      </w:pPr>
      <w:r>
        <w:rPr>
          <w:b/>
          <w:bCs/>
          <w:color w:val="2E74B5"/>
          <w:sz w:val="24"/>
          <w:szCs w:val="24"/>
        </w:rPr>
        <w:t xml:space="preserve">5.3 Consulta del estado de un trabajo</w:t>
      </w:r>
    </w:p>
    <w:p>
      <w:pPr>
        <w:spacing w:after="160" w:line="276"/>
      </w:pPr>
      <w:r>
        <w:rPr>
          <w:sz w:val="21"/>
          <w:szCs w:val="21"/>
        </w:rPr>
        <w:t xml:space="preserve">notification-service expone GET /api/jobs?ticketId=&lt;id&gt; y GET /api/jobs/:id para consultar el estado de un trabajo asíncrono. El frontend (TicketDetail.tsx) usa este endpoint para mostrar en vivo, en la sección 'Confirmación por correo' del detalle de un ticket, los estados 'Enviando…' → 'Reintentando (intento N de 3)' → 'Correo enviado' o 'Falló tras 3 intentos', refrescándose solo mientras el trabajo siga en curso.</w:t>
      </w:r>
    </w:p>
    <w:p>
      <w:r>
        <w:br w:type="page"/>
      </w:r>
    </w:p>
    <w:p>
      <w:pPr>
        <w:pStyle w:val="Heading1"/>
        <w:pBdr>
          <w:bottom w:val="single" w:color="2E74B5" w:sz="6" w:space="4"/>
        </w:pBdr>
        <w:spacing w:after="160" w:before="360"/>
      </w:pPr>
      <w:r>
        <w:rPr>
          <w:b/>
          <w:bCs/>
          <w:color w:val="1F3864"/>
          <w:sz w:val="30"/>
          <w:szCs w:val="30"/>
        </w:rPr>
        <w:t xml:space="preserve">6. Roles y responsabilidades del equipo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400"/>
      </w:tblGrid>
      <w:tr>
        <w:trPr>
          <w:tblHeader/>
        </w:trPr>
        <w:tc>
          <w:tcPr>
            <w:tcW w:type="dxa" w:w="2600"/>
            <w:shd w:fill="1F3864" w:color="auto" w:val="clear"/>
            <w:tcMar>
              <w:top w:type="dxa" w:w="80"/>
              <w:left w:type="dxa" w:w="100"/>
              <w:bottom w:type="dxa" w:w="80"/>
              <w:right w:type="dxa" w:w="100"/>
            </w:tcMar>
          </w:tcPr>
          <w:p>
            <w:pPr>
              <w:jc w:val="left"/>
            </w:pPr>
            <w:r>
              <w:rPr>
                <w:b/>
                <w:bCs/>
                <w:color w:val="FFFFFF"/>
                <w:sz w:val="19"/>
                <w:szCs w:val="19"/>
              </w:rPr>
              <w:t xml:space="preserve">Integrante</w:t>
            </w:r>
          </w:p>
        </w:tc>
        <w:tc>
          <w:tcPr>
            <w:tcW w:type="dxa" w:w="2000"/>
            <w:shd w:fill="1F3864" w:color="auto" w:val="clear"/>
            <w:tcMar>
              <w:top w:type="dxa" w:w="80"/>
              <w:left w:type="dxa" w:w="100"/>
              <w:bottom w:type="dxa" w:w="80"/>
              <w:right w:type="dxa" w:w="100"/>
            </w:tcMar>
          </w:tcPr>
          <w:p>
            <w:pPr>
              <w:jc w:val="left"/>
            </w:pPr>
            <w:r>
              <w:rPr>
                <w:b/>
                <w:bCs/>
                <w:color w:val="FFFFFF"/>
                <w:sz w:val="19"/>
                <w:szCs w:val="19"/>
              </w:rPr>
              <w:t xml:space="preserve">Rol</w:t>
            </w:r>
          </w:p>
        </w:tc>
        <w:tc>
          <w:tcPr>
            <w:tcW w:type="dxa" w:w="5400"/>
            <w:shd w:fill="1F3864" w:color="auto" w:val="clear"/>
            <w:tcMar>
              <w:top w:type="dxa" w:w="80"/>
              <w:left w:type="dxa" w:w="100"/>
              <w:bottom w:type="dxa" w:w="80"/>
              <w:right w:type="dxa" w:w="100"/>
            </w:tcMar>
          </w:tcPr>
          <w:p>
            <w:pPr>
              <w:jc w:val="left"/>
            </w:pPr>
            <w:r>
              <w:rPr>
                <w:b/>
                <w:bCs/>
                <w:color w:val="FFFFFF"/>
                <w:sz w:val="19"/>
                <w:szCs w:val="19"/>
              </w:rPr>
              <w:t xml:space="preserve">Responsabilidades principales</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Bryan Gerardo Ascuc de Paz</w:t>
            </w:r>
          </w:p>
        </w:tc>
        <w:tc>
          <w:tcPr>
            <w:tcW w:type="dxa" w:w="2000"/>
            <w:shd w:fill="F2F2F2" w:color="auto" w:val="clear"/>
            <w:tcMar>
              <w:top w:type="dxa" w:w="80"/>
              <w:left w:type="dxa" w:w="100"/>
              <w:bottom w:type="dxa" w:w="80"/>
              <w:right w:type="dxa" w:w="100"/>
            </w:tcMar>
          </w:tcPr>
          <w:p>
            <w:pPr>
              <w:jc w:val="left"/>
            </w:pPr>
            <w:r>
              <w:rPr>
                <w:b w:val="false"/>
                <w:bCs w:val="false"/>
                <w:color w:val="000000"/>
                <w:sz w:val="19"/>
                <w:szCs w:val="19"/>
              </w:rPr>
              <w:t xml:space="preserve">Arquitecto de Software</w:t>
            </w:r>
          </w:p>
        </w:tc>
        <w:tc>
          <w:tcPr>
            <w:tcW w:type="dxa" w:w="5400"/>
            <w:shd w:fill="F2F2F2" w:color="auto" w:val="clear"/>
            <w:tcMar>
              <w:top w:type="dxa" w:w="80"/>
              <w:left w:type="dxa" w:w="100"/>
              <w:bottom w:type="dxa" w:w="80"/>
              <w:right w:type="dxa" w:w="100"/>
            </w:tcMar>
          </w:tcPr>
          <w:p>
            <w:pPr>
              <w:jc w:val="left"/>
            </w:pPr>
            <w:r>
              <w:rPr>
                <w:b w:val="false"/>
                <w:bCs w:val="false"/>
                <w:color w:val="000000"/>
                <w:sz w:val="19"/>
                <w:szCs w:val="19"/>
              </w:rPr>
              <w:t xml:space="preserve">Diseño de la arquitectura de microservicios, definición de límites de dominio entre servicios, diseño del esquema de eventos/colas (RabbitMQ) y del flujo de autenticación JWT compartido, configuración del API Gateway (Traefik) y de docker-compose, coordinación de la migración desde el backend monolítico original.</w:t>
            </w:r>
          </w:p>
        </w:tc>
      </w:tr>
      <w:tr>
        <w:tc>
          <w:tcPr>
            <w:tcW w:type="dxa" w:w="2600"/>
            <w:shd w:fill="FFFFFF" w:color="auto" w:val="clear"/>
            <w:tcMar>
              <w:top w:type="dxa" w:w="80"/>
              <w:left w:type="dxa" w:w="100"/>
              <w:bottom w:type="dxa" w:w="80"/>
              <w:right w:type="dxa" w:w="100"/>
            </w:tcMar>
          </w:tcPr>
          <w:p>
            <w:pPr>
              <w:jc w:val="left"/>
            </w:pPr>
            <w:r>
              <w:rPr>
                <w:b w:val="false"/>
                <w:bCs w:val="false"/>
                <w:color w:val="000000"/>
                <w:sz w:val="19"/>
                <w:szCs w:val="19"/>
              </w:rPr>
              <w:t xml:space="preserve">Ram Kevin Morataya</w:t>
            </w:r>
          </w:p>
        </w:tc>
        <w:tc>
          <w:tcPr>
            <w:tcW w:type="dxa" w:w="2000"/>
            <w:shd w:fill="FFFFFF" w:color="auto" w:val="clear"/>
            <w:tcMar>
              <w:top w:type="dxa" w:w="80"/>
              <w:left w:type="dxa" w:w="100"/>
              <w:bottom w:type="dxa" w:w="80"/>
              <w:right w:type="dxa" w:w="100"/>
            </w:tcMar>
          </w:tcPr>
          <w:p>
            <w:pPr>
              <w:jc w:val="left"/>
            </w:pPr>
            <w:r>
              <w:rPr>
                <w:b w:val="false"/>
                <w:bCs w:val="false"/>
                <w:color w:val="000000"/>
                <w:sz w:val="19"/>
                <w:szCs w:val="19"/>
              </w:rPr>
              <w:t xml:space="preserve">Backend Developer</w:t>
            </w:r>
          </w:p>
        </w:tc>
        <w:tc>
          <w:tcPr>
            <w:tcW w:type="dxa" w:w="5400"/>
            <w:shd w:fill="FFFFFF" w:color="auto" w:val="clear"/>
            <w:tcMar>
              <w:top w:type="dxa" w:w="80"/>
              <w:left w:type="dxa" w:w="100"/>
              <w:bottom w:type="dxa" w:w="80"/>
              <w:right w:type="dxa" w:w="100"/>
            </w:tcMar>
          </w:tcPr>
          <w:p>
            <w:pPr>
              <w:jc w:val="left"/>
            </w:pPr>
            <w:r>
              <w:rPr>
                <w:b w:val="false"/>
                <w:bCs w:val="false"/>
                <w:color w:val="000000"/>
                <w:sz w:val="19"/>
                <w:szCs w:val="19"/>
              </w:rPr>
              <w:t xml:space="preserve">Implementación de los microservicios Node.js/Express/TypeScript (identity, organization, catalog, ticketing, attachment, notification, audit, reporting, settings), modelado de datos con Prisma y colecciones MongoDB, lógica de negocio del ciclo de vida del ticket, consumidores de eventos y manejo de reintentos/DLQ, suite de pruebas de contrato (Postman/Newman).</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19"/>
                <w:szCs w:val="19"/>
              </w:rPr>
              <w:t xml:space="preserve">Geber Mendoza</w:t>
            </w:r>
          </w:p>
        </w:tc>
        <w:tc>
          <w:tcPr>
            <w:tcW w:type="dxa" w:w="2000"/>
            <w:shd w:fill="F2F2F2" w:color="auto" w:val="clear"/>
            <w:tcMar>
              <w:top w:type="dxa" w:w="80"/>
              <w:left w:type="dxa" w:w="100"/>
              <w:bottom w:type="dxa" w:w="80"/>
              <w:right w:type="dxa" w:w="100"/>
            </w:tcMar>
          </w:tcPr>
          <w:p>
            <w:pPr>
              <w:jc w:val="left"/>
            </w:pPr>
            <w:r>
              <w:rPr>
                <w:b w:val="false"/>
                <w:bCs w:val="false"/>
                <w:color w:val="000000"/>
                <w:sz w:val="19"/>
                <w:szCs w:val="19"/>
              </w:rPr>
              <w:t xml:space="preserve">Frontend Developer</w:t>
            </w:r>
          </w:p>
        </w:tc>
        <w:tc>
          <w:tcPr>
            <w:tcW w:type="dxa" w:w="5400"/>
            <w:shd w:fill="F2F2F2" w:color="auto" w:val="clear"/>
            <w:tcMar>
              <w:top w:type="dxa" w:w="80"/>
              <w:left w:type="dxa" w:w="100"/>
              <w:bottom w:type="dxa" w:w="80"/>
              <w:right w:type="dxa" w:w="100"/>
            </w:tcMar>
          </w:tcPr>
          <w:p>
            <w:pPr>
              <w:jc w:val="left"/>
            </w:pPr>
            <w:r>
              <w:rPr>
                <w:b w:val="false"/>
                <w:bCs w:val="false"/>
                <w:color w:val="000000"/>
                <w:sz w:val="19"/>
                <w:szCs w:val="19"/>
              </w:rPr>
              <w:t xml:space="preserve">Implementación de la SPA en React/Vite/TypeScript: pantallas de autenticación, dashboards por rol, flujo de creación y seguimiento de tickets, panel de notificaciones, consumo de la API vía el cliente HTTP (axios + TanStack Query) y de los endpoints de estado de trabajos en cola.</w:t>
            </w:r>
          </w:p>
        </w:tc>
      </w:tr>
    </w:tbl>
    <w:p>
      <w:pPr>
        <w:pStyle w:val="Heading1"/>
        <w:pBdr>
          <w:bottom w:val="single" w:color="2E74B5" w:sz="6" w:space="4"/>
        </w:pBdr>
        <w:spacing w:after="160" w:before="360"/>
      </w:pPr>
      <w:r>
        <w:rPr>
          <w:b/>
          <w:bCs/>
          <w:color w:val="1F3864"/>
          <w:sz w:val="30"/>
          <w:szCs w:val="30"/>
        </w:rPr>
        <w:t xml:space="preserve">7. Buenas prácticas de seguridad aplicadas</w:t>
      </w:r>
    </w:p>
    <w:p>
      <w:pPr>
        <w:pStyle w:val="ListParagraph"/>
        <w:numPr>
          <w:ilvl w:val="0"/>
          <w:numId w:val="2"/>
        </w:numPr>
        <w:spacing w:after="90"/>
      </w:pPr>
      <w:r>
        <w:rPr>
          <w:sz w:val="21"/>
          <w:szCs w:val="21"/>
        </w:rPr>
        <w:t xml:space="preserve">Contraseñas protegidas con bcrypt — nunca se almacenan ni se comparan en texto plano.</w:t>
      </w:r>
    </w:p>
    <w:p>
      <w:pPr>
        <w:pStyle w:val="ListParagraph"/>
        <w:numPr>
          <w:ilvl w:val="0"/>
          <w:numId w:val="2"/>
        </w:numPr>
        <w:spacing w:after="90"/>
      </w:pPr>
      <w:r>
        <w:rPr>
          <w:sz w:val="21"/>
          <w:szCs w:val="21"/>
        </w:rPr>
        <w:t xml:space="preserve">JWT de corta duración para el access token y refresh token rotativo entregado en cookie httpOnly (no accesible desde JavaScript del cliente), con su hash (no el valor en claro) persistido en base de datos.</w:t>
      </w:r>
    </w:p>
    <w:p>
      <w:pPr>
        <w:pStyle w:val="ListParagraph"/>
        <w:numPr>
          <w:ilvl w:val="0"/>
          <w:numId w:val="2"/>
        </w:numPr>
        <w:spacing w:after="90"/>
      </w:pPr>
      <w:r>
        <w:rPr>
          <w:sz w:val="21"/>
          <w:szCs w:val="21"/>
        </w:rPr>
        <w:t xml:space="preserve">RBAC por middleware (requireRole) en cada ruta sensible de cada microservicio: un técnico solo ve/opera sus tickets asignados, un usuario solo los suyos, operaciones administrativas exclusivas de MASTER.</w:t>
      </w:r>
    </w:p>
    <w:p>
      <w:pPr>
        <w:pStyle w:val="ListParagraph"/>
        <w:numPr>
          <w:ilvl w:val="0"/>
          <w:numId w:val="2"/>
        </w:numPr>
        <w:spacing w:after="90"/>
      </w:pPr>
      <w:r>
        <w:rPr>
          <w:sz w:val="21"/>
          <w:szCs w:val="21"/>
        </w:rPr>
        <w:t xml:space="preserve">Validación de entrada con Zod en todos los endpoints antes de tocar la base de datos.</w:t>
      </w:r>
    </w:p>
    <w:p>
      <w:pPr>
        <w:pStyle w:val="ListParagraph"/>
        <w:numPr>
          <w:ilvl w:val="0"/>
          <w:numId w:val="2"/>
        </w:numPr>
        <w:spacing w:after="90"/>
      </w:pPr>
      <w:r>
        <w:rPr>
          <w:sz w:val="21"/>
          <w:szCs w:val="21"/>
        </w:rPr>
        <w:t xml:space="preserve">Consultas parametrizadas a través de Prisma ORM en los servicios relacionales — mitiga inyección SQL.</w:t>
      </w:r>
    </w:p>
    <w:p>
      <w:pPr>
        <w:pStyle w:val="ListParagraph"/>
        <w:numPr>
          <w:ilvl w:val="0"/>
          <w:numId w:val="2"/>
        </w:numPr>
        <w:spacing w:after="90"/>
      </w:pPr>
      <w:r>
        <w:rPr>
          <w:sz w:val="21"/>
          <w:szCs w:val="21"/>
        </w:rPr>
        <w:t xml:space="preserve">React escapa el contenido renderizado por defecto, mitigando XSS; CORS restringido en cada servicio; rate-limiting en los endpoints de autenticación.</w:t>
      </w:r>
    </w:p>
    <w:p>
      <w:pPr>
        <w:pStyle w:val="ListParagraph"/>
        <w:numPr>
          <w:ilvl w:val="0"/>
          <w:numId w:val="2"/>
        </w:numPr>
        <w:spacing w:after="90"/>
      </w:pPr>
      <w:r>
        <w:rPr>
          <w:sz w:val="21"/>
          <w:szCs w:val="21"/>
        </w:rPr>
        <w:t xml:space="preserve">Adjuntos: whitelist de tipos de archivo permitidos, límite de tamaño (10 MB por defecto), nombres de archivo aleatorios en almacenamiento, descarga sujeta a autorización — gestionado de forma aislada por attachment-service.</w:t>
      </w:r>
    </w:p>
    <w:p>
      <w:pPr>
        <w:pStyle w:val="ListParagraph"/>
        <w:numPr>
          <w:ilvl w:val="0"/>
          <w:numId w:val="2"/>
        </w:numPr>
        <w:spacing w:after="90"/>
      </w:pPr>
      <w:r>
        <w:rPr>
          <w:sz w:val="21"/>
          <w:szCs w:val="21"/>
        </w:rPr>
        <w:t xml:space="preserve">Auditoría centralizada: login/logout, creación y cambios de estado de tickets, asignaciones, gestión de usuarios y catálogos, cambios de configuración — cada evento se registra con IP y user-agent en audit-service.</w:t>
      </w:r>
    </w:p>
    <w:p>
      <w:pPr>
        <w:pStyle w:val="ListParagraph"/>
        <w:numPr>
          <w:ilvl w:val="0"/>
          <w:numId w:val="2"/>
        </w:numPr>
        <w:spacing w:after="90"/>
      </w:pPr>
      <w:r>
        <w:rPr>
          <w:sz w:val="21"/>
          <w:szCs w:val="21"/>
        </w:rPr>
        <w:t xml:space="preserve">Secreto JWT compartido entre servicios (HS256) configurado por variable de entorno, nunca hardcodeado en el código fuente (los valores de ejemplo en docker-compose.yml son exclusivamente para desarrollo local).</w:t>
      </w:r>
    </w:p>
    <w:p>
      <w:pPr>
        <w:pStyle w:val="Heading2"/>
        <w:spacing w:after="120" w:before="260"/>
      </w:pPr>
      <w:r>
        <w:rPr>
          <w:b/>
          <w:bCs/>
          <w:color w:val="2E74B5"/>
          <w:sz w:val="24"/>
          <w:szCs w:val="24"/>
        </w:rPr>
        <w:t xml:space="preserve">7.1 Limitaciones conocidas (fuera del alcance académico de este proyecto)</w:t>
      </w:r>
    </w:p>
    <w:p>
      <w:pPr>
        <w:spacing w:after="160" w:line="276"/>
      </w:pPr>
      <w:r>
        <w:rPr>
          <w:sz w:val="21"/>
          <w:szCs w:val="21"/>
        </w:rPr>
        <w:t xml:space="preserve">El propio equipo documenta explícitamente estas limitaciones como pendientes para un entorno de producción real, no como descuidos:</w:t>
      </w:r>
    </w:p>
    <w:p>
      <w:pPr>
        <w:pStyle w:val="ListParagraph"/>
        <w:numPr>
          <w:ilvl w:val="0"/>
          <w:numId w:val="2"/>
        </w:numPr>
        <w:spacing w:after="90"/>
      </w:pPr>
      <w:r>
        <w:rPr>
          <w:sz w:val="21"/>
          <w:szCs w:val="21"/>
        </w:rPr>
        <w:t xml:space="preserve">Sin migraciones de base de datos versionadas (se usa prisma db push en cada arranque de contenedor).</w:t>
      </w:r>
    </w:p>
    <w:p>
      <w:pPr>
        <w:pStyle w:val="ListParagraph"/>
        <w:numPr>
          <w:ilvl w:val="0"/>
          <w:numId w:val="2"/>
        </w:numPr>
        <w:spacing w:after="90"/>
      </w:pPr>
      <w:r>
        <w:rPr>
          <w:sz w:val="21"/>
          <w:szCs w:val="21"/>
        </w:rPr>
        <w:t xml:space="preserve">Secretos de desarrollo hardcodeados en docker-compose.yml (JWT_SECRET, contraseña de MySQL) — deben externalizarse a un gestor de secretos en producción.</w:t>
      </w:r>
    </w:p>
    <w:p>
      <w:pPr>
        <w:pStyle w:val="ListParagraph"/>
        <w:numPr>
          <w:ilvl w:val="0"/>
          <w:numId w:val="2"/>
        </w:numPr>
        <w:spacing w:after="90"/>
      </w:pPr>
      <w:r>
        <w:rPr>
          <w:sz w:val="21"/>
          <w:szCs w:val="21"/>
        </w:rPr>
        <w:t xml:space="preserve">JWT con secreto simétrico compartido (HS256) en lugar de RS256/JWKS con rotación de llaves.</w:t>
      </w:r>
    </w:p>
    <w:p>
      <w:pPr>
        <w:pStyle w:val="ListParagraph"/>
        <w:numPr>
          <w:ilvl w:val="0"/>
          <w:numId w:val="2"/>
        </w:numPr>
        <w:spacing w:after="90"/>
      </w:pPr>
      <w:r>
        <w:rPr>
          <w:sz w:val="21"/>
          <w:szCs w:val="21"/>
        </w:rPr>
        <w:t xml:space="preserve">Sin TLS en ningún punto del entorno de desarrollo local (el Gateway sirve HTTP plano).</w:t>
      </w:r>
    </w:p>
    <w:p>
      <w:pPr>
        <w:pStyle w:val="ListParagraph"/>
        <w:numPr>
          <w:ilvl w:val="0"/>
          <w:numId w:val="2"/>
        </w:numPr>
        <w:spacing w:after="90"/>
      </w:pPr>
      <w:r>
        <w:rPr>
          <w:sz w:val="21"/>
          <w:szCs w:val="21"/>
        </w:rPr>
        <w:t xml:space="preserve">Sin pipeline de CI/CD ni observabilidad centralizada (logs, trazas y métricas se revisan por contenedor con docker compose logs).</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lvl w:ilvl="1" w:tentative="1">
      <w:start w:val="1"/>
      <w:numFmt w:val="bullet"/>
      <w:lvlText w:val="◦"/>
      <w:lvlJc w:val="left"/>
      <w:pPr>
        <w:ind w:left="820" w:hanging="260"/>
      </w:pPr>
    </w:lvl>
  </w:abstractNum>
  <w:abstractNum w:abstractNumId="3" w15:restartNumberingAfterBreak="0">
    <w:multiLevelType w:val="hybridMultilevel"/>
    <w:lvl w:ilvl="0" w: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2026-10-01T16:19:22.840Z</dcterms:created>
  <dcterms:modified xsi:type="dcterms:W3CDTF">2026-10-01T16:19:22.843Z</dcterms:modified>
</cp:coreProperties>
</file>

<file path=docProps/custom.xml><?xml version="1.0" encoding="utf-8"?>
<Properties xmlns="http://schemas.openxmlformats.org/officeDocument/2006/custom-properties" xmlns:vt="http://schemas.openxmlformats.org/officeDocument/2006/docPropsVTypes"/>
</file>