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595959"/>
          <w:sz w:val="22"/>
          <w:szCs w:val="22"/>
        </w:rPr>
        <w:t xml:space="preserve">UNIVERSIDAD — CURSO DE DESARROLLO WEB</w:t>
      </w:r>
    </w:p>
    <w:p>
      <w:pPr>
        <w:spacing w:before="600"/>
        <w:jc w:val="center"/>
      </w:pPr>
      <w:r>
        <w:rPr>
          <w:b/>
          <w:bCs/>
          <w:color w:val="1F3864"/>
          <w:sz w:val="48"/>
          <w:szCs w:val="48"/>
        </w:rPr>
        <w:t xml:space="preserve">MANUAL TÉCNICO</w:t>
      </w:r>
    </w:p>
    <w:p>
      <w:pPr>
        <w:spacing w:after="900" w:before="120"/>
        <w:jc w:val="center"/>
      </w:pPr>
      <w:r>
        <w:rPr>
          <w:b/>
          <w:bCs/>
          <w:color w:val="2E74B5"/>
          <w:sz w:val="30"/>
          <w:szCs w:val="30"/>
        </w:rPr>
        <w:t xml:space="preserve">HelpDesk — Sistema de Gestión de Tickets de Soporte Técnico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rPr>
          <w:tblHeader/>
        </w:trPr>
        <w:tc>
          <w:tcPr>
            <w:tcW w:type="dxa" w:w="6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en el proyecto</w:t>
            </w:r>
          </w:p>
        </w:tc>
      </w:tr>
      <w:tr>
        <w:tc>
          <w:tcPr>
            <w:tcW w:type="dxa" w:w="6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Bryan Gerardo Ascuc de Paz</w:t>
            </w:r>
          </w:p>
        </w:tc>
        <w:tc>
          <w:tcPr>
            <w:tcW w:type="dxa" w:w="4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Arquitecto de Software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Ram Kevin Morataya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Developer</w:t>
            </w:r>
          </w:p>
        </w:tc>
      </w:tr>
      <w:tr>
        <w:tc>
          <w:tcPr>
            <w:tcW w:type="dxa" w:w="6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Geber Mendoza</w:t>
            </w:r>
          </w:p>
        </w:tc>
        <w:tc>
          <w:tcPr>
            <w:tcW w:type="dxa" w:w="4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Developer</w:t>
            </w:r>
          </w:p>
        </w:tc>
      </w:tr>
    </w:tbl>
    <w:p>
      <w:pPr>
        <w:spacing w:before="900"/>
        <w:jc w:val="center"/>
      </w:pPr>
      <w:r>
        <w:rPr>
          <w:sz w:val="21"/>
          <w:szCs w:val="21"/>
        </w:rPr>
        <w:t xml:space="preserve">Curso: Desarrollo Web</w:t>
      </w:r>
    </w:p>
    <w:p>
      <w:pPr>
        <w:jc w:val="center"/>
      </w:pPr>
      <w:r>
        <w:rPr>
          <w:sz w:val="21"/>
          <w:szCs w:val="21"/>
        </w:rPr>
        <w:t xml:space="preserve">Fecha: 1 de octubre de 2026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Estructura del proyecto</w:t>
      </w:r>
    </w:p>
    <w:p>
      <w:pPr>
        <w:spacing w:after="160" w:line="276"/>
      </w:pPr>
      <w:r>
        <w:rPr>
          <w:sz w:val="21"/>
          <w:szCs w:val="21"/>
        </w:rPr>
        <w:t xml:space="preserve">El proyecto es un monorepo administrado con npm workspaces, con tres grupos de paquetes: frontend (SPA), packages/* (código compartido) y services/* (los 9 microservicios).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Ticketdesarrollo/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├── frontend/                   SPA React + Vite + TypeScript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└── src/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api/                 Cliente HTTP (axios) + endpoints.ts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components/          UI reutilizable (incl. layout/)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context/             Auth context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hooks/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pages/                Dashboard, tickets, admin/, catalogs/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└── utils/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├── packages/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└── common/src/              Código compartido entre microservicios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auth.ts               authenticate() — verificación de JWT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rbac.ts               requireRole() — control de acceso por rol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events.ts             publishEvent()/consumeEvents() (RabbitMQ)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audit-event.ts        publishAuditEvent()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http-error.ts / error-handler.ts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├── validate.ts           integración con Zod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└── health.ts             handler compartido de /health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├── services/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├── identity-service/         :4001  MySQL (Prisma)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├── organization-service/     :4002  MySQL (Prisma)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├── catalog-service/          :4003  MySQL (Prisma)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├── ticketing-service/        :4004  MySQL (Prisma)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├── attachment-service/       :4005  MongoDB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├── notification-service/     :4006  MongoDB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├── audit-service/            :4007  MongoDB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├── reporting-service/        :4008  (sin BD propia)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└── settings-service/         :4009  MongoDB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 └── &lt;cada servicio&gt;/src/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      ├── server.ts        Arranque (listen)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      ├── app.ts           Express app, middlewares, montaje de rutas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      ├── config/          env, constantes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      ├── modules/&lt;dominio&gt;/routes.ts   Endpoints del dominio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      ├── consumers/       Consumidores de eventos RabbitMQ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      ├── lib/             Helpers de notificación/auditoría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│             └── prisma/schema.prisma   (solo servicios MySQL)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├── gateway/traefik/              traefik.yml + dynamic.yml (enrutamiento)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├── tests/contract/                Colección Postman/Newman (pruebas de contrato)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├── docs/                          Documentación del proyecto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└── docker-compose.yml             Orquesta los 16 contenedores del stack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Instrucciones de instalación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2.1 Requisitos previos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Docker Desktop (recomendado para levantar todo el stack sin instalar Node, MySQL, MongoDB ni RabbitMQ en la máquina local).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Alternativamente, para desarrollo sin Docker: Node.js 18+ y npm, más instancias locales de MySQL 8, MongoDB 7 y RabbitMQ 3.13 accesibles.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Puerto 80 libre en el host (lo usa el Gateway); si está ocupado, remapear en docker-compose.yml.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2.2 Levantar todo el sistema con Docker (recomendado)</w:t>
      </w:r>
    </w:p>
    <w:p>
      <w:pPr>
        <w:spacing w:after="160" w:line="276"/>
      </w:pPr>
      <w:r>
        <w:rPr>
          <w:sz w:val="21"/>
          <w:szCs w:val="21"/>
        </w:rPr>
        <w:t xml:space="preserve">Clonar el repositorio y, desde la raíz del proyecto, ejecutar: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up --build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Este único comando construye y levanta los 16 contenedores: mysql, mongodb, rabbitmq, adminer, mongo-express, gateway (Traefik), los 9 microservicios y el frontend. Cada microservicio con Prisma ejecuta automáticamente prisma db push (aplica el esquema) y prisma db seed (siembra roles, usuarios demo y catálogos) antes de iniciar — por eso no se requiere un paso manual de migración. Los consumidores de colas (ver sección 5) arrancan junto con el proceso del servicio: no son procesos separados que deban levantarse aparte.</w:t>
      </w:r>
    </w:p>
    <w:p>
      <w:pPr>
        <w:spacing w:after="160" w:line="276"/>
      </w:pPr>
      <w:r>
        <w:rPr>
          <w:sz w:val="21"/>
          <w:szCs w:val="21"/>
        </w:rPr>
        <w:t xml:space="preserve">Para dejarlo corriendo en segundo plano y liberar la terminal: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up --build -d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logs -f          # ver logs de todos los contenedores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logs -f notification-service   # logs de un servicio puntual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Verificar que los 16 contenedores estén arriba y saludables: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ps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Apagar el stack conservando los datos, o apagar y borrar los volúmenes (reinicio total):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down        # conserva datos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down -v     # borra también los datos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2.3 Acceso a la aplicación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5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(SPA)</w:t>
            </w:r>
          </w:p>
        </w:tc>
        <w:tc>
          <w:tcPr>
            <w:tcW w:type="dxa" w:w="5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http://localhost:5174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Gateway (Traefik)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http://localhost/api/...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de Traefik</w:t>
            </w:r>
          </w:p>
        </w:tc>
        <w:tc>
          <w:tcPr>
            <w:tcW w:type="dxa" w:w="5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http://localhost:8090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Adminer (administración MySQL)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http://localhost:8081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Mongo Express (administración MongoDB)</w:t>
            </w:r>
          </w:p>
        </w:tc>
        <w:tc>
          <w:tcPr>
            <w:tcW w:type="dxa" w:w="5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http://localhost:8082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RabbitMQ Management UI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http://localhost:15672 (guest/guest)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Cuentas de demostración ya sembradas por cada microservicio de identidad: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Correo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Jefe de Soporte (MASTER)</w:t>
            </w:r>
          </w:p>
        </w:tc>
        <w:tc>
          <w:tcPr>
            <w:tcW w:type="dxa" w:w="4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jefe.soporte@empresa.com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Técnico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carlos.tec@empresa.com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Tecnico123!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 final</w:t>
            </w:r>
          </w:p>
        </w:tc>
        <w:tc>
          <w:tcPr>
            <w:tcW w:type="dxa" w:w="4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maria.usuario@empresa.com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Usuario123!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2.4 Desarrollo local sin reconstruir contenedores (hot reload)</w:t>
      </w:r>
    </w:p>
    <w:p>
      <w:pPr>
        <w:spacing w:after="160" w:line="276"/>
      </w:pPr>
      <w:r>
        <w:rPr>
          <w:sz w:val="21"/>
          <w:szCs w:val="21"/>
        </w:rPr>
        <w:t xml:space="preserve">Para trabajar en un servicio con recarga en caliente, sin reconstruir su imagen Docker, se levanta solo la infraestructura de datos en Docker y los servicios Node directamente con npm: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up mysql mongodb rabbitmq -d   # solo infraestructura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npm install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npm run services:dev     # levanta los 9 microservicios con tsx watch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npm run dev:frontend     # levanta el frontend (Vite) contra el gateway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Este modo requiere variables de entorno locales equivalentes a las definidas en docker-compose.yml para cada servicio (DATABASE_URL o MONGO_URI, RABBITMQ_URL, JWT_SECRET — ver sección 3).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2.5 Suite de pruebas de contrato</w:t>
      </w:r>
    </w:p>
    <w:p>
      <w:pPr>
        <w:spacing w:after="160" w:line="276"/>
      </w:pPr>
      <w:r>
        <w:rPr>
          <w:sz w:val="21"/>
          <w:szCs w:val="21"/>
        </w:rPr>
        <w:t xml:space="preserve">tests/contract/ contiene la única suite de pruebas automatizadas del proyecto: una colección Postman/Newman de 117 solicitudes y 229 aserciones que se ejecuta contra el Gateway real. Se usa como red de seguridad de regresión antes de modificar un servicio: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npx newman run tests/contract/helpdesk-api.postman_collection.json \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  -e tests/contract/local.postman_environment.json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Requiere el stack levantado (docker compose up --build -d) con la base de datos recién sembrada, ya que la colección no es idempotente: las carpetas comparten variables de entorno encadenadas entre pasos.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Variables de entorno</w:t>
      </w:r>
    </w:p>
    <w:p>
      <w:pPr>
        <w:spacing w:after="160" w:line="276"/>
      </w:pPr>
      <w:r>
        <w:rPr>
          <w:sz w:val="21"/>
          <w:szCs w:val="21"/>
        </w:rPr>
        <w:t xml:space="preserve">No existe un único .env en la raíz: cada microservicio define las suyas en su propio .env.example, y en el entorno de Docker se inyectan directamente desde docker-compose.yml. Patrón común a todos los servicios: PORT, NODE_ENV y JWT_SECRET (secreto compartido para validar los JWT emitidos por identity-service).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7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Variables propias (además de PORT / NODE_ENV / JWT_SECRET)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identity-service</w:t>
            </w:r>
          </w:p>
        </w:tc>
        <w:tc>
          <w:tcPr>
            <w:tcW w:type="dxa" w:w="7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DATABASE_URL, RABBITMQ_URL, ORGANIZATION_SERVICE_URL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organization-service</w:t>
            </w:r>
          </w:p>
        </w:tc>
        <w:tc>
          <w:tcPr>
            <w:tcW w:type="dxa" w:w="7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DATABASE_URL, RABBITMQ_URL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catalog-service</w:t>
            </w:r>
          </w:p>
        </w:tc>
        <w:tc>
          <w:tcPr>
            <w:tcW w:type="dxa" w:w="7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DATABASE_URL, RABBITMQ_URL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ticketing-service</w:t>
            </w:r>
          </w:p>
        </w:tc>
        <w:tc>
          <w:tcPr>
            <w:tcW w:type="dxa" w:w="7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DATABASE_URL, RABBITMQ_URL, IDENTITY_SERVICE_URL, CATALOG_SERVICE_URL, ORGANIZATION_SERVICE_URL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attachment-service</w:t>
            </w:r>
          </w:p>
        </w:tc>
        <w:tc>
          <w:tcPr>
            <w:tcW w:type="dxa" w:w="7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MONGO_URI, MONGO_DB_NAME, RABBITMQ_URL, TICKETING_SERVICE_URL, UPLOAD_DIR, UPLOAD_MAX_MB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7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MONGO_URI, MONGO_DB_NAME, RABBITMQ_URL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audit-service</w:t>
            </w:r>
          </w:p>
        </w:tc>
        <w:tc>
          <w:tcPr>
            <w:tcW w:type="dxa" w:w="7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MONGO_URI, MONGO_DB_NAME, RABBITMQ_URL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reporting-service</w:t>
            </w:r>
          </w:p>
        </w:tc>
        <w:tc>
          <w:tcPr>
            <w:tcW w:type="dxa" w:w="7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TICKETING_SERVICE_URL, CATALOG_SERVICE_URL, ORGANIZATION_SERVICE_URL, IDENTITY_SERVICE_URL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settings-service</w:t>
            </w:r>
          </w:p>
        </w:tc>
        <w:tc>
          <w:tcPr>
            <w:tcW w:type="dxa" w:w="7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MONGO_URI, MONGO_DB_NAME, RABBITMQ_URL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 Ejemplo — services/ticketing-service/.env.example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PORT=4004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NODE_ENV=development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JWT_SECRET=dev-shared-jwt-secret-change-me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DATABASE_URL=mysql://helpdesk:helpdesk@localhost:3306/ticketing_db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RABBITMQ_URL=amqp://guest:guest@localhost:5672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IDENTITY_SERVICE_URL=http://localhost:4001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CATALOG_SERVICE_URL=http://localhost:4003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ORGANIZATION_SERVICE_URL=http://localhost:4002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 Ejemplo — services/notification-service/.env.example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PORT=4006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NODE_ENV=development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JWT_SECRET=dev-shared-jwt-secret-change-me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MONGO_URI=mongodb://localhost:27017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MONGO_DB_NAME=notification_db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RABBITMQ_URL=amqp://guest:guest@localhost:5672</w:t>
            </w:r>
          </w:p>
        </w:tc>
      </w:tr>
    </w:tbl>
    <w:p>
      <w:pPr>
        <w:spacing w:after="160" w:line="276"/>
      </w:pPr>
      <w:r>
        <w:rPr>
          <w:b/>
          <w:bCs/>
          <w:sz w:val="21"/>
          <w:szCs w:val="21"/>
        </w:rPr>
        <w:t xml:space="preserve">Importante: </w:t>
      </w:r>
      <w:r>
        <w:rPr>
          <w:sz w:val="21"/>
          <w:szCs w:val="21"/>
        </w:rPr>
        <w:t xml:space="preserve">los valores anteriores son exclusivamente para desarrollo local. JWT_SECRET y las credenciales de MySQL están hardcodeados en docker-compose.yml para simplificar la puesta en marcha del curso; en un despliegue real deben externalizarse a un gestor de secretos.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Endpoints principales de la API</w:t>
      </w:r>
    </w:p>
    <w:p>
      <w:pPr>
        <w:spacing w:after="160" w:line="276"/>
      </w:pPr>
      <w:r>
        <w:rPr>
          <w:sz w:val="21"/>
          <w:szCs w:val="21"/>
        </w:rPr>
        <w:t xml:space="preserve">Todas las rutas se consumen a través del Gateway bajo el prefijo /api (base: http://localhost/api). El Gateway enruta por PathPrefix hacia el microservicio dueño de cada recurso; la tabla agrupa los endpoints por servicio. Las columnas 'Auth' indican si el endpoint requiere JWT y, cuando aplica, el rol exigido por requireRole.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 identity-service — /api/auth, /api/users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300"/>
        <w:gridCol w:w="3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Parámetros / body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Inicio de sesión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email, password, rememberMe? → 200: { token, user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/auth/me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Perfil del usuario autenticado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token → 200: { id, name, email, role...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/auth/profile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 perfil propio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phone?, position? → 200: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Solicitar reseteo de contraseña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 → 200 (en dev incluye devResetToken)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Resetear contraseña con token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token, password → 200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/auth/password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Cambiar contraseña autenticado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currentPassword, newPassword → 200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Renovar access token (cookie refresh_token)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{ token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/users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usuario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email, password, roleCode, companyId, departmentId → 201: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/users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usuarios paginado (MASTER)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page, pageSize → 200: { data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/users/technicians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técnicos activos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[ ... ]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/users/:id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Detalle de usuario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{ email, ...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/users/:id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 usuario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body parcial → 200: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/users/:id/status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Activar / desactivar usuario (MASTER)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→ 200: { ok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/users/:id/reset-password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Resetear contraseña de otro usuario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 → 200: { ok 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 organization-service — /api/companies, /api/departments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300"/>
        <w:gridCol w:w="3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Parámetros / body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/companies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empresa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description?, status? → 201: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/companies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empresas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/companies/:id/departments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Departamentos de una empresa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/companies/:id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 empresa (MASTER)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body parcial → 200: { id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/departments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departamento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companyId, name, status? → 201: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/departments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departamentos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companyId → 200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/departments/:id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 departamento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body parcial → 200: { id 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4.3 catalog-service — /api/categories, /api/priorities, /api/statuses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300"/>
        <w:gridCol w:w="3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Parámetros / body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/categories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categoría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description?, sortOrder? → 201: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/categories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categorías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/categories/subcategories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subcategoría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categoryId, name → 201: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/categories/:id/subcategories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Subcategorías de una categoría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/priorities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prioridad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code, name, color, sortOrder → 201: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/priorities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prioridades (incluye SLA)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/priorities/:id/sla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Configurar SLA de una prioridad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responseMinutes, resolutionHours, active → 200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/priorities/:id/sla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 SLA de una prioridad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/statuses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estado personalizado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code, name, color, sortOrder, isClosed → 201: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/statuses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estados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4.4 ticketing-service — /api/tickets (núcleo del dominio)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300"/>
        <w:gridCol w:w="3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Parámetros / body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Listado con filtros, alcance por rol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page, pageSize, search, statusId, priorityId, categoryId, technicianId... → 200: { data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/tickets/export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Exportar a CSV (MASTER)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mismos filtros de query → 200 CSV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ticket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subject, categoryId, subcategoryId?, priorityId, description, location?, device? → 201: { id, ticketNumber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Detalle enriquecido del ticket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{ ticketNumber, ...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Editar asunto/descripción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subject?, description? → 200: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/tickets/:id/history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Línea de tiempo completa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[ ... ]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/tickets/:id/comments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Agregar seguimiento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comment → 201: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/tickets/:id/assign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Asignar técnico (MASTER)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technicianId, reason? → 200: { id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/tickets/:id/reassign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Reasignar técnico (MASTER)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technicianId, reason? → 200: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/tickets/:id/status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Cambiar estado (transición validada)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status, comment? → 200: { id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/tickets/:id/resolve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solución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problemIdentified, solutionApplied, observations? → 200: { solution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/tickets/:id/confirm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Confirmar solución → cierra el ticket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{ id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/tickets/:id/reopen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Reabrir ticket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reason (mín. 5 caracteres) → 200: { id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/tickets/:id/cancel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Cancelar ticket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{ id 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4.5 attachment-service — /api/tickets/:id/attachments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300"/>
        <w:gridCol w:w="3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Parámetros / body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/tickets/:id/attachments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Adjuntar archivo(s)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multipart/form-data: files[], commentId? → 201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/tickets/:id/attachments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adjuntos del ticket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[ ... ]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/tickets/:id/attachments/:attachmentId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Descargar un adjunto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 (binario)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4.6 notification-service — /api/notifications, /api/jobs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300"/>
        <w:gridCol w:w="3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Parámetros / body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Listar notificaciones propias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page, pageSize → 200: { data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/notifications/unread-count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Contador de no leídas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{ count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/notifications/:id/read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Marcar una como leída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{ ok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Marcar todas como leídas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{ ok }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/jobs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Trabajos asíncronos (p. ej. de un ticket)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ticketId → 200: { attempt, id, status... }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/jobs/:id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Detalle de un trabajo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200: { attempt, maxAttempts, status 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4.7 audit-service, reporting-service y settings-service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35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5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/audit-logs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Bitácora de auditoría (MASTER)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/audit-logs/actions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Catálogo de acciones auditables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/dashboard/summary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Resumen del dashboard (alcance por rol)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/dashboard/by-status, by-priority, by-category, by-technician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Gráficos agregados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/reports/tickets, /reports/productivity, /reports/sla, /reports/companies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Reportes administrativos (MASTER)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/reports/export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Exportar un reporte a CSV (MASTER)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/settings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global del sistema (MASTER)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/settings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 configuración (MASTER)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Adicionalmente, cada uno de los 9 microservicios expone GET /health (sin pasar por el Gateway, directo al puerto del contenedor) usado por los healthcheck de docker-compose.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Uso de colas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 Cómo se encola un trabajo</w:t>
      </w:r>
    </w:p>
    <w:p>
      <w:pPr>
        <w:spacing w:after="160" w:line="276"/>
      </w:pPr>
      <w:r>
        <w:rPr>
          <w:sz w:val="21"/>
          <w:szCs w:val="21"/>
        </w:rPr>
        <w:t xml:space="preserve">Un trabajo se encola llamando a publishEvent(rabbitUrl, eventType, payload) desde el servicio productor. Por ejemplo, al crear un ticket, ticketing-service publica dos eventos distintos (services/ticketing-service/src/lib/notifications.ts): notification.create para la notificación interna que verá el Jefe de Soporte y el solicitante, y email.send para disparar la simulación de correo de confirmación. La publicación usa persistent: true; si RabbitMQ no está disponible en ese instante, el productor solo registra el error en el log — no bloquea la operación principal.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 Cómo se procesa un trabajo</w:t>
      </w:r>
    </w:p>
    <w:p>
      <w:pPr>
        <w:spacing w:after="160" w:line="276"/>
      </w:pPr>
      <w:r>
        <w:rPr>
          <w:sz w:val="21"/>
          <w:szCs w:val="21"/>
        </w:rPr>
        <w:t xml:space="preserve">Cada consumidor se registra con consumeEvents(rabbitUrl, queueName, routingKeys, handler, options) y arranca automáticamente junto con el proceso del microservicio (no hay un proceso 'worker' separado que levantar a mano). Por ejemplo, notification-service registra dos consumidores al iniciar: notification-consumer.ts (persiste notificaciones internas) y email-consumer.ts (simula el envío de correo).</w:t>
      </w:r>
    </w:p>
    <w:p>
      <w:pPr>
        <w:spacing w:after="160" w:line="276"/>
      </w:pPr>
      <w:r>
        <w:rPr>
          <w:sz w:val="21"/>
          <w:szCs w:val="21"/>
        </w:rPr>
        <w:t xml:space="preserve">email-consumer.ts ilustra el patrón completo: por cada evento recibido crea o actualiza (upsert, por eventId) un documento en la colección jobs con estado PROCESSING; si la simulación de envío falla (SIMULATED_FAILURE_RATE = 0.4, es decir ~40% de probabilidad por intento, deliberado para poder demostrar el patrón), el framework de colas reencola el mensaje automáticamente con backoff lineal, y el handler marca el job como RETRYING en el siguiente intento; si el envío tiene éxito, el job pasa a COMPLETED; si se agotan los 3 intentos, el callback onExhausted marca el job como FAILED con el último error.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 Cómo consultar el estado desde fuera</w:t>
      </w:r>
    </w:p>
    <w:p>
      <w:pPr>
        <w:spacing w:after="160" w:line="276"/>
      </w:pPr>
      <w:r>
        <w:rPr>
          <w:sz w:val="21"/>
          <w:szCs w:val="21"/>
        </w:rPr>
        <w:t xml:space="preserve">El frontend consulta GET /api/jobs?ticketId=&lt;id&gt; justo después de crear un ticket y hace polling corto mientras el job siga en PROCESSING o RETRYING, mostrando el progreso en la sección 'Confirmación por correo' del detalle del ticket. Para depurar manualmente, también se puede observar el proceso completo con: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DEDE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docker compose logs -f notification-service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y, para administración de la cola misma (mensajes pendientes, reintentos, mensajes en la DLQ), con la consola de administración de RabbitMQ en http://localhost:15672 (usuario guest / contraseña guest).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2026-10-01T16:20:40.231Z</dcterms:created>
  <dcterms:modified xsi:type="dcterms:W3CDTF">2026-10-01T16:20:40.231Z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